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 w:lineRule="atLeast"/>
        <w:jc w:val="center"/>
        <w:rPr>
          <w:rFonts w:ascii="华文中宋" w:hAnsi="华文中宋" w:eastAsia="华文中宋" w:cs="华文中宋"/>
          <w:b/>
          <w:bCs/>
          <w:color w:val="FF0000"/>
          <w:w w:val="80"/>
          <w:sz w:val="70"/>
          <w:szCs w:val="70"/>
        </w:rPr>
      </w:pPr>
    </w:p>
    <w:p>
      <w:pPr>
        <w:spacing w:line="60" w:lineRule="atLeast"/>
        <w:jc w:val="center"/>
        <w:rPr>
          <w:rFonts w:hint="eastAsia" w:ascii="方正小标宋简体" w:hAnsi="方正小标宋简体" w:eastAsia="方正小标宋简体" w:cs="方正小标宋简体"/>
          <w:color w:val="FF0000"/>
          <w:w w:val="80"/>
          <w:sz w:val="70"/>
          <w:szCs w:val="70"/>
          <w:lang w:val="en-US" w:eastAsia="zh-CN"/>
        </w:rPr>
      </w:pPr>
      <w:r>
        <w:rPr>
          <w:rFonts w:hint="eastAsia" w:ascii="方正小标宋简体" w:hAnsi="方正小标宋简体" w:eastAsia="方正小标宋简体" w:cs="方正小标宋简体"/>
          <w:color w:val="FF0000"/>
          <w:w w:val="80"/>
          <w:sz w:val="70"/>
          <w:szCs w:val="70"/>
        </w:rPr>
        <w:t>哈尔滨工业大学生命科学</w:t>
      </w:r>
      <w:r>
        <w:rPr>
          <w:rFonts w:hint="eastAsia" w:ascii="方正小标宋简体" w:hAnsi="方正小标宋简体" w:eastAsia="方正小标宋简体" w:cs="方正小标宋简体"/>
          <w:color w:val="FF0000"/>
          <w:w w:val="80"/>
          <w:sz w:val="70"/>
          <w:szCs w:val="70"/>
          <w:lang w:val="en-US" w:eastAsia="zh-CN"/>
        </w:rPr>
        <w:t>和医学</w:t>
      </w:r>
      <w:r>
        <w:rPr>
          <w:rFonts w:hint="eastAsia" w:ascii="方正小标宋简体" w:hAnsi="方正小标宋简体" w:eastAsia="方正小标宋简体" w:cs="方正小标宋简体"/>
          <w:color w:val="FF0000"/>
          <w:w w:val="80"/>
          <w:sz w:val="70"/>
          <w:szCs w:val="70"/>
        </w:rPr>
        <w:t>学</w:t>
      </w:r>
      <w:r>
        <w:rPr>
          <w:rFonts w:hint="eastAsia" w:ascii="方正小标宋简体" w:hAnsi="方正小标宋简体" w:eastAsia="方正小标宋简体" w:cs="方正小标宋简体"/>
          <w:color w:val="FF0000"/>
          <w:w w:val="80"/>
          <w:sz w:val="70"/>
          <w:szCs w:val="70"/>
          <w:lang w:val="en-US" w:eastAsia="zh-CN"/>
        </w:rPr>
        <w:t>部</w:t>
      </w:r>
    </w:p>
    <w:p>
      <w:pPr>
        <w:jc w:val="center"/>
        <w:rPr>
          <w:rFonts w:hint="eastAsia" w:ascii="黑体" w:eastAsia="黑体"/>
          <w:b/>
          <w:color w:val="FF0000"/>
          <w:sz w:val="52"/>
          <w:szCs w:val="44"/>
        </w:rPr>
      </w:pPr>
      <w:r>
        <w:rPr>
          <w:rFonts w:hint="eastAsia" w:ascii="仿宋_GB2312" w:eastAsia="仿宋_GB2312"/>
          <w:b/>
          <w:sz w:val="32"/>
          <w:szCs w:val="32"/>
          <w:lang w:val="en-US" w:eastAsia="zh-CN"/>
        </w:rPr>
        <w:t>部</w:t>
      </w:r>
      <w:r>
        <w:rPr>
          <w:rFonts w:hint="eastAsia" w:ascii="仿宋_GB2312" w:eastAsia="仿宋_GB2312"/>
          <w:b/>
          <w:sz w:val="32"/>
          <w:szCs w:val="32"/>
        </w:rPr>
        <w:t>本发〔</w:t>
      </w:r>
      <w:r>
        <w:rPr>
          <w:rFonts w:hint="eastAsia" w:ascii="仿宋_GB2312" w:hAnsi="宋体" w:eastAsia="仿宋_GB2312"/>
          <w:b/>
          <w:sz w:val="32"/>
          <w:szCs w:val="32"/>
        </w:rPr>
        <w:t>20</w:t>
      </w:r>
      <w:r>
        <w:rPr>
          <w:rFonts w:ascii="仿宋_GB2312" w:hAnsi="宋体" w:eastAsia="仿宋_GB2312"/>
          <w:b/>
          <w:sz w:val="32"/>
          <w:szCs w:val="32"/>
        </w:rPr>
        <w:t>2</w:t>
      </w:r>
      <w:r>
        <w:rPr>
          <w:rFonts w:hint="eastAsia" w:ascii="仿宋_GB2312" w:hAnsi="宋体" w:eastAsia="仿宋_GB2312"/>
          <w:b/>
          <w:sz w:val="32"/>
          <w:szCs w:val="32"/>
          <w:lang w:val="en-US" w:eastAsia="zh-CN"/>
        </w:rPr>
        <w:t>4</w:t>
      </w:r>
      <w:r>
        <w:rPr>
          <w:rFonts w:hint="eastAsia" w:ascii="仿宋_GB2312" w:eastAsia="仿宋_GB2312"/>
          <w:b/>
          <w:sz w:val="32"/>
          <w:szCs w:val="32"/>
        </w:rPr>
        <w:t>〕00</w:t>
      </w:r>
      <w:r>
        <w:rPr>
          <w:rFonts w:hint="eastAsia" w:ascii="仿宋_GB2312" w:hAnsi="宋体" w:eastAsia="仿宋_GB2312"/>
          <w:b/>
          <w:sz w:val="32"/>
          <w:szCs w:val="32"/>
        </w:rPr>
        <w:t>1号</w:t>
      </w:r>
    </w:p>
    <w:p>
      <w:pPr>
        <w:rPr>
          <w:rFonts w:ascii="宋体" w:hAnsi="宋体" w:eastAsia="宋体" w:cs="宋体"/>
          <w:b/>
          <w:bCs/>
          <w:color w:val="000000" w:themeColor="text1"/>
          <w:sz w:val="28"/>
          <w:szCs w:val="28"/>
          <w14:textFill>
            <w14:solidFill>
              <w14:schemeClr w14:val="tx1"/>
            </w14:solidFill>
          </w14:textFill>
        </w:rPr>
      </w:pPr>
      <w:r>
        <w:rPr>
          <w:sz w:val="52"/>
        </w:rPr>
        <mc:AlternateContent>
          <mc:Choice Requires="wps">
            <w:drawing>
              <wp:anchor distT="0" distB="0" distL="114300" distR="114300" simplePos="0" relativeHeight="251659264" behindDoc="0" locked="0" layoutInCell="1" allowOverlap="1">
                <wp:simplePos x="0" y="0"/>
                <wp:positionH relativeFrom="column">
                  <wp:posOffset>132715</wp:posOffset>
                </wp:positionH>
                <wp:positionV relativeFrom="paragraph">
                  <wp:posOffset>71120</wp:posOffset>
                </wp:positionV>
                <wp:extent cx="5819140" cy="0"/>
                <wp:effectExtent l="0" t="0" r="29210" b="19050"/>
                <wp:wrapNone/>
                <wp:docPr id="6" name="直接连接符 6"/>
                <wp:cNvGraphicFramePr/>
                <a:graphic xmlns:a="http://schemas.openxmlformats.org/drawingml/2006/main">
                  <a:graphicData uri="http://schemas.microsoft.com/office/word/2010/wordprocessingShape">
                    <wps:wsp>
                      <wps:cNvCnPr/>
                      <wps:spPr>
                        <a:xfrm flipV="1">
                          <a:off x="0" y="0"/>
                          <a:ext cx="5819140" cy="0"/>
                        </a:xfrm>
                        <a:prstGeom prst="line">
                          <a:avLst/>
                        </a:prstGeom>
                        <a:ln w="2222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10.45pt;margin-top:5.6pt;height:0pt;width:458.2pt;z-index:251659264;mso-width-relative:page;mso-height-relative:page;" filled="f" stroked="t" coordsize="21600,21600" o:gfxdata="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Jit&#10;+NUAAAAIAQAADwAAAAAAAAABACAAAAAiAAAAZHJzL2Rvd25yZXYueG1sUEsBAhQAFAAAAAgAh07i&#10;QPEf6qjsAQAAvAMAAA4AAAAAAAAAAQAgAAAAJAEAAGRycy9lMm9Eb2MueG1sUEsFBgAAAAAGAAYA&#10;WQEAAIIFAAAAAA==&#10;">
                <v:fill on="f" focussize="0,0"/>
                <v:stroke weight="1.75pt" color="#FF0000 [3204]" miterlimit="8" joinstyle="miter"/>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jc w:val="center"/>
        <w:textAlignment w:val="auto"/>
        <w:rPr>
          <w:rFonts w:hint="eastAsia" w:eastAsia="华文中宋"/>
          <w:b/>
          <w:sz w:val="36"/>
          <w:szCs w:val="44"/>
        </w:rPr>
      </w:pPr>
      <w:r>
        <w:rPr>
          <w:rFonts w:hint="eastAsia" w:eastAsia="华文中宋"/>
          <w:b/>
          <w:sz w:val="36"/>
          <w:szCs w:val="44"/>
        </w:rPr>
        <w:t>推荐优秀应届本科毕业生免试攻读硕士学位</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eastAsia="仿宋_GB2312"/>
          <w:sz w:val="32"/>
          <w:szCs w:val="32"/>
        </w:rPr>
      </w:pPr>
      <w:r>
        <w:rPr>
          <w:rFonts w:hint="eastAsia" w:eastAsia="华文中宋"/>
          <w:b/>
          <w:sz w:val="36"/>
          <w:szCs w:val="44"/>
        </w:rPr>
        <w:t>研究生（直博生）科技竞赛优秀加分项目及加分细则</w:t>
      </w:r>
    </w:p>
    <w:p>
      <w:pPr>
        <w:spacing w:before="156" w:beforeLines="50" w:after="156" w:afterLines="50" w:line="480" w:lineRule="auto"/>
        <w:ind w:firstLine="640" w:firstLineChars="200"/>
        <w:rPr>
          <w:rFonts w:hint="eastAsia" w:eastAsia="仿宋_GB2312"/>
          <w:sz w:val="32"/>
          <w:szCs w:val="32"/>
        </w:rPr>
      </w:pPr>
      <w:r>
        <w:rPr>
          <w:rFonts w:hint="eastAsia" w:eastAsia="仿宋_GB2312"/>
          <w:sz w:val="32"/>
          <w:szCs w:val="32"/>
        </w:rPr>
        <w:t>根据《哈尔滨工业大学本科生申请推荐免试攻读硕士学位研究生实施细则》（哈工大本</w:t>
      </w:r>
      <w:r>
        <w:rPr>
          <w:rFonts w:ascii="Times New Roman" w:hAnsi="Times New Roman" w:eastAsia="方正仿宋简体" w:cs="Times New Roman"/>
          <w:sz w:val="32"/>
          <w:szCs w:val="32"/>
        </w:rPr>
        <w:t>〔</w:t>
      </w:r>
      <w:r>
        <w:rPr>
          <w:rFonts w:hint="eastAsia" w:eastAsia="仿宋_GB2312"/>
          <w:sz w:val="32"/>
          <w:szCs w:val="32"/>
        </w:rPr>
        <w:t>2018</w:t>
      </w:r>
      <w:r>
        <w:rPr>
          <w:rFonts w:ascii="Times New Roman" w:hAnsi="Times New Roman" w:eastAsia="方正仿宋简体" w:cs="Times New Roman"/>
          <w:sz w:val="32"/>
          <w:szCs w:val="32"/>
        </w:rPr>
        <w:t>〕</w:t>
      </w:r>
      <w:r>
        <w:rPr>
          <w:rFonts w:hint="eastAsia" w:eastAsia="仿宋_GB2312"/>
          <w:sz w:val="32"/>
          <w:szCs w:val="32"/>
        </w:rPr>
        <w:t>100号）、</w:t>
      </w:r>
      <w:r>
        <w:rPr>
          <w:rFonts w:hint="eastAsia" w:eastAsia="仿宋_GB2312"/>
          <w:sz w:val="32"/>
          <w:szCs w:val="32"/>
          <w:lang w:eastAsia="zh-CN"/>
        </w:rPr>
        <w:t>《</w:t>
      </w:r>
      <w:r>
        <w:rPr>
          <w:rFonts w:hint="eastAsia" w:eastAsia="仿宋_GB2312"/>
          <w:sz w:val="32"/>
          <w:szCs w:val="32"/>
          <w:lang w:val="en-US" w:eastAsia="zh-CN"/>
        </w:rPr>
        <w:t>哈尔滨工业大学推荐优秀应届本科毕业生免试攻读硕士学位研究生（直博生）工作办法</w:t>
      </w:r>
      <w:r>
        <w:rPr>
          <w:rFonts w:hint="eastAsia" w:eastAsia="仿宋_GB2312"/>
          <w:sz w:val="32"/>
          <w:szCs w:val="32"/>
          <w:lang w:eastAsia="zh-CN"/>
        </w:rPr>
        <w:t>》（</w:t>
      </w:r>
      <w:r>
        <w:rPr>
          <w:rFonts w:hint="eastAsia" w:eastAsia="仿宋_GB2312"/>
          <w:sz w:val="32"/>
          <w:szCs w:val="32"/>
          <w:lang w:val="en-US" w:eastAsia="zh-CN"/>
        </w:rPr>
        <w:t>哈工大本</w:t>
      </w:r>
      <w:r>
        <w:rPr>
          <w:rFonts w:ascii="Times New Roman" w:hAnsi="Times New Roman" w:eastAsia="方正仿宋简体" w:cs="Times New Roman"/>
          <w:sz w:val="32"/>
          <w:szCs w:val="32"/>
        </w:rPr>
        <w:t>〔</w:t>
      </w:r>
      <w:r>
        <w:rPr>
          <w:rFonts w:hint="eastAsia" w:eastAsia="仿宋_GB2312"/>
          <w:sz w:val="32"/>
          <w:szCs w:val="32"/>
        </w:rPr>
        <w:t>20</w:t>
      </w:r>
      <w:r>
        <w:rPr>
          <w:rFonts w:hint="eastAsia" w:eastAsia="仿宋_GB2312"/>
          <w:sz w:val="32"/>
          <w:szCs w:val="32"/>
          <w:lang w:val="en-US" w:eastAsia="zh-CN"/>
        </w:rPr>
        <w:t>23</w:t>
      </w:r>
      <w:r>
        <w:rPr>
          <w:rFonts w:ascii="Times New Roman" w:hAnsi="Times New Roman" w:eastAsia="方正仿宋简体" w:cs="Times New Roman"/>
          <w:sz w:val="32"/>
          <w:szCs w:val="32"/>
        </w:rPr>
        <w:t>〕</w:t>
      </w:r>
      <w:r>
        <w:rPr>
          <w:rFonts w:hint="eastAsia" w:eastAsia="仿宋_GB2312"/>
          <w:sz w:val="32"/>
          <w:szCs w:val="32"/>
          <w:lang w:val="en-US" w:eastAsia="zh-CN"/>
        </w:rPr>
        <w:t>158号</w:t>
      </w:r>
      <w:r>
        <w:rPr>
          <w:rFonts w:hint="eastAsia" w:eastAsia="仿宋_GB2312"/>
          <w:sz w:val="32"/>
          <w:szCs w:val="32"/>
          <w:lang w:eastAsia="zh-CN"/>
        </w:rPr>
        <w:t>）、</w:t>
      </w:r>
      <w:r>
        <w:rPr>
          <w:rFonts w:hint="eastAsia" w:ascii="Times New Roman" w:hAnsi="Times New Roman" w:eastAsia="方正仿宋简体" w:cs="Times New Roman"/>
          <w:sz w:val="32"/>
          <w:szCs w:val="32"/>
        </w:rPr>
        <w:t>《哈尔滨工业大学推荐优秀应届本科毕业生免试攻读硕士学位研究生（直博生）综合考评成绩计算细则（</w:t>
      </w:r>
      <w:r>
        <w:rPr>
          <w:rFonts w:ascii="Times New Roman" w:hAnsi="Times New Roman" w:eastAsia="方正仿宋简体" w:cs="Times New Roman"/>
          <w:sz w:val="32"/>
          <w:szCs w:val="32"/>
        </w:rPr>
        <w:t>校本教</w:t>
      </w:r>
      <w:r>
        <w:rPr>
          <w:rFonts w:hint="eastAsia" w:ascii="Times New Roman" w:hAnsi="Times New Roman" w:eastAsia="方正仿宋简体" w:cs="Times New Roman"/>
          <w:sz w:val="32"/>
          <w:szCs w:val="32"/>
        </w:rPr>
        <w:t>务</w:t>
      </w:r>
      <w:r>
        <w:rPr>
          <w:rFonts w:ascii="Times New Roman" w:hAnsi="Times New Roman" w:eastAsia="方正仿宋简体" w:cs="Times New Roman"/>
          <w:sz w:val="32"/>
          <w:szCs w:val="32"/>
        </w:rPr>
        <w:t>〔202</w:t>
      </w:r>
      <w:r>
        <w:rPr>
          <w:rFonts w:hint="eastAsia" w:ascii="Times New Roman" w:hAnsi="Times New Roman" w:eastAsia="方正仿宋简体" w:cs="Times New Roman"/>
          <w:sz w:val="32"/>
          <w:szCs w:val="32"/>
        </w:rPr>
        <w:t>4</w:t>
      </w:r>
      <w:r>
        <w:rPr>
          <w:rFonts w:ascii="Times New Roman" w:hAnsi="Times New Roman" w:eastAsia="方正仿宋简体" w:cs="Times New Roman"/>
          <w:sz w:val="32"/>
          <w:szCs w:val="32"/>
        </w:rPr>
        <w:t>〕</w:t>
      </w:r>
      <w:r>
        <w:rPr>
          <w:rFonts w:hint="eastAsia" w:ascii="Times New Roman" w:hAnsi="Times New Roman" w:eastAsia="方正仿宋简体" w:cs="Times New Roman"/>
          <w:sz w:val="32"/>
          <w:szCs w:val="32"/>
        </w:rPr>
        <w:t>18</w:t>
      </w:r>
      <w:r>
        <w:rPr>
          <w:rFonts w:ascii="Times New Roman" w:hAnsi="Times New Roman" w:eastAsia="方正仿宋简体" w:cs="Times New Roman"/>
          <w:sz w:val="32"/>
          <w:szCs w:val="32"/>
        </w:rPr>
        <w:t>号</w:t>
      </w:r>
      <w:r>
        <w:rPr>
          <w:rFonts w:hint="eastAsia" w:ascii="Times New Roman" w:hAnsi="Times New Roman" w:eastAsia="方正仿宋简体" w:cs="Times New Roman"/>
          <w:sz w:val="32"/>
          <w:szCs w:val="32"/>
        </w:rPr>
        <w:t>）</w:t>
      </w:r>
      <w:r>
        <w:rPr>
          <w:rFonts w:hint="eastAsia" w:eastAsia="仿宋_GB2312"/>
          <w:sz w:val="32"/>
          <w:szCs w:val="32"/>
        </w:rPr>
        <w:t>、</w:t>
      </w:r>
      <w:r>
        <w:rPr>
          <w:rFonts w:hint="eastAsia" w:eastAsia="仿宋_GB2312"/>
          <w:sz w:val="32"/>
          <w:szCs w:val="32"/>
          <w:lang w:eastAsia="zh-CN"/>
        </w:rPr>
        <w:t>《</w:t>
      </w:r>
      <w:r>
        <w:rPr>
          <w:rFonts w:hint="eastAsia" w:eastAsia="仿宋_GB2312"/>
          <w:sz w:val="32"/>
          <w:szCs w:val="32"/>
        </w:rPr>
        <w:t>哈尔滨工业大学关于加强高水平科技创新竞赛激励的若干意见</w:t>
      </w:r>
      <w:r>
        <w:rPr>
          <w:rFonts w:hint="eastAsia" w:eastAsia="仿宋_GB2312"/>
          <w:sz w:val="32"/>
          <w:szCs w:val="32"/>
          <w:lang w:eastAsia="zh-CN"/>
        </w:rPr>
        <w:t>》（哈工大本〔2024〕94号）</w:t>
      </w:r>
      <w:r>
        <w:rPr>
          <w:rFonts w:hint="eastAsia" w:eastAsia="仿宋_GB2312"/>
          <w:sz w:val="32"/>
          <w:szCs w:val="32"/>
          <w:lang w:val="en-US" w:eastAsia="zh-CN"/>
        </w:rPr>
        <w:t>等</w:t>
      </w:r>
      <w:r>
        <w:rPr>
          <w:rFonts w:hint="eastAsia" w:eastAsia="仿宋_GB2312"/>
          <w:sz w:val="32"/>
          <w:szCs w:val="32"/>
        </w:rPr>
        <w:t>文件要求，制定本细则。</w:t>
      </w:r>
    </w:p>
    <w:p>
      <w:pPr>
        <w:spacing w:before="156" w:beforeLines="50" w:after="156" w:afterLines="50" w:line="480" w:lineRule="auto"/>
        <w:rPr>
          <w:rFonts w:eastAsia="仿宋_GB2312"/>
          <w:b/>
          <w:sz w:val="32"/>
          <w:szCs w:val="32"/>
        </w:rPr>
      </w:pPr>
      <w:r>
        <w:rPr>
          <w:rFonts w:eastAsia="仿宋_GB2312"/>
          <w:b/>
          <w:sz w:val="32"/>
          <w:szCs w:val="32"/>
        </w:rPr>
        <w:t>一、具备免试推荐资格比例</w:t>
      </w:r>
    </w:p>
    <w:p>
      <w:pPr>
        <w:spacing w:line="480" w:lineRule="auto"/>
        <w:ind w:firstLine="640" w:firstLineChars="200"/>
        <w:rPr>
          <w:rFonts w:hint="eastAsia" w:eastAsia="仿宋_GB2312"/>
          <w:sz w:val="32"/>
          <w:szCs w:val="32"/>
        </w:rPr>
      </w:pPr>
      <w:r>
        <w:rPr>
          <w:rFonts w:eastAsia="仿宋_GB2312"/>
          <w:sz w:val="32"/>
          <w:szCs w:val="32"/>
        </w:rPr>
        <w:t>凡符合推免生条件且在校学习成绩排名进入前50%及以内的学生，方可参与综合排名。</w:t>
      </w:r>
    </w:p>
    <w:p>
      <w:pPr>
        <w:spacing w:before="156" w:beforeLines="50" w:after="156" w:afterLines="50" w:line="480" w:lineRule="auto"/>
        <w:rPr>
          <w:rFonts w:eastAsia="仿宋_GB2312"/>
          <w:b/>
          <w:sz w:val="32"/>
          <w:szCs w:val="32"/>
        </w:rPr>
      </w:pPr>
      <w:r>
        <w:rPr>
          <w:rFonts w:eastAsia="仿宋_GB2312"/>
          <w:b/>
          <w:sz w:val="32"/>
          <w:szCs w:val="32"/>
        </w:rPr>
        <w:t>二、加分原则</w:t>
      </w:r>
    </w:p>
    <w:p>
      <w:pPr>
        <w:spacing w:after="93" w:afterLines="30" w:line="480" w:lineRule="auto"/>
        <w:ind w:firstLine="640" w:firstLineChars="200"/>
        <w:rPr>
          <w:rFonts w:eastAsia="仿宋_GB2312"/>
          <w:sz w:val="32"/>
          <w:szCs w:val="32"/>
        </w:rPr>
      </w:pPr>
    </w:p>
    <w:p>
      <w:pPr>
        <w:spacing w:after="93" w:afterLines="30" w:line="480" w:lineRule="auto"/>
        <w:ind w:firstLine="640" w:firstLineChars="200"/>
        <w:rPr>
          <w:rFonts w:eastAsia="仿宋_GB2312"/>
          <w:sz w:val="32"/>
          <w:szCs w:val="32"/>
        </w:rPr>
      </w:pPr>
    </w:p>
    <w:p>
      <w:pPr>
        <w:spacing w:after="93" w:afterLines="30" w:line="480" w:lineRule="auto"/>
        <w:ind w:firstLine="640" w:firstLineChars="200"/>
        <w:rPr>
          <w:rFonts w:eastAsia="仿宋_GB2312"/>
          <w:sz w:val="32"/>
          <w:szCs w:val="32"/>
        </w:rPr>
      </w:pPr>
      <w:r>
        <w:rPr>
          <w:rFonts w:eastAsia="仿宋_GB2312"/>
          <w:sz w:val="32"/>
          <w:szCs w:val="32"/>
        </w:rPr>
        <w:t>参加学院认定的学科竞赛并获奖，推免时加分标准如下：</w:t>
      </w:r>
    </w:p>
    <w:tbl>
      <w:tblPr>
        <w:tblStyle w:val="5"/>
        <w:tblW w:w="8280"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4"/>
        <w:gridCol w:w="1784"/>
        <w:gridCol w:w="1901"/>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right"/>
        </w:trPr>
        <w:tc>
          <w:tcPr>
            <w:tcW w:w="2894" w:type="dxa"/>
            <w:noWrap w:val="0"/>
            <w:vAlign w:val="center"/>
          </w:tcPr>
          <w:p>
            <w:pPr>
              <w:spacing w:line="480" w:lineRule="auto"/>
              <w:jc w:val="center"/>
              <w:rPr>
                <w:rFonts w:eastAsia="仿宋_GB2312"/>
                <w:b/>
                <w:sz w:val="28"/>
                <w:szCs w:val="32"/>
              </w:rPr>
            </w:pPr>
            <w:r>
              <w:rPr>
                <w:rFonts w:eastAsia="仿宋_GB2312"/>
                <w:b/>
                <w:sz w:val="28"/>
                <w:szCs w:val="32"/>
              </w:rPr>
              <w:t>奖项级别和等级</w:t>
            </w:r>
          </w:p>
        </w:tc>
        <w:tc>
          <w:tcPr>
            <w:tcW w:w="1784" w:type="dxa"/>
            <w:noWrap w:val="0"/>
            <w:vAlign w:val="center"/>
          </w:tcPr>
          <w:p>
            <w:pPr>
              <w:spacing w:line="480" w:lineRule="auto"/>
              <w:jc w:val="center"/>
              <w:rPr>
                <w:rFonts w:eastAsia="仿宋_GB2312"/>
                <w:b/>
                <w:sz w:val="28"/>
                <w:szCs w:val="32"/>
              </w:rPr>
            </w:pPr>
            <w:r>
              <w:rPr>
                <w:rFonts w:eastAsia="仿宋_GB2312"/>
                <w:b/>
                <w:sz w:val="28"/>
                <w:szCs w:val="32"/>
              </w:rPr>
              <w:t>个人项目</w:t>
            </w:r>
          </w:p>
        </w:tc>
        <w:tc>
          <w:tcPr>
            <w:tcW w:w="1901" w:type="dxa"/>
            <w:noWrap w:val="0"/>
            <w:vAlign w:val="center"/>
          </w:tcPr>
          <w:p>
            <w:pPr>
              <w:snapToGrid w:val="0"/>
              <w:jc w:val="center"/>
              <w:rPr>
                <w:rFonts w:eastAsia="仿宋_GB2312"/>
                <w:b/>
                <w:sz w:val="28"/>
                <w:szCs w:val="32"/>
              </w:rPr>
            </w:pPr>
            <w:r>
              <w:rPr>
                <w:rFonts w:eastAsia="仿宋_GB2312"/>
                <w:b/>
                <w:sz w:val="28"/>
                <w:szCs w:val="32"/>
              </w:rPr>
              <w:t>集体项目排名第</w:t>
            </w:r>
            <w:r>
              <w:rPr>
                <w:rFonts w:hint="eastAsia" w:eastAsia="仿宋_GB2312"/>
                <w:b/>
                <w:sz w:val="28"/>
                <w:szCs w:val="32"/>
              </w:rPr>
              <w:t>1</w:t>
            </w:r>
            <w:r>
              <w:rPr>
                <w:rFonts w:eastAsia="仿宋_GB2312"/>
                <w:b/>
                <w:sz w:val="28"/>
                <w:szCs w:val="32"/>
              </w:rPr>
              <w:t>人</w:t>
            </w:r>
          </w:p>
        </w:tc>
        <w:tc>
          <w:tcPr>
            <w:tcW w:w="1701" w:type="dxa"/>
            <w:noWrap w:val="0"/>
            <w:vAlign w:val="center"/>
          </w:tcPr>
          <w:p>
            <w:pPr>
              <w:snapToGrid w:val="0"/>
              <w:jc w:val="center"/>
              <w:rPr>
                <w:rFonts w:eastAsia="仿宋_GB2312"/>
                <w:b/>
                <w:sz w:val="28"/>
                <w:szCs w:val="32"/>
              </w:rPr>
            </w:pPr>
            <w:r>
              <w:rPr>
                <w:rFonts w:eastAsia="仿宋_GB2312"/>
                <w:b/>
                <w:sz w:val="28"/>
                <w:szCs w:val="32"/>
              </w:rPr>
              <w:t>集体项目其他人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right"/>
        </w:trPr>
        <w:tc>
          <w:tcPr>
            <w:tcW w:w="2894" w:type="dxa"/>
            <w:noWrap w:val="0"/>
            <w:vAlign w:val="center"/>
          </w:tcPr>
          <w:p>
            <w:pPr>
              <w:spacing w:line="480" w:lineRule="auto"/>
              <w:jc w:val="center"/>
              <w:rPr>
                <w:rFonts w:eastAsia="仿宋_GB2312"/>
                <w:sz w:val="28"/>
                <w:szCs w:val="32"/>
              </w:rPr>
            </w:pPr>
            <w:r>
              <w:rPr>
                <w:rFonts w:eastAsia="仿宋_GB2312"/>
                <w:sz w:val="28"/>
                <w:szCs w:val="32"/>
              </w:rPr>
              <w:t>国际或国家级一等奖</w:t>
            </w:r>
          </w:p>
        </w:tc>
        <w:tc>
          <w:tcPr>
            <w:tcW w:w="1784" w:type="dxa"/>
            <w:noWrap w:val="0"/>
            <w:vAlign w:val="center"/>
          </w:tcPr>
          <w:p>
            <w:pPr>
              <w:spacing w:line="480" w:lineRule="auto"/>
              <w:jc w:val="center"/>
              <w:rPr>
                <w:rFonts w:eastAsia="仿宋_GB2312"/>
                <w:sz w:val="28"/>
                <w:szCs w:val="32"/>
              </w:rPr>
            </w:pPr>
            <w:r>
              <w:rPr>
                <w:rFonts w:eastAsia="仿宋_GB2312"/>
                <w:sz w:val="28"/>
                <w:szCs w:val="32"/>
              </w:rPr>
              <w:t>5</w:t>
            </w:r>
          </w:p>
        </w:tc>
        <w:tc>
          <w:tcPr>
            <w:tcW w:w="1901" w:type="dxa"/>
            <w:noWrap w:val="0"/>
            <w:vAlign w:val="center"/>
          </w:tcPr>
          <w:p>
            <w:pPr>
              <w:spacing w:line="480" w:lineRule="auto"/>
              <w:jc w:val="center"/>
              <w:rPr>
                <w:rFonts w:eastAsia="仿宋_GB2312"/>
                <w:sz w:val="28"/>
                <w:szCs w:val="32"/>
              </w:rPr>
            </w:pPr>
            <w:r>
              <w:rPr>
                <w:rFonts w:eastAsia="仿宋_GB2312"/>
                <w:sz w:val="28"/>
                <w:szCs w:val="32"/>
              </w:rPr>
              <w:t>5</w:t>
            </w:r>
          </w:p>
        </w:tc>
        <w:tc>
          <w:tcPr>
            <w:tcW w:w="1701" w:type="dxa"/>
            <w:noWrap w:val="0"/>
            <w:vAlign w:val="center"/>
          </w:tcPr>
          <w:p>
            <w:pPr>
              <w:spacing w:line="480" w:lineRule="auto"/>
              <w:jc w:val="center"/>
              <w:rPr>
                <w:rFonts w:eastAsia="仿宋_GB2312"/>
                <w:sz w:val="28"/>
                <w:szCs w:val="32"/>
              </w:rPr>
            </w:pPr>
            <w:r>
              <w:rPr>
                <w:rFonts w:eastAsia="仿宋_GB2312"/>
                <w:sz w:val="28"/>
                <w:szCs w:val="32"/>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right"/>
        </w:trPr>
        <w:tc>
          <w:tcPr>
            <w:tcW w:w="2894" w:type="dxa"/>
            <w:noWrap w:val="0"/>
            <w:vAlign w:val="center"/>
          </w:tcPr>
          <w:p>
            <w:pPr>
              <w:spacing w:line="480" w:lineRule="auto"/>
              <w:jc w:val="center"/>
              <w:rPr>
                <w:rFonts w:eastAsia="仿宋_GB2312"/>
                <w:sz w:val="28"/>
                <w:szCs w:val="32"/>
              </w:rPr>
            </w:pPr>
            <w:r>
              <w:rPr>
                <w:rFonts w:eastAsia="仿宋_GB2312"/>
                <w:sz w:val="28"/>
                <w:szCs w:val="32"/>
              </w:rPr>
              <w:t>国际或国家级二等奖</w:t>
            </w:r>
          </w:p>
        </w:tc>
        <w:tc>
          <w:tcPr>
            <w:tcW w:w="1784" w:type="dxa"/>
            <w:noWrap w:val="0"/>
            <w:vAlign w:val="center"/>
          </w:tcPr>
          <w:p>
            <w:pPr>
              <w:spacing w:line="480" w:lineRule="auto"/>
              <w:jc w:val="center"/>
              <w:rPr>
                <w:rFonts w:eastAsia="仿宋_GB2312"/>
                <w:sz w:val="28"/>
                <w:szCs w:val="32"/>
              </w:rPr>
            </w:pPr>
            <w:r>
              <w:rPr>
                <w:rFonts w:eastAsia="仿宋_GB2312"/>
                <w:sz w:val="28"/>
                <w:szCs w:val="32"/>
              </w:rPr>
              <w:t>3</w:t>
            </w:r>
          </w:p>
        </w:tc>
        <w:tc>
          <w:tcPr>
            <w:tcW w:w="1901" w:type="dxa"/>
            <w:noWrap w:val="0"/>
            <w:vAlign w:val="center"/>
          </w:tcPr>
          <w:p>
            <w:pPr>
              <w:spacing w:line="480" w:lineRule="auto"/>
              <w:jc w:val="center"/>
              <w:rPr>
                <w:rFonts w:eastAsia="仿宋_GB2312"/>
                <w:sz w:val="28"/>
                <w:szCs w:val="32"/>
              </w:rPr>
            </w:pPr>
            <w:r>
              <w:rPr>
                <w:rFonts w:eastAsia="仿宋_GB2312"/>
                <w:sz w:val="28"/>
                <w:szCs w:val="32"/>
              </w:rPr>
              <w:t>3</w:t>
            </w:r>
          </w:p>
        </w:tc>
        <w:tc>
          <w:tcPr>
            <w:tcW w:w="1701" w:type="dxa"/>
            <w:noWrap w:val="0"/>
            <w:vAlign w:val="center"/>
          </w:tcPr>
          <w:p>
            <w:pPr>
              <w:spacing w:line="480" w:lineRule="auto"/>
              <w:jc w:val="center"/>
              <w:rPr>
                <w:rFonts w:eastAsia="仿宋_GB2312"/>
                <w:sz w:val="28"/>
                <w:szCs w:val="32"/>
              </w:rPr>
            </w:pPr>
            <w:r>
              <w:rPr>
                <w:rFonts w:eastAsia="仿宋_GB2312"/>
                <w:sz w:val="28"/>
                <w:szCs w:val="32"/>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right"/>
        </w:trPr>
        <w:tc>
          <w:tcPr>
            <w:tcW w:w="2894" w:type="dxa"/>
            <w:noWrap w:val="0"/>
            <w:vAlign w:val="center"/>
          </w:tcPr>
          <w:p>
            <w:pPr>
              <w:spacing w:line="480" w:lineRule="auto"/>
              <w:jc w:val="center"/>
              <w:rPr>
                <w:rFonts w:eastAsia="仿宋_GB2312"/>
                <w:sz w:val="28"/>
                <w:szCs w:val="32"/>
              </w:rPr>
            </w:pPr>
            <w:r>
              <w:rPr>
                <w:rFonts w:eastAsia="仿宋_GB2312"/>
                <w:sz w:val="28"/>
                <w:szCs w:val="32"/>
              </w:rPr>
              <w:t>国际或国家级三等奖</w:t>
            </w:r>
          </w:p>
        </w:tc>
        <w:tc>
          <w:tcPr>
            <w:tcW w:w="1784" w:type="dxa"/>
            <w:noWrap w:val="0"/>
            <w:vAlign w:val="center"/>
          </w:tcPr>
          <w:p>
            <w:pPr>
              <w:spacing w:line="480" w:lineRule="auto"/>
              <w:jc w:val="center"/>
              <w:rPr>
                <w:rFonts w:eastAsia="仿宋_GB2312"/>
                <w:sz w:val="28"/>
                <w:szCs w:val="32"/>
              </w:rPr>
            </w:pPr>
            <w:r>
              <w:rPr>
                <w:rFonts w:eastAsia="仿宋_GB2312"/>
                <w:sz w:val="28"/>
                <w:szCs w:val="32"/>
              </w:rPr>
              <w:t>1</w:t>
            </w:r>
          </w:p>
        </w:tc>
        <w:tc>
          <w:tcPr>
            <w:tcW w:w="1901" w:type="dxa"/>
            <w:noWrap w:val="0"/>
            <w:vAlign w:val="center"/>
          </w:tcPr>
          <w:p>
            <w:pPr>
              <w:spacing w:line="480" w:lineRule="auto"/>
              <w:jc w:val="center"/>
              <w:rPr>
                <w:rFonts w:eastAsia="仿宋_GB2312"/>
                <w:sz w:val="28"/>
                <w:szCs w:val="32"/>
              </w:rPr>
            </w:pPr>
            <w:r>
              <w:rPr>
                <w:rFonts w:eastAsia="仿宋_GB2312"/>
                <w:sz w:val="28"/>
                <w:szCs w:val="32"/>
              </w:rPr>
              <w:t>1</w:t>
            </w:r>
          </w:p>
        </w:tc>
        <w:tc>
          <w:tcPr>
            <w:tcW w:w="1701" w:type="dxa"/>
            <w:noWrap w:val="0"/>
            <w:vAlign w:val="center"/>
          </w:tcPr>
          <w:p>
            <w:pPr>
              <w:spacing w:line="480" w:lineRule="auto"/>
              <w:jc w:val="center"/>
              <w:rPr>
                <w:rFonts w:eastAsia="仿宋_GB2312"/>
                <w:sz w:val="28"/>
                <w:szCs w:val="32"/>
              </w:rPr>
            </w:pPr>
            <w:r>
              <w:rPr>
                <w:rFonts w:eastAsia="仿宋_GB2312"/>
                <w:sz w:val="28"/>
                <w:szCs w:val="32"/>
              </w:rPr>
              <w:t>0.6</w:t>
            </w:r>
          </w:p>
        </w:tc>
      </w:tr>
    </w:tbl>
    <w:p>
      <w:pPr>
        <w:spacing w:line="480" w:lineRule="auto"/>
        <w:ind w:firstLine="640" w:firstLineChars="200"/>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 xml:space="preserve">加分资格以获奖证书或竞赛组织部门发布的获奖文件为依据。 </w:t>
      </w:r>
    </w:p>
    <w:p>
      <w:pPr>
        <w:spacing w:line="480" w:lineRule="auto"/>
        <w:ind w:firstLine="640" w:firstLineChars="200"/>
        <w:rPr>
          <w:rFonts w:eastAsia="仿宋_GB2312"/>
          <w:sz w:val="32"/>
          <w:szCs w:val="32"/>
        </w:rPr>
      </w:pPr>
      <w:r>
        <w:rPr>
          <w:rFonts w:eastAsia="仿宋_GB2312"/>
          <w:sz w:val="32"/>
          <w:szCs w:val="32"/>
        </w:rPr>
        <w:t>2、同一学生参加不同竞赛或同一竞赛多次获奖，取最高</w:t>
      </w:r>
      <w:r>
        <w:rPr>
          <w:rFonts w:hint="eastAsia" w:eastAsia="仿宋_GB2312"/>
          <w:sz w:val="32"/>
          <w:szCs w:val="32"/>
          <w:lang w:val="en-US" w:eastAsia="zh-CN"/>
        </w:rPr>
        <w:t>奖励加</w:t>
      </w:r>
      <w:r>
        <w:rPr>
          <w:rFonts w:eastAsia="仿宋_GB2312"/>
          <w:sz w:val="32"/>
          <w:szCs w:val="32"/>
        </w:rPr>
        <w:t xml:space="preserve">分，不累计加分。 </w:t>
      </w:r>
    </w:p>
    <w:p>
      <w:pPr>
        <w:spacing w:line="480" w:lineRule="auto"/>
        <w:ind w:firstLine="640" w:firstLineChars="200"/>
        <w:rPr>
          <w:rFonts w:eastAsia="仿宋_GB2312"/>
          <w:sz w:val="32"/>
          <w:szCs w:val="32"/>
        </w:rPr>
      </w:pPr>
      <w:r>
        <w:rPr>
          <w:rFonts w:eastAsia="仿宋_GB2312"/>
          <w:sz w:val="32"/>
          <w:szCs w:val="32"/>
        </w:rPr>
        <w:t>3、集体项目</w:t>
      </w:r>
      <w:r>
        <w:rPr>
          <w:rFonts w:hint="eastAsia" w:eastAsia="仿宋_GB2312"/>
          <w:sz w:val="32"/>
          <w:szCs w:val="32"/>
          <w:lang w:val="en-US" w:eastAsia="zh-CN"/>
        </w:rPr>
        <w:t>当项目总人数超过5人时，仅给予前5人加分</w:t>
      </w:r>
      <w:r>
        <w:rPr>
          <w:rFonts w:eastAsia="仿宋_GB2312"/>
          <w:sz w:val="32"/>
          <w:szCs w:val="32"/>
        </w:rPr>
        <w:t>；若从奖励证书无法区分排名（如数学建模的全国竞赛），</w:t>
      </w:r>
      <w:r>
        <w:rPr>
          <w:rFonts w:hint="eastAsia" w:eastAsia="仿宋_GB2312"/>
          <w:sz w:val="32"/>
          <w:szCs w:val="32"/>
          <w:lang w:val="en-US" w:eastAsia="zh-CN"/>
        </w:rPr>
        <w:t>由校内竞赛牵头组织单位提供证明材料，本科生院复核确定排名顺序。</w:t>
      </w:r>
      <w:r>
        <w:rPr>
          <w:rFonts w:eastAsia="仿宋_GB2312"/>
          <w:sz w:val="32"/>
          <w:szCs w:val="32"/>
        </w:rPr>
        <w:t xml:space="preserve"> </w:t>
      </w:r>
    </w:p>
    <w:p>
      <w:pPr>
        <w:spacing w:line="480" w:lineRule="auto"/>
        <w:ind w:firstLine="640" w:firstLineChars="200"/>
        <w:rPr>
          <w:rFonts w:eastAsia="仿宋_GB2312"/>
          <w:sz w:val="32"/>
          <w:szCs w:val="32"/>
        </w:rPr>
      </w:pPr>
      <w:r>
        <w:rPr>
          <w:rFonts w:eastAsia="仿宋_GB2312"/>
          <w:sz w:val="32"/>
          <w:szCs w:val="32"/>
        </w:rPr>
        <w:t xml:space="preserve">4、如国家级或国际级竞赛分预决赛的，以决赛获奖为准。 </w:t>
      </w:r>
    </w:p>
    <w:p>
      <w:pPr>
        <w:spacing w:line="480" w:lineRule="auto"/>
        <w:ind w:firstLine="640" w:firstLineChars="200"/>
        <w:rPr>
          <w:rFonts w:eastAsia="仿宋_GB2312"/>
          <w:sz w:val="32"/>
          <w:szCs w:val="32"/>
        </w:rPr>
      </w:pPr>
      <w:r>
        <w:rPr>
          <w:rFonts w:eastAsia="仿宋_GB2312"/>
          <w:sz w:val="32"/>
          <w:szCs w:val="32"/>
        </w:rPr>
        <w:t>5、如在一、二、三等奖基础上设特等奖的，少数个别特等奖可按一等奖加分</w:t>
      </w:r>
      <w:r>
        <w:rPr>
          <w:rFonts w:hint="eastAsia" w:eastAsia="仿宋_GB2312"/>
          <w:sz w:val="32"/>
          <w:szCs w:val="32"/>
        </w:rPr>
        <w:t>，一等奖按二等奖加分，二等奖按三等奖加分，三等奖不加分</w:t>
      </w:r>
      <w:r>
        <w:rPr>
          <w:rFonts w:eastAsia="仿宋_GB2312"/>
          <w:sz w:val="32"/>
          <w:szCs w:val="32"/>
        </w:rPr>
        <w:t>；按比例设四种获奖等级的，第四等不加分。</w:t>
      </w:r>
    </w:p>
    <w:p>
      <w:pPr>
        <w:spacing w:line="480" w:lineRule="auto"/>
        <w:ind w:firstLine="640" w:firstLineChars="200"/>
        <w:rPr>
          <w:rFonts w:hint="default" w:eastAsia="仿宋_GB2312"/>
          <w:sz w:val="32"/>
          <w:szCs w:val="32"/>
          <w:lang w:val="en-US" w:eastAsia="zh-CN"/>
        </w:rPr>
      </w:pPr>
      <w:r>
        <w:rPr>
          <w:rFonts w:hint="eastAsia" w:eastAsia="仿宋_GB2312"/>
          <w:sz w:val="32"/>
          <w:szCs w:val="32"/>
          <w:lang w:val="en-US" w:eastAsia="zh-CN"/>
        </w:rPr>
        <w:t>6、学生参加中国国际大学生创新大赛（原中国国际“互联网+”大学生创新创业大赛）、“挑战杯”全国大学生系列科技学术竞赛获奖可在优秀加分基础上获得额外加分，额外加分标准按照《哈尔滨工业大学关于加强高水平科技创新竞赛激励的若干意见》（哈工大本</w:t>
      </w:r>
      <w:r>
        <w:rPr>
          <w:rFonts w:ascii="Times New Roman" w:hAnsi="Times New Roman" w:eastAsia="方正仿宋简体" w:cs="Times New Roman"/>
          <w:sz w:val="32"/>
          <w:szCs w:val="32"/>
        </w:rPr>
        <w:t>〔</w:t>
      </w:r>
      <w:r>
        <w:rPr>
          <w:rFonts w:hint="eastAsia" w:eastAsia="仿宋_GB2312"/>
          <w:sz w:val="32"/>
          <w:szCs w:val="32"/>
          <w:lang w:val="en-US" w:eastAsia="zh-CN"/>
        </w:rPr>
        <w:t>2024</w:t>
      </w:r>
      <w:r>
        <w:rPr>
          <w:rFonts w:ascii="Times New Roman" w:hAnsi="Times New Roman" w:eastAsia="方正仿宋简体" w:cs="Times New Roman"/>
          <w:sz w:val="32"/>
          <w:szCs w:val="32"/>
        </w:rPr>
        <w:t>〕</w:t>
      </w:r>
      <w:r>
        <w:rPr>
          <w:rFonts w:hint="eastAsia" w:eastAsia="仿宋_GB2312"/>
          <w:sz w:val="32"/>
          <w:szCs w:val="32"/>
          <w:lang w:val="en-US" w:eastAsia="zh-CN"/>
        </w:rPr>
        <w:t>94号）执行。</w:t>
      </w:r>
    </w:p>
    <w:p>
      <w:pPr>
        <w:spacing w:before="156" w:beforeLines="50" w:after="156" w:afterLines="50" w:line="480" w:lineRule="auto"/>
        <w:rPr>
          <w:rFonts w:eastAsia="仿宋_GB2312"/>
          <w:b/>
          <w:sz w:val="32"/>
          <w:szCs w:val="32"/>
        </w:rPr>
      </w:pPr>
      <w:r>
        <w:rPr>
          <w:rFonts w:eastAsia="仿宋_GB2312"/>
          <w:b/>
          <w:sz w:val="32"/>
          <w:szCs w:val="32"/>
        </w:rPr>
        <w:t>三、学</w:t>
      </w:r>
      <w:r>
        <w:rPr>
          <w:rFonts w:hint="eastAsia" w:eastAsia="仿宋_GB2312"/>
          <w:b/>
          <w:sz w:val="32"/>
          <w:szCs w:val="32"/>
          <w:lang w:val="en-US" w:eastAsia="zh-CN"/>
        </w:rPr>
        <w:t>部</w:t>
      </w:r>
      <w:r>
        <w:rPr>
          <w:rFonts w:eastAsia="仿宋_GB2312"/>
          <w:b/>
          <w:sz w:val="32"/>
          <w:szCs w:val="32"/>
        </w:rPr>
        <w:t>认定的国际或国家级科技类竞赛加分项目</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[1]中国国际大学生创新大赛</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[2]“挑战杯”全国大学生课外学术科技作品竞赛（特等奖和一等奖均按一等奖加分）</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[3] “挑战杯”中国大学生创业计划大赛</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[4]全国大学生创新年会（年会获奖按国家一等奖加分，入围年会决赛并参会按国家二等奖加分）</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[5]全国大学生机器人大赛-RoboMaster（超级对抗赛、高校单项赛、高校人工智能挑战赛）、RoboCon；亚太大学生机器人大赛（ABU RoboCon）（特等奖和一等奖均按一等奖加分）</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[6]中国高校智能机器人创意大赛（特等奖和一等奖均按一等奖加分）</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[7]中国大学生物理学术竞赛</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[8]全国大学生物理实验竞赛（一、二等奖降等加分，三等奖不加分）</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[9]全国大学生数学竞赛（决赛获奖加分）</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[10]全国大学生数学建模竞赛</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[11]美国大学生数学建模竞赛（特等奖按一等奖加分，提名特等奖按二等奖加分，一等奖按三等奖加分）</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[12]全国大学生生命科学竞赛 (CULSC)–科学探究类、创新创业类</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[13]中国大学生计算机设计大赛（一、二等奖降等加分，三等奖不加分）</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[14]国际大学生程序设计竞赛（ICPC）</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[15]全国大学生信息安全竞赛</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[16]全国大学生软件创新大赛</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[17]中国高校计算机大赛-移动应用创新赛、网络技术挑战赛、人工智能创意赛（移动应用创新赛：一、二等奖降等加分，三等奖不加分；网络技术挑战赛：特、一、二等奖降等加分，三等奖不加分）</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[18]中国机器人及人工智能大赛（一、二等奖降等加分，三等奖不加分）</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[19]全国大学生计算机系统能力大赛（特等奖和一等奖均按一等奖加分）</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[20]全球校园人工智能算法精英大赛（一、二等奖降等加分，三等奖不加分）</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[21]“外研社·国才杯”“理解当代中国”全国大学生外语能力大赛-英语组、多语种组俄语组、多语种组日语组</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[22]“外研社·国才杯”全国大学生英语辩论赛（特等奖和一等奖均按一等奖加分）</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[23]“21世纪杯”全国英语演讲比赛（特等奖和一等奖均按一等奖加分）</w:t>
      </w:r>
    </w:p>
    <w:p>
      <w:pPr>
        <w:spacing w:line="480" w:lineRule="auto"/>
        <w:ind w:firstLine="640" w:firstLineChars="200"/>
        <w:rPr>
          <w:rFonts w:hint="eastAsia" w:eastAsia="仿宋_GB2312"/>
          <w:sz w:val="32"/>
          <w:szCs w:val="32"/>
          <w:lang w:val="en-US" w:eastAsia="zh-CN"/>
        </w:rPr>
      </w:pPr>
      <w:r>
        <w:rPr>
          <w:rFonts w:hint="eastAsia" w:eastAsia="仿宋_GB2312"/>
          <w:sz w:val="32"/>
          <w:szCs w:val="32"/>
          <w:lang w:val="en-US" w:eastAsia="zh-CN"/>
        </w:rPr>
        <w:t>[24]全国大学生职业规划大赛（学生赛道）（金奖按一等奖加分，银奖按二等奖加分，铜奖按三等奖加分）</w:t>
      </w:r>
    </w:p>
    <w:p>
      <w:pPr>
        <w:spacing w:line="480" w:lineRule="auto"/>
        <w:ind w:firstLine="640" w:firstLineChars="200"/>
        <w:rPr>
          <w:rFonts w:hint="eastAsia" w:ascii="Times New Roman" w:hAnsi="Times New Roman" w:eastAsia="仿宋_GB2312" w:cs="Times New Roman"/>
          <w:sz w:val="32"/>
          <w:szCs w:val="32"/>
        </w:rPr>
      </w:pPr>
      <w:r>
        <w:rPr>
          <w:rFonts w:eastAsia="仿宋_GB2312"/>
          <w:sz w:val="32"/>
          <w:szCs w:val="32"/>
        </w:rPr>
        <w:t>本细则自</w:t>
      </w:r>
      <w:r>
        <w:rPr>
          <w:rFonts w:eastAsia="仿宋_GB2312"/>
          <w:color w:val="auto"/>
          <w:sz w:val="32"/>
          <w:szCs w:val="32"/>
        </w:rPr>
        <w:t>202</w:t>
      </w:r>
      <w:r>
        <w:rPr>
          <w:rFonts w:hint="eastAsia" w:eastAsia="仿宋_GB2312"/>
          <w:color w:val="auto"/>
          <w:sz w:val="32"/>
          <w:szCs w:val="32"/>
          <w:lang w:val="en-US" w:eastAsia="zh-CN"/>
        </w:rPr>
        <w:t>4</w:t>
      </w:r>
      <w:r>
        <w:rPr>
          <w:rFonts w:eastAsia="仿宋_GB2312"/>
          <w:color w:val="auto"/>
          <w:sz w:val="32"/>
          <w:szCs w:val="32"/>
        </w:rPr>
        <w:t>年</w:t>
      </w:r>
      <w:r>
        <w:rPr>
          <w:rFonts w:hint="eastAsia" w:eastAsia="仿宋_GB2312"/>
          <w:color w:val="auto"/>
          <w:sz w:val="32"/>
          <w:szCs w:val="32"/>
          <w:lang w:val="en-US" w:eastAsia="zh-CN"/>
        </w:rPr>
        <w:t>5</w:t>
      </w:r>
      <w:r>
        <w:rPr>
          <w:rFonts w:eastAsia="仿宋_GB2312"/>
          <w:color w:val="auto"/>
          <w:sz w:val="32"/>
          <w:szCs w:val="32"/>
        </w:rPr>
        <w:t>月</w:t>
      </w:r>
      <w:r>
        <w:rPr>
          <w:rFonts w:hint="eastAsia" w:eastAsia="仿宋_GB2312"/>
          <w:color w:val="auto"/>
          <w:sz w:val="32"/>
          <w:szCs w:val="32"/>
          <w:lang w:val="en-US" w:eastAsia="zh-CN"/>
        </w:rPr>
        <w:t>1</w:t>
      </w:r>
      <w:r>
        <w:rPr>
          <w:rFonts w:eastAsia="仿宋_GB2312"/>
          <w:color w:val="auto"/>
          <w:sz w:val="32"/>
          <w:szCs w:val="32"/>
        </w:rPr>
        <w:t>日</w:t>
      </w:r>
      <w:r>
        <w:rPr>
          <w:rFonts w:eastAsia="仿宋_GB2312"/>
          <w:sz w:val="32"/>
          <w:szCs w:val="32"/>
        </w:rPr>
        <w:t>起执行，</w:t>
      </w:r>
      <w:r>
        <w:rPr>
          <w:rFonts w:hint="eastAsia" w:ascii="Times New Roman" w:hAnsi="Times New Roman" w:eastAsia="仿宋_GB2312" w:cs="Times New Roman"/>
          <w:sz w:val="32"/>
          <w:szCs w:val="32"/>
          <w:lang w:val="en-US" w:eastAsia="zh-CN"/>
        </w:rPr>
        <w:t>按照校本教务</w:t>
      </w:r>
      <w:r>
        <w:rPr>
          <w:rFonts w:ascii="Times New Roman" w:hAnsi="Times New Roman" w:eastAsia="方正仿宋简体" w:cs="Times New Roman"/>
          <w:sz w:val="32"/>
          <w:szCs w:val="32"/>
        </w:rPr>
        <w:t>〔</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4</w:t>
      </w:r>
      <w:r>
        <w:rPr>
          <w:rFonts w:ascii="Times New Roman" w:hAnsi="Times New Roman" w:eastAsia="方正仿宋简体" w:cs="Times New Roman"/>
          <w:sz w:val="32"/>
          <w:szCs w:val="32"/>
        </w:rPr>
        <w:t>〕</w:t>
      </w:r>
      <w:r>
        <w:rPr>
          <w:rFonts w:hint="eastAsia" w:ascii="Times New Roman" w:hAnsi="Times New Roman" w:eastAsia="仿宋_GB2312" w:cs="Times New Roman"/>
          <w:sz w:val="32"/>
          <w:szCs w:val="32"/>
          <w:lang w:val="en-US" w:eastAsia="zh-CN"/>
        </w:rPr>
        <w:t>18</w:t>
      </w:r>
      <w:r>
        <w:rPr>
          <w:rFonts w:hint="default" w:ascii="Times New Roman" w:hAnsi="Times New Roman" w:eastAsia="仿宋_GB2312" w:cs="Times New Roman"/>
          <w:sz w:val="32"/>
          <w:szCs w:val="32"/>
          <w:lang w:val="en-US" w:eastAsia="zh-CN"/>
        </w:rPr>
        <w:t>号</w:t>
      </w:r>
      <w:r>
        <w:rPr>
          <w:rFonts w:hint="eastAsia" w:ascii="Times New Roman" w:hAnsi="Times New Roman" w:eastAsia="仿宋_GB2312" w:cs="Times New Roman"/>
          <w:sz w:val="32"/>
          <w:szCs w:val="32"/>
          <w:lang w:val="en-US" w:eastAsia="zh-CN"/>
        </w:rPr>
        <w:t>文件要求，细则中涉及涉及调整的竞赛及优秀加分规则、额外加分规则，以获奖时间为时间节点，发布前获奖的按原细则执行，发布后获奖的按本细则执行。</w:t>
      </w:r>
    </w:p>
    <w:p>
      <w:pPr>
        <w:spacing w:line="480" w:lineRule="auto"/>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废止生命科学与技术学院院发</w:t>
      </w:r>
      <w:r>
        <w:rPr>
          <w:rFonts w:ascii="Times New Roman" w:hAnsi="Times New Roman" w:eastAsia="方正仿宋简体" w:cs="Times New Roman"/>
          <w:sz w:val="32"/>
          <w:szCs w:val="32"/>
        </w:rPr>
        <w:t>〔</w:t>
      </w:r>
      <w:r>
        <w:rPr>
          <w:rFonts w:hint="eastAsia" w:ascii="Times New Roman" w:hAnsi="Times New Roman" w:eastAsia="仿宋_GB2312" w:cs="Times New Roman"/>
          <w:sz w:val="32"/>
          <w:szCs w:val="32"/>
        </w:rPr>
        <w:t>20</w:t>
      </w:r>
      <w:r>
        <w:rPr>
          <w:rFonts w:hint="eastAsia" w:ascii="Times New Roman" w:hAnsi="Times New Roman" w:eastAsia="仿宋_GB2312" w:cs="Times New Roman"/>
          <w:sz w:val="32"/>
          <w:szCs w:val="32"/>
          <w:lang w:val="en-US" w:eastAsia="zh-CN"/>
        </w:rPr>
        <w:t>22</w:t>
      </w:r>
      <w:r>
        <w:rPr>
          <w:rFonts w:ascii="Times New Roman" w:hAnsi="Times New Roman" w:eastAsia="方正仿宋简体" w:cs="Times New Roman"/>
          <w:sz w:val="32"/>
          <w:szCs w:val="32"/>
        </w:rPr>
        <w:t>〕</w:t>
      </w:r>
      <w:r>
        <w:rPr>
          <w:rFonts w:hint="eastAsia" w:ascii="Times New Roman" w:hAnsi="Times New Roman" w:eastAsia="仿宋_GB2312" w:cs="Times New Roman"/>
          <w:sz w:val="32"/>
          <w:szCs w:val="32"/>
        </w:rPr>
        <w:t>001号文件。</w:t>
      </w:r>
      <w:bookmarkStart w:id="0" w:name="_GoBack"/>
      <w:bookmarkEnd w:id="0"/>
    </w:p>
    <w:p>
      <w:pPr>
        <w:spacing w:before="312" w:beforeLines="100" w:line="480" w:lineRule="auto"/>
        <w:ind w:firstLine="640" w:firstLineChars="200"/>
        <w:jc w:val="center"/>
        <w:rPr>
          <w:rFonts w:hint="default" w:eastAsia="仿宋_GB2312"/>
          <w:sz w:val="32"/>
          <w:szCs w:val="32"/>
          <w:lang w:val="en-US" w:eastAsia="zh-CN"/>
        </w:rPr>
      </w:pPr>
      <w:r>
        <w:rPr>
          <w:rFonts w:hint="eastAsia" w:eastAsia="仿宋_GB2312"/>
          <w:sz w:val="32"/>
          <w:szCs w:val="32"/>
          <w:lang w:val="en-US" w:eastAsia="zh-CN"/>
        </w:rPr>
        <w:t xml:space="preserve">                </w:t>
      </w:r>
      <w:r>
        <w:rPr>
          <w:rFonts w:eastAsia="仿宋_GB2312"/>
          <w:sz w:val="32"/>
          <w:szCs w:val="32"/>
        </w:rPr>
        <w:t>生命科学</w:t>
      </w:r>
      <w:r>
        <w:rPr>
          <w:rFonts w:hint="eastAsia" w:eastAsia="仿宋_GB2312"/>
          <w:sz w:val="32"/>
          <w:szCs w:val="32"/>
          <w:lang w:val="en-US" w:eastAsia="zh-CN"/>
        </w:rPr>
        <w:t>和医学学部</w:t>
      </w:r>
    </w:p>
    <w:p>
      <w:pPr>
        <w:jc w:val="center"/>
        <w:rPr>
          <w:sz w:val="52"/>
        </w:rPr>
      </w:pPr>
      <w:r>
        <w:rPr>
          <w:rFonts w:hint="eastAsia" w:eastAsia="仿宋_GB2312"/>
          <w:sz w:val="32"/>
          <w:szCs w:val="32"/>
          <w:lang w:val="en-US" w:eastAsia="zh-CN"/>
        </w:rPr>
        <w:t xml:space="preserve">                    </w:t>
      </w:r>
      <w:r>
        <w:rPr>
          <w:rFonts w:eastAsia="仿宋_GB2312"/>
          <w:sz w:val="32"/>
          <w:szCs w:val="32"/>
        </w:rPr>
        <w:t>202</w:t>
      </w:r>
      <w:r>
        <w:rPr>
          <w:rFonts w:hint="eastAsia" w:eastAsia="仿宋_GB2312"/>
          <w:sz w:val="32"/>
          <w:szCs w:val="32"/>
          <w:lang w:val="en-US" w:eastAsia="zh-CN"/>
        </w:rPr>
        <w:t>4</w:t>
      </w:r>
      <w:r>
        <w:rPr>
          <w:rFonts w:eastAsia="仿宋_GB2312"/>
          <w:sz w:val="32"/>
          <w:szCs w:val="32"/>
        </w:rPr>
        <w:t>年05月01日</w:t>
      </w:r>
    </w:p>
    <w:p/>
    <w:sectPr>
      <w:pgSz w:w="11906" w:h="16838"/>
      <w:pgMar w:top="1157" w:right="1236" w:bottom="1440" w:left="1066"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9C0EB3C-C77F-4682-9172-B725DC41E7A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BFA03A8-BCDD-4248-AD9E-31D1CEB902D6}"/>
  </w:font>
  <w:font w:name="华文中宋">
    <w:panose1 w:val="02010600040101010101"/>
    <w:charset w:val="86"/>
    <w:family w:val="auto"/>
    <w:pitch w:val="default"/>
    <w:sig w:usb0="00000287" w:usb1="080F0000" w:usb2="00000000" w:usb3="00000000" w:csb0="0004009F" w:csb1="DFD70000"/>
    <w:embedRegular r:id="rId3" w:fontKey="{AB7043AA-CFB7-42EC-82E6-F3B6071AA12C}"/>
  </w:font>
  <w:font w:name="方正小标宋简体">
    <w:panose1 w:val="03000509000000000000"/>
    <w:charset w:val="86"/>
    <w:family w:val="script"/>
    <w:pitch w:val="default"/>
    <w:sig w:usb0="00000001" w:usb1="080E0000" w:usb2="00000000" w:usb3="00000000" w:csb0="00040000" w:csb1="00000000"/>
    <w:embedRegular r:id="rId4" w:fontKey="{E4FCC0F2-1B36-4310-B2EC-993E60C07E4D}"/>
  </w:font>
  <w:font w:name="仿宋_GB2312">
    <w:altName w:val="仿宋"/>
    <w:panose1 w:val="00000000000000000000"/>
    <w:charset w:val="86"/>
    <w:family w:val="modern"/>
    <w:pitch w:val="default"/>
    <w:sig w:usb0="00000000" w:usb1="00000000" w:usb2="00000010" w:usb3="00000000" w:csb0="00040001" w:csb1="00000000"/>
    <w:embedRegular r:id="rId5" w:fontKey="{3DE1D4D9-32B3-473E-B407-A88E64322532}"/>
  </w:font>
  <w:font w:name="方正仿宋简体">
    <w:panose1 w:val="03000509000000000000"/>
    <w:charset w:val="86"/>
    <w:family w:val="script"/>
    <w:pitch w:val="default"/>
    <w:sig w:usb0="00000001" w:usb1="080E0000" w:usb2="00000000" w:usb3="00000000" w:csb0="00040000" w:csb1="00000000"/>
    <w:embedRegular r:id="rId6" w:fontKey="{1D14BBED-B070-421C-B67D-115E50B1CDCF}"/>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FkNTllZGVmY2U1NjU4MjQ4ODlkZjg3OWQxMjU3NDgifQ=="/>
  </w:docVars>
  <w:rsids>
    <w:rsidRoot w:val="001370B7"/>
    <w:rsid w:val="001370B7"/>
    <w:rsid w:val="004C685B"/>
    <w:rsid w:val="00612856"/>
    <w:rsid w:val="00647003"/>
    <w:rsid w:val="00997FB9"/>
    <w:rsid w:val="00A27666"/>
    <w:rsid w:val="00A914C7"/>
    <w:rsid w:val="02951D9B"/>
    <w:rsid w:val="048C3708"/>
    <w:rsid w:val="06021341"/>
    <w:rsid w:val="06F16C09"/>
    <w:rsid w:val="098712C8"/>
    <w:rsid w:val="0A8050BC"/>
    <w:rsid w:val="0F917E25"/>
    <w:rsid w:val="106317C1"/>
    <w:rsid w:val="115A0E16"/>
    <w:rsid w:val="13E3335E"/>
    <w:rsid w:val="17FC7CBC"/>
    <w:rsid w:val="1C39055B"/>
    <w:rsid w:val="1D772D50"/>
    <w:rsid w:val="200E2F74"/>
    <w:rsid w:val="205D622D"/>
    <w:rsid w:val="239D4B92"/>
    <w:rsid w:val="26445799"/>
    <w:rsid w:val="2CAE1BBE"/>
    <w:rsid w:val="2CB847EB"/>
    <w:rsid w:val="2EA64726"/>
    <w:rsid w:val="32737B32"/>
    <w:rsid w:val="37E143D6"/>
    <w:rsid w:val="38F76303"/>
    <w:rsid w:val="394221E6"/>
    <w:rsid w:val="3A1729B9"/>
    <w:rsid w:val="3A394DA6"/>
    <w:rsid w:val="3DA05D07"/>
    <w:rsid w:val="3EBD5A23"/>
    <w:rsid w:val="429A4C67"/>
    <w:rsid w:val="44992508"/>
    <w:rsid w:val="449A2CFC"/>
    <w:rsid w:val="4A78588E"/>
    <w:rsid w:val="4C6F4A6E"/>
    <w:rsid w:val="4ED67027"/>
    <w:rsid w:val="509E5922"/>
    <w:rsid w:val="55BE0F68"/>
    <w:rsid w:val="57CA1BA0"/>
    <w:rsid w:val="59640843"/>
    <w:rsid w:val="5E4B26B0"/>
    <w:rsid w:val="5E9D36BD"/>
    <w:rsid w:val="5FB7623B"/>
    <w:rsid w:val="60BD3BA3"/>
    <w:rsid w:val="645C7B76"/>
    <w:rsid w:val="660C7E95"/>
    <w:rsid w:val="69726F93"/>
    <w:rsid w:val="69CF0A1E"/>
    <w:rsid w:val="70286222"/>
    <w:rsid w:val="77BB1AF6"/>
    <w:rsid w:val="7894655A"/>
    <w:rsid w:val="79A11E5C"/>
    <w:rsid w:val="7B3D08D4"/>
    <w:rsid w:val="7B6A2721"/>
    <w:rsid w:val="7EC65C47"/>
    <w:rsid w:val="7F4734A5"/>
    <w:rsid w:val="7F6D05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0"/>
    <w:rPr>
      <w:kern w:val="2"/>
      <w:sz w:val="18"/>
      <w:szCs w:val="18"/>
    </w:rPr>
  </w:style>
  <w:style w:type="character" w:customStyle="1" w:styleId="8">
    <w:name w:val="页脚 字符"/>
    <w:basedOn w:val="6"/>
    <w:link w:val="3"/>
    <w:qFormat/>
    <w:uiPriority w:val="0"/>
    <w:rPr>
      <w:kern w:val="2"/>
      <w:sz w:val="18"/>
      <w:szCs w:val="18"/>
    </w:rPr>
  </w:style>
  <w:style w:type="character" w:customStyle="1" w:styleId="9">
    <w:name w:val="批注框文本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daohangxitong.com</Company>
  <Pages>5</Pages>
  <Words>1781</Words>
  <Characters>1951</Characters>
  <Lines>1</Lines>
  <Paragraphs>1</Paragraphs>
  <TotalTime>0</TotalTime>
  <ScaleCrop>false</ScaleCrop>
  <LinksUpToDate>false</LinksUpToDate>
  <CharactersWithSpaces>1994</CharactersWithSpaces>
  <Application>WPS Office_12.1.0.16910_F1E327BC-269C-435d-A152-05C5408002CA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2023-12-26T09:32:00Z</dcterms:created>
  <dc:creator>Administrator</dc:creator>
  <cp:lastModifiedBy>郭长友</cp:lastModifiedBy>
  <cp:lastPrinted>2022-08-22T07:09:00Z</cp:lastPrinted>
  <dcterms:modified xsi:type="dcterms:W3CDTF">2024-05-15T09:32:56Z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2052-12.1.0.16910</vt:lpwstr>
  </property>
  <property fmtid="{D5CDD505-2E9C-101B-9397-08002B2CF9AE}" pid="3" name="ICV">
    <vt:lpwstr>31C502A8131641A08878921888E67B23</vt:lpwstr>
  </property>
</Properties>
</file>