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bookmarkStart w:id="2" w:name="_GoBack"/>
      <w:bookmarkEnd w:id="2"/>
      <w:r>
        <w:pict>
          <v:shape id="_x0000_i1025" o:spt="136" type="#_x0000_t136" style="height:59.05pt;width:448.35pt;" fillcolor="#FF0000" filled="t" stroked="t" coordsize="21600,21600" adj="10800">
            <v:path/>
            <v:fill on="t" color2="#FFFFFF" focussize="0,0"/>
            <v:stroke weight="0.5pt" color="#FF0000"/>
            <v:imagedata o:title=""/>
            <o:lock v:ext="edit" aspectratio="f"/>
            <v:textpath on="t" fitshape="t" fitpath="t" trim="t" xscale="f" string="东北石油大学文件" style="font-family:方正小标宋简体;font-size:24pt;v-text-align:center;"/>
            <w10:wrap type="none"/>
            <w10:anchorlock/>
          </v:shape>
        </w:pict>
      </w:r>
    </w:p>
    <w:p/>
    <w:p/>
    <w:p>
      <w:pPr>
        <w:jc w:val="center"/>
        <w:rPr>
          <w:rFonts w:hint="eastAsia" w:ascii="仿宋_GB2312" w:hAnsi="仿宋_GB2312" w:eastAsia="仿宋_GB2312" w:cs="仿宋_GB2312"/>
          <w:sz w:val="32"/>
          <w:szCs w:val="32"/>
          <w:lang w:eastAsia="zh-CN"/>
        </w:rPr>
      </w:pPr>
      <w:bookmarkStart w:id="0" w:name="PO_WH"/>
      <w:r>
        <w:rPr>
          <w:rFonts w:hint="eastAsia" w:ascii="仿宋_GB2312" w:hAnsi="仿宋_GB2312" w:eastAsia="仿宋_GB2312" w:cs="仿宋_GB2312"/>
          <w:sz w:val="32"/>
          <w:szCs w:val="32"/>
          <w:lang w:eastAsia="zh-CN"/>
        </w:rPr>
        <w:t>东油校发〔2023〕140号</w:t>
      </w:r>
      <w:bookmarkEnd w:id="0"/>
    </w:p>
    <w:p>
      <w:r>
        <w:rPr>
          <w:rFonts w:hint="eastAsia"/>
        </w:rPr>
        <mc:AlternateContent>
          <mc:Choice Requires="wps">
            <w:drawing>
              <wp:anchor distT="0" distB="0" distL="114300" distR="114300" simplePos="0" relativeHeight="251659264" behindDoc="0" locked="0" layoutInCell="1" allowOverlap="1">
                <wp:simplePos x="0" y="0"/>
                <wp:positionH relativeFrom="column">
                  <wp:posOffset>-25400</wp:posOffset>
                </wp:positionH>
                <wp:positionV relativeFrom="paragraph">
                  <wp:posOffset>152400</wp:posOffset>
                </wp:positionV>
                <wp:extent cx="5727700" cy="0"/>
                <wp:effectExtent l="0" t="12700" r="6350" b="15875"/>
                <wp:wrapNone/>
                <wp:docPr id="2" name="直接连接符 2"/>
                <wp:cNvGraphicFramePr/>
                <a:graphic xmlns:a="http://schemas.openxmlformats.org/drawingml/2006/main">
                  <a:graphicData uri="http://schemas.microsoft.com/office/word/2010/wordprocessingShape">
                    <wps:wsp>
                      <wps:cNvCnPr>
                        <a:cxnSpLocks noChangeShapeType="1"/>
                      </wps:cNvCnPr>
                      <wps:spPr bwMode="auto">
                        <a:xfrm>
                          <a:off x="0" y="0"/>
                          <a:ext cx="5727700" cy="0"/>
                        </a:xfrm>
                        <a:prstGeom prst="line">
                          <a:avLst/>
                        </a:prstGeom>
                        <a:noFill/>
                        <a:ln w="25400">
                          <a:solidFill>
                            <a:srgbClr val="FF0000"/>
                          </a:solidFill>
                          <a:round/>
                        </a:ln>
                      </wps:spPr>
                      <wps:bodyPr/>
                    </wps:wsp>
                  </a:graphicData>
                </a:graphic>
              </wp:anchor>
            </w:drawing>
          </mc:Choice>
          <mc:Fallback>
            <w:pict>
              <v:line id="_x0000_s1026" o:spid="_x0000_s1026" o:spt="20" style="position:absolute;left:0pt;margin-left:-2pt;margin-top:12pt;height:0pt;width:451pt;z-index:251659264;mso-width-relative:page;mso-height-relative:page;" filled="f" stroked="t" coordsize="21600,21600" o:gfxdata="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NnU4ojVAAAACAEA&#10;AA8AAAAAAAAAAQAgAAAAIgAAAGRycy9kb3ducmV2LnhtbFBLAQIUABQAAAAIAIdO4kDO3rgw5AEA&#10;AKsDAAAOAAAAAAAAAAEAIAAAACQBAABkcnMvZTJvRG9jLnhtbFBLBQYAAAAABgAGAFkBAAB6BQAA&#10;AAA=&#10;">
                <v:fill on="f" focussize="0,0"/>
                <v:stroke weight="2pt" color="#FF0000" joinstyle="round"/>
                <v:imagedata o:title=""/>
                <o:lock v:ext="edit" aspectratio="f"/>
              </v:line>
            </w:pict>
          </mc:Fallback>
        </mc:AlternateContent>
      </w:r>
    </w:p>
    <w:p/>
    <w:p>
      <w:pPr>
        <w:keepNext w:val="0"/>
        <w:keepLines w:val="0"/>
        <w:pageBreakBefore w:val="0"/>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 w:val="left" w:pos="15540"/>
          <w:tab w:val="left" w:pos="15960"/>
          <w:tab w:val="left" w:pos="16380"/>
          <w:tab w:val="left" w:pos="16800"/>
        </w:tabs>
        <w:kinsoku/>
        <w:wordWrap/>
        <w:overflowPunct/>
        <w:topLinePunct w:val="0"/>
        <w:autoSpaceDE w:val="0"/>
        <w:autoSpaceDN w:val="0"/>
        <w:bidi w:val="0"/>
        <w:adjustRightInd w:val="0"/>
        <w:snapToGrid/>
        <w:spacing w:line="560" w:lineRule="exact"/>
        <w:jc w:val="center"/>
        <w:textAlignment w:val="auto"/>
        <w:rPr>
          <w:rFonts w:hint="eastAsia" w:ascii="宋体" w:hAnsi="宋体" w:eastAsia="宋体" w:cs="宋体"/>
          <w:b/>
          <w:bCs/>
          <w:color w:val="000000"/>
          <w:kern w:val="0"/>
          <w:sz w:val="36"/>
          <w:szCs w:val="36"/>
        </w:rPr>
      </w:pPr>
      <w:bookmarkStart w:id="1" w:name="PO_Body"/>
    </w:p>
    <w:p>
      <w:pPr>
        <w:keepNext w:val="0"/>
        <w:keepLines w:val="0"/>
        <w:pageBreakBefore w:val="0"/>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 w:val="left" w:pos="15540"/>
          <w:tab w:val="left" w:pos="15960"/>
          <w:tab w:val="left" w:pos="16380"/>
          <w:tab w:val="left" w:pos="16800"/>
        </w:tabs>
        <w:kinsoku/>
        <w:wordWrap/>
        <w:overflowPunct/>
        <w:topLinePunct w:val="0"/>
        <w:autoSpaceDE w:val="0"/>
        <w:autoSpaceDN w:val="0"/>
        <w:bidi w:val="0"/>
        <w:adjustRightInd w:val="0"/>
        <w:snapToGrid/>
        <w:spacing w:line="560" w:lineRule="exact"/>
        <w:jc w:val="center"/>
        <w:textAlignment w:val="auto"/>
        <w:rPr>
          <w:rFonts w:hint="eastAsia" w:ascii="方正小标宋简体" w:hAnsi="方正小标宋简体" w:eastAsia="方正小标宋简体" w:cs="方正小标宋简体"/>
          <w:b w:val="0"/>
          <w:bCs w:val="0"/>
          <w:color w:val="000000"/>
          <w:kern w:val="0"/>
          <w:sz w:val="44"/>
          <w:szCs w:val="44"/>
        </w:rPr>
      </w:pPr>
      <w:r>
        <w:rPr>
          <w:rFonts w:hint="eastAsia" w:ascii="方正小标宋简体" w:hAnsi="方正小标宋简体" w:eastAsia="方正小标宋简体" w:cs="方正小标宋简体"/>
          <w:b w:val="0"/>
          <w:bCs w:val="0"/>
          <w:color w:val="000000"/>
          <w:kern w:val="0"/>
          <w:sz w:val="44"/>
          <w:szCs w:val="44"/>
        </w:rPr>
        <w:t>关于修订《东北石油大学本硕连读</w:t>
      </w:r>
    </w:p>
    <w:p>
      <w:pPr>
        <w:keepNext w:val="0"/>
        <w:keepLines w:val="0"/>
        <w:pageBreakBefore w:val="0"/>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 w:val="left" w:pos="15540"/>
          <w:tab w:val="left" w:pos="15960"/>
          <w:tab w:val="left" w:pos="16380"/>
          <w:tab w:val="left" w:pos="16800"/>
        </w:tabs>
        <w:kinsoku/>
        <w:wordWrap/>
        <w:overflowPunct/>
        <w:topLinePunct w:val="0"/>
        <w:autoSpaceDE w:val="0"/>
        <w:autoSpaceDN w:val="0"/>
        <w:bidi w:val="0"/>
        <w:adjustRightInd w:val="0"/>
        <w:snapToGrid/>
        <w:spacing w:line="560" w:lineRule="exact"/>
        <w:jc w:val="center"/>
        <w:textAlignment w:val="auto"/>
        <w:rPr>
          <w:rFonts w:hint="eastAsia" w:ascii="方正小标宋简体" w:hAnsi="方正小标宋简体" w:eastAsia="方正小标宋简体" w:cs="方正小标宋简体"/>
          <w:b w:val="0"/>
          <w:bCs w:val="0"/>
          <w:color w:val="000000"/>
          <w:kern w:val="0"/>
          <w:sz w:val="44"/>
          <w:szCs w:val="44"/>
        </w:rPr>
      </w:pPr>
      <w:r>
        <w:rPr>
          <w:rFonts w:hint="eastAsia" w:ascii="方正小标宋简体" w:hAnsi="方正小标宋简体" w:eastAsia="方正小标宋简体" w:cs="方正小标宋简体"/>
          <w:b w:val="0"/>
          <w:bCs w:val="0"/>
          <w:color w:val="000000"/>
          <w:kern w:val="0"/>
          <w:sz w:val="44"/>
          <w:szCs w:val="44"/>
        </w:rPr>
        <w:t>实验班实施方案》的通知</w:t>
      </w:r>
    </w:p>
    <w:p>
      <w:pPr>
        <w:keepNext w:val="0"/>
        <w:keepLines w:val="0"/>
        <w:pageBreakBefore w:val="0"/>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 w:val="left" w:pos="15540"/>
          <w:tab w:val="left" w:pos="15960"/>
          <w:tab w:val="left" w:pos="16380"/>
          <w:tab w:val="left" w:pos="16800"/>
        </w:tabs>
        <w:kinsoku/>
        <w:wordWrap/>
        <w:overflowPunct/>
        <w:topLinePunct w:val="0"/>
        <w:autoSpaceDE w:val="0"/>
        <w:autoSpaceDN w:val="0"/>
        <w:bidi w:val="0"/>
        <w:adjustRightInd w:val="0"/>
        <w:snapToGrid/>
        <w:spacing w:line="560" w:lineRule="exact"/>
        <w:jc w:val="left"/>
        <w:textAlignment w:val="auto"/>
        <w:rPr>
          <w:rFonts w:hint="eastAsia" w:ascii="宋体" w:hAnsi="宋体" w:eastAsia="宋体" w:cs="宋体"/>
          <w:color w:val="000000"/>
          <w:kern w:val="0"/>
          <w:sz w:val="28"/>
          <w:szCs w:val="28"/>
        </w:rPr>
      </w:pPr>
    </w:p>
    <w:p>
      <w:pPr>
        <w:keepNext w:val="0"/>
        <w:keepLines w:val="0"/>
        <w:pageBreakBefore w:val="0"/>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 w:val="left" w:pos="15540"/>
          <w:tab w:val="left" w:pos="15960"/>
          <w:tab w:val="left" w:pos="16380"/>
          <w:tab w:val="left" w:pos="16800"/>
        </w:tabs>
        <w:kinsoku/>
        <w:wordWrap/>
        <w:overflowPunct/>
        <w:topLinePunct w:val="0"/>
        <w:autoSpaceDE w:val="0"/>
        <w:autoSpaceDN w:val="0"/>
        <w:bidi w:val="0"/>
        <w:adjustRightInd w:val="0"/>
        <w:snapToGrid/>
        <w:spacing w:line="560" w:lineRule="exact"/>
        <w:jc w:val="left"/>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各院部、直属单位、机关各部处室：</w:t>
      </w:r>
    </w:p>
    <w:p>
      <w:pPr>
        <w:keepNext w:val="0"/>
        <w:keepLines w:val="0"/>
        <w:pageBreakBefore w:val="0"/>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 w:val="left" w:pos="15540"/>
          <w:tab w:val="left" w:pos="15960"/>
          <w:tab w:val="left" w:pos="16380"/>
          <w:tab w:val="left" w:pos="16800"/>
        </w:tabs>
        <w:kinsoku/>
        <w:wordWrap/>
        <w:overflowPunct/>
        <w:topLinePunct w:val="0"/>
        <w:autoSpaceDE w:val="0"/>
        <w:autoSpaceDN w:val="0"/>
        <w:bidi w:val="0"/>
        <w:adjustRightInd w:val="0"/>
        <w:snapToGrid/>
        <w:spacing w:line="560" w:lineRule="exact"/>
        <w:ind w:firstLine="570"/>
        <w:jc w:val="left"/>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《东北石油大学本硕连读实验班实施方案》修订稿经2023年12月13日第17次校长办公会讨论通过，现印发全校，请遵照执行。</w:t>
      </w:r>
    </w:p>
    <w:p>
      <w:pPr>
        <w:keepNext w:val="0"/>
        <w:keepLines w:val="0"/>
        <w:pageBreakBefore w:val="0"/>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 w:val="left" w:pos="15540"/>
          <w:tab w:val="left" w:pos="15960"/>
          <w:tab w:val="left" w:pos="16380"/>
          <w:tab w:val="left" w:pos="16800"/>
        </w:tabs>
        <w:kinsoku/>
        <w:wordWrap/>
        <w:overflowPunct/>
        <w:topLinePunct w:val="0"/>
        <w:autoSpaceDE w:val="0"/>
        <w:autoSpaceDN w:val="0"/>
        <w:bidi w:val="0"/>
        <w:adjustRightInd w:val="0"/>
        <w:snapToGrid/>
        <w:spacing w:line="560" w:lineRule="exact"/>
        <w:ind w:firstLine="570"/>
        <w:jc w:val="left"/>
        <w:textAlignment w:val="auto"/>
        <w:rPr>
          <w:rFonts w:hint="eastAsia" w:ascii="仿宋_GB2312" w:hAnsi="仿宋_GB2312" w:eastAsia="仿宋_GB2312" w:cs="仿宋_GB2312"/>
          <w:color w:val="000000"/>
          <w:kern w:val="0"/>
          <w:sz w:val="32"/>
          <w:szCs w:val="32"/>
        </w:rPr>
      </w:pPr>
    </w:p>
    <w:p>
      <w:pPr>
        <w:keepNext w:val="0"/>
        <w:keepLines w:val="0"/>
        <w:pageBreakBefore w:val="0"/>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 w:val="left" w:pos="15540"/>
          <w:tab w:val="left" w:pos="15960"/>
          <w:tab w:val="left" w:pos="16380"/>
          <w:tab w:val="left" w:pos="16800"/>
        </w:tabs>
        <w:kinsoku/>
        <w:wordWrap/>
        <w:overflowPunct/>
        <w:topLinePunct w:val="0"/>
        <w:autoSpaceDE w:val="0"/>
        <w:autoSpaceDN w:val="0"/>
        <w:bidi w:val="0"/>
        <w:adjustRightInd w:val="0"/>
        <w:snapToGrid/>
        <w:spacing w:line="560" w:lineRule="exact"/>
        <w:ind w:firstLine="570"/>
        <w:jc w:val="left"/>
        <w:textAlignment w:val="auto"/>
        <w:rPr>
          <w:rFonts w:hint="eastAsia" w:ascii="仿宋_GB2312" w:hAnsi="仿宋_GB2312" w:eastAsia="仿宋_GB2312" w:cs="仿宋_GB2312"/>
          <w:color w:val="000000"/>
          <w:kern w:val="0"/>
          <w:sz w:val="32"/>
          <w:szCs w:val="32"/>
        </w:rPr>
      </w:pPr>
    </w:p>
    <w:p>
      <w:pPr>
        <w:keepNext w:val="0"/>
        <w:keepLines w:val="0"/>
        <w:pageBreakBefore w:val="0"/>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 w:val="left" w:pos="15540"/>
          <w:tab w:val="left" w:pos="15960"/>
          <w:tab w:val="left" w:pos="16380"/>
          <w:tab w:val="left" w:pos="16800"/>
        </w:tabs>
        <w:kinsoku/>
        <w:wordWrap/>
        <w:overflowPunct/>
        <w:topLinePunct w:val="0"/>
        <w:autoSpaceDE w:val="0"/>
        <w:autoSpaceDN w:val="0"/>
        <w:bidi w:val="0"/>
        <w:adjustRightInd w:val="0"/>
        <w:snapToGrid/>
        <w:spacing w:line="560" w:lineRule="exact"/>
        <w:ind w:firstLine="570"/>
        <w:jc w:val="left"/>
        <w:textAlignment w:val="auto"/>
        <w:rPr>
          <w:rFonts w:hint="eastAsia" w:ascii="仿宋_GB2312" w:hAnsi="仿宋_GB2312" w:eastAsia="仿宋_GB2312" w:cs="仿宋_GB2312"/>
          <w:color w:val="000000"/>
          <w:kern w:val="0"/>
          <w:sz w:val="32"/>
          <w:szCs w:val="32"/>
        </w:rPr>
      </w:pPr>
      <w:r>
        <w:rPr>
          <w:sz w:val="32"/>
        </w:rPr>
        <w:drawing>
          <wp:anchor distT="0" distB="0" distL="114300" distR="114300" simplePos="0" relativeHeight="251662336" behindDoc="1" locked="0" layoutInCell="1" allowOverlap="1">
            <wp:simplePos x="0" y="0"/>
            <wp:positionH relativeFrom="column">
              <wp:posOffset>3899535</wp:posOffset>
            </wp:positionH>
            <wp:positionV relativeFrom="paragraph">
              <wp:posOffset>115570</wp:posOffset>
            </wp:positionV>
            <wp:extent cx="1511935" cy="1511935"/>
            <wp:effectExtent l="0" t="0" r="12065" b="12065"/>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5">
                      <a:clrChange>
                        <a:clrFrom>
                          <a:srgbClr val="FFFFFF"/>
                        </a:clrFrom>
                        <a:clrTo>
                          <a:srgbClr val="FFFFFF">
                            <a:alpha val="0"/>
                          </a:srgbClr>
                        </a:clrTo>
                      </a:clrChange>
                    </a:blip>
                    <a:stretch>
                      <a:fillRect/>
                    </a:stretch>
                  </pic:blipFill>
                  <pic:spPr>
                    <a:xfrm>
                      <a:off x="0" y="0"/>
                      <a:ext cx="1511935" cy="1511935"/>
                    </a:xfrm>
                    <a:prstGeom prst="rect">
                      <a:avLst/>
                    </a:prstGeom>
                  </pic:spPr>
                </pic:pic>
              </a:graphicData>
            </a:graphic>
          </wp:anchor>
        </w:drawing>
      </w:r>
    </w:p>
    <w:p>
      <w:pPr>
        <w:keepNext w:val="0"/>
        <w:keepLines w:val="0"/>
        <w:pageBreakBefore w:val="0"/>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 w:val="left" w:pos="15540"/>
          <w:tab w:val="left" w:pos="15960"/>
          <w:tab w:val="left" w:pos="16380"/>
          <w:tab w:val="left" w:pos="16800"/>
        </w:tabs>
        <w:kinsoku/>
        <w:wordWrap/>
        <w:overflowPunct/>
        <w:topLinePunct w:val="0"/>
        <w:autoSpaceDE w:val="0"/>
        <w:autoSpaceDN w:val="0"/>
        <w:bidi w:val="0"/>
        <w:adjustRightInd w:val="0"/>
        <w:snapToGrid/>
        <w:spacing w:line="560" w:lineRule="exact"/>
        <w:ind w:firstLine="570"/>
        <w:jc w:val="center"/>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lang w:val="en-US" w:eastAsia="zh-CN"/>
        </w:rPr>
        <w:t xml:space="preserve">                              </w:t>
      </w:r>
      <w:r>
        <w:rPr>
          <w:rFonts w:hint="eastAsia" w:ascii="仿宋_GB2312" w:hAnsi="仿宋_GB2312" w:eastAsia="仿宋_GB2312" w:cs="仿宋_GB2312"/>
          <w:color w:val="000000"/>
          <w:kern w:val="0"/>
          <w:sz w:val="32"/>
          <w:szCs w:val="32"/>
        </w:rPr>
        <w:t>东北石油大学</w:t>
      </w:r>
    </w:p>
    <w:p>
      <w:pPr>
        <w:keepNext w:val="0"/>
        <w:keepLines w:val="0"/>
        <w:pageBreakBefore w:val="0"/>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 w:val="left" w:pos="15540"/>
          <w:tab w:val="left" w:pos="15960"/>
          <w:tab w:val="left" w:pos="16380"/>
          <w:tab w:val="left" w:pos="16800"/>
        </w:tabs>
        <w:kinsoku/>
        <w:wordWrap w:val="0"/>
        <w:overflowPunct/>
        <w:topLinePunct w:val="0"/>
        <w:autoSpaceDE w:val="0"/>
        <w:autoSpaceDN w:val="0"/>
        <w:bidi w:val="0"/>
        <w:adjustRightInd w:val="0"/>
        <w:snapToGrid/>
        <w:spacing w:line="560" w:lineRule="exact"/>
        <w:jc w:val="righ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color w:val="000000"/>
          <w:kern w:val="0"/>
          <w:sz w:val="32"/>
          <w:szCs w:val="32"/>
        </w:rPr>
        <w:t>2023年12月</w:t>
      </w:r>
      <w:r>
        <w:rPr>
          <w:rFonts w:hint="eastAsia" w:ascii="仿宋_GB2312" w:hAnsi="仿宋_GB2312" w:eastAsia="仿宋_GB2312" w:cs="仿宋_GB2312"/>
          <w:color w:val="000000"/>
          <w:kern w:val="0"/>
          <w:sz w:val="32"/>
          <w:szCs w:val="32"/>
          <w:lang w:val="en-US" w:eastAsia="zh-CN"/>
        </w:rPr>
        <w:t>21</w:t>
      </w:r>
      <w:r>
        <w:rPr>
          <w:rFonts w:hint="eastAsia" w:ascii="仿宋_GB2312" w:hAnsi="仿宋_GB2312" w:eastAsia="仿宋_GB2312" w:cs="仿宋_GB2312"/>
          <w:color w:val="000000"/>
          <w:kern w:val="0"/>
          <w:sz w:val="32"/>
          <w:szCs w:val="32"/>
        </w:rPr>
        <w:t>日</w:t>
      </w:r>
      <w:r>
        <w:rPr>
          <w:rFonts w:hint="eastAsia" w:ascii="仿宋_GB2312" w:hAnsi="仿宋_GB2312" w:eastAsia="仿宋_GB2312" w:cs="仿宋_GB2312"/>
          <w:color w:val="000000"/>
          <w:kern w:val="0"/>
          <w:sz w:val="32"/>
          <w:szCs w:val="32"/>
          <w:lang w:val="en-US" w:eastAsia="zh-CN"/>
        </w:rPr>
        <w:t xml:space="preserve">    </w:t>
      </w:r>
    </w:p>
    <w:bookmarkEnd w:id="1"/>
    <w:p>
      <w:pPr>
        <w:rPr>
          <w:rFonts w:hint="eastAsia" w:ascii="仿宋_GB2312" w:hAnsi="仿宋_GB2312" w:eastAsia="仿宋_GB2312" w:cs="仿宋_GB2312"/>
          <w:sz w:val="32"/>
          <w:szCs w:val="32"/>
          <w:lang w:eastAsia="zh-CN"/>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bidi w:val="0"/>
        <w:adjustRightInd/>
        <w:snapToGrid/>
        <w:spacing w:line="560" w:lineRule="exact"/>
        <w:jc w:val="center"/>
        <w:textAlignment w:val="auto"/>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东北石油大学本硕连读实验班实施方案</w:t>
      </w:r>
    </w:p>
    <w:p>
      <w:pPr>
        <w:keepNext w:val="0"/>
        <w:keepLines w:val="0"/>
        <w:pageBreakBefore w:val="0"/>
        <w:widowControl w:val="0"/>
        <w:shd w:val="solid" w:color="FFFFFF" w:fill="auto"/>
        <w:kinsoku/>
        <w:wordWrap/>
        <w:overflowPunct/>
        <w:topLinePunct w:val="0"/>
        <w:autoSpaceDE/>
        <w:autoSpaceDN w:val="0"/>
        <w:bidi w:val="0"/>
        <w:adjustRightInd/>
        <w:snapToGrid/>
        <w:spacing w:line="560" w:lineRule="exact"/>
        <w:jc w:val="center"/>
        <w:textAlignment w:val="auto"/>
        <w:rPr>
          <w:rFonts w:hint="eastAsia" w:ascii="宋体" w:hAnsi="宋体" w:cs="宋体"/>
          <w:b/>
          <w:kern w:val="0"/>
          <w:sz w:val="28"/>
          <w:szCs w:val="28"/>
        </w:rPr>
      </w:pPr>
    </w:p>
    <w:p>
      <w:pPr>
        <w:keepNext w:val="0"/>
        <w:keepLines w:val="0"/>
        <w:pageBreakBefore w:val="0"/>
        <w:widowControl w:val="0"/>
        <w:numPr>
          <w:ilvl w:val="0"/>
          <w:numId w:val="1"/>
        </w:numPr>
        <w:shd w:val="solid" w:color="FFFFFF" w:fill="auto"/>
        <w:kinsoku/>
        <w:wordWrap/>
        <w:overflowPunct/>
        <w:topLinePunct w:val="0"/>
        <w:autoSpaceDE/>
        <w:autoSpaceDN w:val="0"/>
        <w:bidi w:val="0"/>
        <w:adjustRightInd/>
        <w:snapToGrid/>
        <w:spacing w:line="560" w:lineRule="exact"/>
        <w:jc w:val="center"/>
        <w:textAlignment w:val="auto"/>
        <w:rPr>
          <w:rFonts w:hint="eastAsia" w:ascii="黑体" w:hAnsi="黑体" w:eastAsia="黑体" w:cs="黑体"/>
          <w:b w:val="0"/>
          <w:bCs/>
          <w:kern w:val="0"/>
          <w:sz w:val="32"/>
          <w:szCs w:val="32"/>
        </w:rPr>
      </w:pPr>
      <w:r>
        <w:rPr>
          <w:rFonts w:ascii="宋体" w:hAnsi="宋体" w:cs="宋体"/>
          <w:b/>
          <w:kern w:val="0"/>
          <w:sz w:val="28"/>
          <w:szCs w:val="28"/>
        </w:rPr>
        <w:t xml:space="preserve"> </w:t>
      </w:r>
      <w:r>
        <w:rPr>
          <w:rFonts w:hint="eastAsia" w:ascii="黑体" w:hAnsi="黑体" w:eastAsia="黑体" w:cs="黑体"/>
          <w:b w:val="0"/>
          <w:bCs/>
          <w:kern w:val="0"/>
          <w:sz w:val="32"/>
          <w:szCs w:val="32"/>
        </w:rPr>
        <w:t>总</w:t>
      </w:r>
      <w:r>
        <w:rPr>
          <w:rFonts w:hint="eastAsia" w:ascii="黑体" w:hAnsi="黑体" w:eastAsia="黑体" w:cs="黑体"/>
          <w:b w:val="0"/>
          <w:bCs/>
          <w:kern w:val="0"/>
          <w:sz w:val="32"/>
          <w:szCs w:val="32"/>
          <w:lang w:val="en-US" w:eastAsia="zh-CN"/>
        </w:rPr>
        <w:t xml:space="preserve">  </w:t>
      </w:r>
      <w:r>
        <w:rPr>
          <w:rFonts w:hint="eastAsia" w:ascii="黑体" w:hAnsi="黑体" w:eastAsia="黑体" w:cs="黑体"/>
          <w:b w:val="0"/>
          <w:bCs/>
          <w:kern w:val="0"/>
          <w:sz w:val="32"/>
          <w:szCs w:val="32"/>
        </w:rPr>
        <w:t>则</w:t>
      </w:r>
    </w:p>
    <w:p>
      <w:pPr>
        <w:keepNext w:val="0"/>
        <w:keepLines w:val="0"/>
        <w:pageBreakBefore w:val="0"/>
        <w:widowControl w:val="0"/>
        <w:numPr>
          <w:ilvl w:val="0"/>
          <w:numId w:val="0"/>
        </w:numPr>
        <w:shd w:val="solid" w:color="FFFFFF" w:fill="auto"/>
        <w:kinsoku/>
        <w:wordWrap/>
        <w:overflowPunct/>
        <w:topLinePunct w:val="0"/>
        <w:autoSpaceDE/>
        <w:autoSpaceDN w:val="0"/>
        <w:bidi w:val="0"/>
        <w:adjustRightInd/>
        <w:snapToGrid/>
        <w:spacing w:line="560" w:lineRule="exact"/>
        <w:jc w:val="both"/>
        <w:textAlignment w:val="auto"/>
        <w:rPr>
          <w:rFonts w:hint="eastAsia" w:ascii="宋体" w:hAnsi="宋体" w:cs="宋体"/>
          <w:b/>
          <w:kern w:val="0"/>
          <w:sz w:val="28"/>
          <w:szCs w:val="28"/>
        </w:rPr>
      </w:pPr>
    </w:p>
    <w:p>
      <w:pPr>
        <w:keepNext w:val="0"/>
        <w:keepLines w:val="0"/>
        <w:pageBreakBefore w:val="0"/>
        <w:widowControl w:val="0"/>
        <w:shd w:val="solid" w:color="FFFFFF" w:fill="auto"/>
        <w:kinsoku/>
        <w:wordWrap/>
        <w:overflowPunct/>
        <w:topLinePunct w:val="0"/>
        <w:autoSpaceDE/>
        <w:autoSpaceDN w:val="0"/>
        <w:bidi w:val="0"/>
        <w:adjustRightInd/>
        <w:snapToGrid/>
        <w:spacing w:line="560" w:lineRule="exact"/>
        <w:ind w:firstLine="643"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b/>
          <w:kern w:val="0"/>
          <w:sz w:val="32"/>
          <w:szCs w:val="32"/>
        </w:rPr>
        <w:t>第一条</w:t>
      </w:r>
      <w:r>
        <w:rPr>
          <w:rFonts w:hint="eastAsia" w:ascii="仿宋_GB2312" w:hAnsi="仿宋_GB2312" w:eastAsia="仿宋_GB2312" w:cs="仿宋_GB2312"/>
          <w:kern w:val="0"/>
          <w:sz w:val="32"/>
          <w:szCs w:val="32"/>
        </w:rPr>
        <w:t xml:space="preserve">  为贯彻落实《国家中长期教育改革和发展规划纲要（2010-2020年）》《教育部关于加快建设高水平本科教育全面提高人才培养能力的意见》和“六卓越一拔尖”2.0系列文件等精神，紧密围绕国家能源发展战略、黑龙江省区域经济发展和石油石化企业发展战略，进一步推动本科人才培养模式改革，积极探索拔尖创新人才培养计划，学校自2018年开始招收本硕连读实验班（简称“本硕连读班”）。为规范本硕连读班学生的培养与管理，提高培养质量，特制定本实施方案。</w:t>
      </w:r>
    </w:p>
    <w:p>
      <w:pPr>
        <w:keepNext w:val="0"/>
        <w:keepLines w:val="0"/>
        <w:pageBreakBefore w:val="0"/>
        <w:widowControl w:val="0"/>
        <w:shd w:val="solid" w:color="FFFFFF" w:fill="auto"/>
        <w:kinsoku/>
        <w:wordWrap/>
        <w:overflowPunct/>
        <w:topLinePunct w:val="0"/>
        <w:autoSpaceDE/>
        <w:autoSpaceDN w:val="0"/>
        <w:bidi w:val="0"/>
        <w:adjustRightInd/>
        <w:snapToGrid/>
        <w:spacing w:line="560" w:lineRule="exact"/>
        <w:ind w:firstLine="643"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b/>
          <w:kern w:val="0"/>
          <w:sz w:val="32"/>
          <w:szCs w:val="32"/>
        </w:rPr>
        <w:t>第二条</w:t>
      </w:r>
      <w:r>
        <w:rPr>
          <w:rFonts w:hint="eastAsia" w:ascii="仿宋_GB2312" w:hAnsi="仿宋_GB2312" w:eastAsia="仿宋_GB2312" w:cs="仿宋_GB2312"/>
          <w:kern w:val="0"/>
          <w:sz w:val="32"/>
          <w:szCs w:val="32"/>
        </w:rPr>
        <w:t xml:space="preserve">  坚持以提高人才培养质量为核心，以创新人才培养为重点，以“厚基础、强能力、重创新”为理念，以本硕连读班为载体，探索拔尖创新人才培养模式，发挥其示范和引领作用，积极推进人才培养模式改革探索，全面提高学校教学质量和人才培养质量。</w:t>
      </w:r>
    </w:p>
    <w:p>
      <w:pPr>
        <w:keepNext w:val="0"/>
        <w:keepLines w:val="0"/>
        <w:pageBreakBefore w:val="0"/>
        <w:widowControl w:val="0"/>
        <w:shd w:val="solid" w:color="FFFFFF" w:fill="auto"/>
        <w:kinsoku/>
        <w:wordWrap/>
        <w:overflowPunct/>
        <w:topLinePunct w:val="0"/>
        <w:autoSpaceDE/>
        <w:autoSpaceDN w:val="0"/>
        <w:bidi w:val="0"/>
        <w:adjustRightInd/>
        <w:snapToGrid/>
        <w:spacing w:line="560" w:lineRule="exact"/>
        <w:ind w:firstLine="643"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b/>
          <w:kern w:val="0"/>
          <w:sz w:val="32"/>
          <w:szCs w:val="32"/>
        </w:rPr>
        <w:t>第三条</w:t>
      </w:r>
      <w:r>
        <w:rPr>
          <w:rFonts w:hint="eastAsia" w:ascii="仿宋_GB2312" w:hAnsi="仿宋_GB2312" w:eastAsia="仿宋_GB2312" w:cs="仿宋_GB2312"/>
          <w:kern w:val="0"/>
          <w:sz w:val="32"/>
          <w:szCs w:val="32"/>
        </w:rPr>
        <w:t xml:space="preserve">  通过实施本硕连读班计划，力争在培养目标、教育教学、师资队伍、保障体系等方面创立新机制，采取新举措，培养专业基础扎实、实践能力突出、创新意识较强的创新人才。</w:t>
      </w:r>
    </w:p>
    <w:p>
      <w:pPr>
        <w:keepNext w:val="0"/>
        <w:keepLines w:val="0"/>
        <w:pageBreakBefore w:val="0"/>
        <w:widowControl w:val="0"/>
        <w:shd w:val="solid" w:color="FFFFFF" w:fill="auto"/>
        <w:kinsoku/>
        <w:wordWrap/>
        <w:overflowPunct/>
        <w:topLinePunct w:val="0"/>
        <w:autoSpaceDE/>
        <w:autoSpaceDN w:val="0"/>
        <w:bidi w:val="0"/>
        <w:adjustRightInd/>
        <w:snapToGrid/>
        <w:spacing w:line="560" w:lineRule="exact"/>
        <w:ind w:firstLine="643"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b/>
          <w:kern w:val="0"/>
          <w:sz w:val="32"/>
          <w:szCs w:val="32"/>
        </w:rPr>
        <w:t>第四条</w:t>
      </w:r>
      <w:r>
        <w:rPr>
          <w:rFonts w:hint="eastAsia" w:ascii="仿宋_GB2312" w:hAnsi="仿宋_GB2312" w:eastAsia="仿宋_GB2312" w:cs="仿宋_GB2312"/>
          <w:kern w:val="0"/>
          <w:sz w:val="32"/>
          <w:szCs w:val="32"/>
        </w:rPr>
        <w:t xml:space="preserve">  实行因材施教和个性化培养模式，在多年积淀的办学理念和经验、办学特色和优势、行业和社会影响基础上，提高创新人才培养质量。</w:t>
      </w:r>
    </w:p>
    <w:p>
      <w:pPr>
        <w:keepNext w:val="0"/>
        <w:keepLines w:val="0"/>
        <w:pageBreakBefore w:val="0"/>
        <w:widowControl w:val="0"/>
        <w:shd w:val="solid" w:color="FFFFFF" w:fill="auto"/>
        <w:kinsoku/>
        <w:wordWrap/>
        <w:overflowPunct/>
        <w:topLinePunct w:val="0"/>
        <w:autoSpaceDE/>
        <w:autoSpaceDN w:val="0"/>
        <w:bidi w:val="0"/>
        <w:adjustRightInd/>
        <w:snapToGrid/>
        <w:spacing w:line="560" w:lineRule="exact"/>
        <w:ind w:firstLine="640" w:firstLineChars="200"/>
        <w:textAlignment w:val="auto"/>
        <w:rPr>
          <w:rFonts w:hint="eastAsia" w:ascii="仿宋_GB2312" w:hAnsi="仿宋_GB2312" w:eastAsia="仿宋_GB2312" w:cs="仿宋_GB2312"/>
          <w:kern w:val="0"/>
          <w:sz w:val="32"/>
          <w:szCs w:val="32"/>
        </w:rPr>
      </w:pPr>
    </w:p>
    <w:p>
      <w:pPr>
        <w:keepNext w:val="0"/>
        <w:keepLines w:val="0"/>
        <w:pageBreakBefore w:val="0"/>
        <w:widowControl w:val="0"/>
        <w:numPr>
          <w:ilvl w:val="0"/>
          <w:numId w:val="1"/>
        </w:numPr>
        <w:shd w:val="solid" w:color="FFFFFF" w:fill="auto"/>
        <w:kinsoku/>
        <w:wordWrap/>
        <w:overflowPunct/>
        <w:topLinePunct w:val="0"/>
        <w:autoSpaceDE/>
        <w:autoSpaceDN w:val="0"/>
        <w:bidi w:val="0"/>
        <w:adjustRightInd/>
        <w:snapToGrid/>
        <w:spacing w:line="560" w:lineRule="exact"/>
        <w:ind w:left="0" w:leftChars="0" w:firstLine="0" w:firstLineChars="0"/>
        <w:jc w:val="center"/>
        <w:textAlignment w:val="auto"/>
        <w:rPr>
          <w:rFonts w:hint="eastAsia" w:ascii="黑体" w:hAnsi="黑体" w:eastAsia="黑体" w:cs="黑体"/>
          <w:b w:val="0"/>
          <w:bCs/>
          <w:kern w:val="0"/>
          <w:sz w:val="32"/>
          <w:szCs w:val="32"/>
        </w:rPr>
      </w:pPr>
      <w:r>
        <w:rPr>
          <w:rFonts w:ascii="宋体" w:hAnsi="宋体" w:cs="宋体"/>
          <w:b/>
          <w:kern w:val="0"/>
          <w:sz w:val="28"/>
          <w:szCs w:val="28"/>
        </w:rPr>
        <w:t xml:space="preserve"> </w:t>
      </w:r>
      <w:r>
        <w:rPr>
          <w:rFonts w:hint="eastAsia" w:ascii="黑体" w:hAnsi="黑体" w:eastAsia="黑体" w:cs="黑体"/>
          <w:b w:val="0"/>
          <w:bCs/>
          <w:kern w:val="0"/>
          <w:sz w:val="32"/>
          <w:szCs w:val="32"/>
        </w:rPr>
        <w:t>选拔方式</w:t>
      </w:r>
    </w:p>
    <w:p>
      <w:pPr>
        <w:keepNext w:val="0"/>
        <w:keepLines w:val="0"/>
        <w:pageBreakBefore w:val="0"/>
        <w:widowControl w:val="0"/>
        <w:numPr>
          <w:ilvl w:val="0"/>
          <w:numId w:val="0"/>
        </w:numPr>
        <w:shd w:val="solid" w:color="FFFFFF" w:fill="auto"/>
        <w:kinsoku/>
        <w:wordWrap/>
        <w:overflowPunct/>
        <w:topLinePunct w:val="0"/>
        <w:autoSpaceDE/>
        <w:autoSpaceDN w:val="0"/>
        <w:bidi w:val="0"/>
        <w:adjustRightInd/>
        <w:snapToGrid/>
        <w:spacing w:line="560" w:lineRule="exact"/>
        <w:ind w:leftChars="0"/>
        <w:jc w:val="both"/>
        <w:textAlignment w:val="auto"/>
        <w:rPr>
          <w:rFonts w:hint="eastAsia" w:ascii="宋体" w:hAnsi="宋体" w:cs="宋体"/>
          <w:b/>
          <w:kern w:val="0"/>
          <w:sz w:val="28"/>
          <w:szCs w:val="28"/>
        </w:rPr>
      </w:pPr>
    </w:p>
    <w:p>
      <w:pPr>
        <w:keepNext w:val="0"/>
        <w:keepLines w:val="0"/>
        <w:pageBreakBefore w:val="0"/>
        <w:widowControl w:val="0"/>
        <w:shd w:val="solid" w:color="FFFFFF" w:fill="auto"/>
        <w:kinsoku/>
        <w:wordWrap/>
        <w:overflowPunct/>
        <w:topLinePunct w:val="0"/>
        <w:autoSpaceDE/>
        <w:autoSpaceDN w:val="0"/>
        <w:bidi w:val="0"/>
        <w:adjustRightInd/>
        <w:snapToGrid/>
        <w:spacing w:line="560" w:lineRule="exact"/>
        <w:ind w:firstLine="643"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b/>
          <w:kern w:val="0"/>
          <w:sz w:val="32"/>
          <w:szCs w:val="32"/>
        </w:rPr>
        <w:t>第五条</w:t>
      </w:r>
      <w:r>
        <w:rPr>
          <w:rFonts w:hint="eastAsia" w:ascii="仿宋_GB2312" w:hAnsi="仿宋_GB2312" w:eastAsia="仿宋_GB2312" w:cs="仿宋_GB2312"/>
          <w:kern w:val="0"/>
          <w:sz w:val="32"/>
          <w:szCs w:val="32"/>
        </w:rPr>
        <w:t xml:space="preserve">  从全国统招考生中，依据高考</w:t>
      </w:r>
      <w:r>
        <w:rPr>
          <w:rFonts w:hint="eastAsia" w:ascii="仿宋_GB2312" w:hAnsi="仿宋_GB2312" w:eastAsia="仿宋_GB2312" w:cs="仿宋_GB2312"/>
          <w:color w:val="000000"/>
          <w:kern w:val="0"/>
          <w:sz w:val="32"/>
          <w:szCs w:val="32"/>
        </w:rPr>
        <w:t>成绩及相关招生专业要求，按照当年招生计划，每个专业录取30人。</w:t>
      </w:r>
    </w:p>
    <w:p>
      <w:pPr>
        <w:keepNext w:val="0"/>
        <w:keepLines w:val="0"/>
        <w:pageBreakBefore w:val="0"/>
        <w:widowControl w:val="0"/>
        <w:kinsoku/>
        <w:wordWrap/>
        <w:overflowPunct/>
        <w:topLinePunct w:val="0"/>
        <w:autoSpaceDE/>
        <w:bidi w:val="0"/>
        <w:adjustRightInd/>
        <w:snapToGrid/>
        <w:spacing w:line="560" w:lineRule="exact"/>
        <w:ind w:firstLine="643" w:firstLineChars="200"/>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b/>
          <w:color w:val="000000"/>
          <w:kern w:val="0"/>
          <w:sz w:val="32"/>
          <w:szCs w:val="32"/>
        </w:rPr>
        <w:t>第六条</w:t>
      </w:r>
      <w:r>
        <w:rPr>
          <w:rFonts w:hint="eastAsia" w:ascii="仿宋_GB2312" w:hAnsi="仿宋_GB2312" w:eastAsia="仿宋_GB2312" w:cs="仿宋_GB2312"/>
          <w:color w:val="000000"/>
          <w:kern w:val="0"/>
          <w:sz w:val="32"/>
          <w:szCs w:val="32"/>
        </w:rPr>
        <w:t xml:space="preserve">  </w:t>
      </w:r>
      <w:r>
        <w:rPr>
          <w:rFonts w:hint="eastAsia" w:ascii="仿宋_GB2312" w:hAnsi="仿宋_GB2312" w:eastAsia="仿宋_GB2312" w:cs="仿宋_GB2312"/>
          <w:kern w:val="0"/>
          <w:sz w:val="32"/>
          <w:szCs w:val="32"/>
        </w:rPr>
        <w:t>本硕连读</w:t>
      </w:r>
      <w:r>
        <w:rPr>
          <w:rFonts w:hint="eastAsia" w:ascii="仿宋_GB2312" w:hAnsi="仿宋_GB2312" w:eastAsia="仿宋_GB2312" w:cs="仿宋_GB2312"/>
          <w:color w:val="000000"/>
          <w:kern w:val="0"/>
          <w:sz w:val="32"/>
          <w:szCs w:val="32"/>
        </w:rPr>
        <w:t>班实行只出不进的动态调整</w:t>
      </w:r>
      <w:r>
        <w:rPr>
          <w:rFonts w:hint="eastAsia" w:ascii="仿宋_GB2312" w:hAnsi="仿宋_GB2312" w:eastAsia="仿宋_GB2312" w:cs="仿宋_GB2312"/>
          <w:kern w:val="0"/>
          <w:sz w:val="32"/>
          <w:szCs w:val="32"/>
        </w:rPr>
        <w:t>管理模式</w:t>
      </w:r>
      <w:r>
        <w:rPr>
          <w:rFonts w:hint="eastAsia" w:ascii="仿宋_GB2312" w:hAnsi="仿宋_GB2312" w:eastAsia="仿宋_GB2312" w:cs="仿宋_GB2312"/>
          <w:color w:val="000000"/>
          <w:kern w:val="0"/>
          <w:sz w:val="32"/>
          <w:szCs w:val="32"/>
        </w:rPr>
        <w:t>。</w:t>
      </w:r>
    </w:p>
    <w:p>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hint="eastAsia" w:ascii="仿宋_GB2312" w:hAnsi="仿宋_GB2312" w:eastAsia="仿宋_GB2312" w:cs="仿宋_GB2312"/>
          <w:color w:val="000000"/>
          <w:kern w:val="0"/>
          <w:sz w:val="32"/>
          <w:szCs w:val="32"/>
        </w:rPr>
      </w:pPr>
    </w:p>
    <w:p>
      <w:pPr>
        <w:keepNext w:val="0"/>
        <w:keepLines w:val="0"/>
        <w:pageBreakBefore w:val="0"/>
        <w:widowControl w:val="0"/>
        <w:numPr>
          <w:ilvl w:val="0"/>
          <w:numId w:val="1"/>
        </w:numPr>
        <w:shd w:val="solid" w:color="FFFFFF" w:fill="auto"/>
        <w:kinsoku/>
        <w:wordWrap/>
        <w:overflowPunct/>
        <w:topLinePunct w:val="0"/>
        <w:autoSpaceDE/>
        <w:autoSpaceDN w:val="0"/>
        <w:bidi w:val="0"/>
        <w:adjustRightInd/>
        <w:snapToGrid/>
        <w:spacing w:line="560" w:lineRule="exact"/>
        <w:ind w:left="0" w:leftChars="0" w:firstLine="0" w:firstLineChars="0"/>
        <w:jc w:val="center"/>
        <w:textAlignment w:val="auto"/>
        <w:rPr>
          <w:rFonts w:hint="eastAsia" w:ascii="黑体" w:hAnsi="黑体" w:eastAsia="黑体" w:cs="黑体"/>
          <w:b w:val="0"/>
          <w:bCs/>
          <w:kern w:val="0"/>
          <w:sz w:val="32"/>
          <w:szCs w:val="32"/>
        </w:rPr>
      </w:pPr>
      <w:r>
        <w:rPr>
          <w:rFonts w:hint="eastAsia" w:ascii="黑体" w:hAnsi="黑体" w:eastAsia="黑体" w:cs="黑体"/>
          <w:b w:val="0"/>
          <w:bCs/>
          <w:kern w:val="0"/>
          <w:sz w:val="32"/>
          <w:szCs w:val="32"/>
        </w:rPr>
        <w:t xml:space="preserve"> 培养模式</w:t>
      </w:r>
    </w:p>
    <w:p>
      <w:pPr>
        <w:keepNext w:val="0"/>
        <w:keepLines w:val="0"/>
        <w:pageBreakBefore w:val="0"/>
        <w:widowControl w:val="0"/>
        <w:numPr>
          <w:ilvl w:val="0"/>
          <w:numId w:val="0"/>
        </w:numPr>
        <w:shd w:val="solid" w:color="FFFFFF" w:fill="auto"/>
        <w:kinsoku/>
        <w:wordWrap/>
        <w:overflowPunct/>
        <w:topLinePunct w:val="0"/>
        <w:autoSpaceDE/>
        <w:autoSpaceDN w:val="0"/>
        <w:bidi w:val="0"/>
        <w:adjustRightInd/>
        <w:snapToGrid/>
        <w:spacing w:line="560" w:lineRule="exact"/>
        <w:ind w:leftChars="0"/>
        <w:jc w:val="both"/>
        <w:textAlignment w:val="auto"/>
        <w:rPr>
          <w:rFonts w:hint="eastAsia" w:ascii="宋体" w:hAnsi="宋体" w:cs="宋体"/>
          <w:b/>
          <w:kern w:val="0"/>
          <w:sz w:val="28"/>
          <w:szCs w:val="28"/>
        </w:rPr>
      </w:pPr>
    </w:p>
    <w:p>
      <w:pPr>
        <w:keepNext w:val="0"/>
        <w:keepLines w:val="0"/>
        <w:pageBreakBefore w:val="0"/>
        <w:widowControl w:val="0"/>
        <w:shd w:val="solid" w:color="FFFFFF" w:fill="auto"/>
        <w:kinsoku/>
        <w:wordWrap/>
        <w:overflowPunct/>
        <w:topLinePunct w:val="0"/>
        <w:autoSpaceDE/>
        <w:autoSpaceDN w:val="0"/>
        <w:bidi w:val="0"/>
        <w:adjustRightInd/>
        <w:snapToGrid/>
        <w:spacing w:line="560" w:lineRule="exact"/>
        <w:ind w:firstLine="643"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b/>
          <w:color w:val="000000"/>
          <w:kern w:val="0"/>
          <w:sz w:val="32"/>
          <w:szCs w:val="32"/>
        </w:rPr>
        <w:t>第七条</w:t>
      </w:r>
      <w:r>
        <w:rPr>
          <w:rFonts w:hint="eastAsia" w:ascii="仿宋_GB2312" w:hAnsi="仿宋_GB2312" w:eastAsia="仿宋_GB2312" w:cs="仿宋_GB2312"/>
          <w:color w:val="000000"/>
          <w:kern w:val="0"/>
          <w:sz w:val="32"/>
          <w:szCs w:val="32"/>
        </w:rPr>
        <w:t xml:space="preserve">  </w:t>
      </w:r>
      <w:r>
        <w:rPr>
          <w:rFonts w:hint="eastAsia" w:ascii="仿宋_GB2312" w:hAnsi="仿宋_GB2312" w:eastAsia="仿宋_GB2312" w:cs="仿宋_GB2312"/>
          <w:kern w:val="0"/>
          <w:sz w:val="32"/>
          <w:szCs w:val="32"/>
        </w:rPr>
        <w:t>本硕连读班实行“3.5+X”学年制本硕一体化培养模式（X=0.5年，本科，获得学士学位；X=2.5年，</w:t>
      </w:r>
      <w:r>
        <w:rPr>
          <w:rFonts w:hint="eastAsia" w:ascii="仿宋_GB2312" w:hAnsi="仿宋_GB2312" w:eastAsia="仿宋_GB2312" w:cs="仿宋_GB2312"/>
          <w:color w:val="000000"/>
          <w:kern w:val="0"/>
          <w:sz w:val="32"/>
          <w:szCs w:val="32"/>
        </w:rPr>
        <w:t>硕士，获得学士、硕士学位</w:t>
      </w:r>
      <w:r>
        <w:rPr>
          <w:rFonts w:hint="eastAsia" w:ascii="仿宋_GB2312" w:hAnsi="仿宋_GB2312" w:eastAsia="仿宋_GB2312" w:cs="仿宋_GB2312"/>
          <w:kern w:val="0"/>
          <w:sz w:val="32"/>
          <w:szCs w:val="32"/>
        </w:rPr>
        <w:t>），单独组班建制，加强实践能力和创新意识培养。</w:t>
      </w:r>
    </w:p>
    <w:p>
      <w:pPr>
        <w:keepNext w:val="0"/>
        <w:keepLines w:val="0"/>
        <w:pageBreakBefore w:val="0"/>
        <w:widowControl w:val="0"/>
        <w:shd w:val="solid" w:color="FFFFFF" w:fill="auto"/>
        <w:kinsoku/>
        <w:wordWrap/>
        <w:overflowPunct/>
        <w:topLinePunct w:val="0"/>
        <w:autoSpaceDE/>
        <w:autoSpaceDN w:val="0"/>
        <w:bidi w:val="0"/>
        <w:adjustRightInd/>
        <w:snapToGrid/>
        <w:spacing w:line="560" w:lineRule="exact"/>
        <w:ind w:firstLine="643"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b/>
          <w:kern w:val="0"/>
          <w:sz w:val="32"/>
          <w:szCs w:val="32"/>
        </w:rPr>
        <w:t>第八条</w:t>
      </w:r>
      <w:r>
        <w:rPr>
          <w:rFonts w:hint="eastAsia" w:ascii="仿宋_GB2312" w:hAnsi="仿宋_GB2312" w:eastAsia="仿宋_GB2312" w:cs="仿宋_GB2312"/>
          <w:kern w:val="0"/>
          <w:sz w:val="32"/>
          <w:szCs w:val="32"/>
        </w:rPr>
        <w:t xml:space="preserve">  本硕连读班本科阶段课程以单独成班授课为主。</w:t>
      </w:r>
    </w:p>
    <w:p>
      <w:pPr>
        <w:keepNext w:val="0"/>
        <w:keepLines w:val="0"/>
        <w:pageBreakBefore w:val="0"/>
        <w:widowControl w:val="0"/>
        <w:shd w:val="solid" w:color="FFFFFF" w:fill="auto"/>
        <w:kinsoku/>
        <w:wordWrap/>
        <w:overflowPunct/>
        <w:topLinePunct w:val="0"/>
        <w:autoSpaceDE/>
        <w:autoSpaceDN w:val="0"/>
        <w:bidi w:val="0"/>
        <w:adjustRightInd/>
        <w:snapToGrid/>
        <w:spacing w:line="560" w:lineRule="exact"/>
        <w:ind w:firstLine="643"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b/>
          <w:kern w:val="0"/>
          <w:sz w:val="32"/>
          <w:szCs w:val="32"/>
        </w:rPr>
        <w:t>第九条</w:t>
      </w:r>
      <w:r>
        <w:rPr>
          <w:rFonts w:hint="eastAsia" w:ascii="仿宋_GB2312" w:hAnsi="仿宋_GB2312" w:eastAsia="仿宋_GB2312" w:cs="仿宋_GB2312"/>
          <w:kern w:val="0"/>
          <w:sz w:val="32"/>
          <w:szCs w:val="32"/>
        </w:rPr>
        <w:t xml:space="preserve">  聘请教学名师、知名教授、知名学者、工程实践经验丰富的企业工程技术人员及具有博士学位的中青年学术骨干教师为学生指导学业、授课、讲座等活动。</w:t>
      </w:r>
    </w:p>
    <w:p>
      <w:pPr>
        <w:keepNext w:val="0"/>
        <w:keepLines w:val="0"/>
        <w:pageBreakBefore w:val="0"/>
        <w:widowControl w:val="0"/>
        <w:shd w:val="solid" w:color="FFFFFF" w:fill="auto"/>
        <w:kinsoku/>
        <w:wordWrap/>
        <w:overflowPunct/>
        <w:topLinePunct w:val="0"/>
        <w:autoSpaceDE/>
        <w:autoSpaceDN w:val="0"/>
        <w:bidi w:val="0"/>
        <w:adjustRightInd/>
        <w:snapToGrid/>
        <w:spacing w:line="560" w:lineRule="exact"/>
        <w:ind w:firstLine="640" w:firstLineChars="200"/>
        <w:textAlignment w:val="auto"/>
        <w:rPr>
          <w:rFonts w:hint="eastAsia" w:ascii="仿宋_GB2312" w:hAnsi="仿宋_GB2312" w:eastAsia="仿宋_GB2312" w:cs="仿宋_GB2312"/>
          <w:kern w:val="0"/>
          <w:sz w:val="32"/>
          <w:szCs w:val="32"/>
        </w:rPr>
      </w:pPr>
    </w:p>
    <w:p>
      <w:pPr>
        <w:keepNext w:val="0"/>
        <w:keepLines w:val="0"/>
        <w:pageBreakBefore w:val="0"/>
        <w:widowControl w:val="0"/>
        <w:numPr>
          <w:ilvl w:val="0"/>
          <w:numId w:val="1"/>
        </w:numPr>
        <w:shd w:val="solid" w:color="FFFFFF" w:fill="auto"/>
        <w:kinsoku/>
        <w:wordWrap/>
        <w:overflowPunct/>
        <w:topLinePunct w:val="0"/>
        <w:autoSpaceDE/>
        <w:autoSpaceDN w:val="0"/>
        <w:bidi w:val="0"/>
        <w:adjustRightInd/>
        <w:snapToGrid/>
        <w:spacing w:line="560" w:lineRule="exact"/>
        <w:ind w:left="0" w:leftChars="0" w:firstLine="0" w:firstLineChars="0"/>
        <w:jc w:val="center"/>
        <w:textAlignment w:val="auto"/>
        <w:rPr>
          <w:rFonts w:hint="eastAsia" w:ascii="黑体" w:hAnsi="黑体" w:eastAsia="黑体" w:cs="黑体"/>
          <w:b w:val="0"/>
          <w:bCs/>
          <w:kern w:val="0"/>
          <w:sz w:val="32"/>
          <w:szCs w:val="32"/>
        </w:rPr>
      </w:pPr>
      <w:r>
        <w:rPr>
          <w:rFonts w:ascii="宋体" w:hAnsi="宋体" w:cs="宋体"/>
          <w:b/>
          <w:kern w:val="0"/>
          <w:sz w:val="28"/>
          <w:szCs w:val="28"/>
        </w:rPr>
        <w:t xml:space="preserve"> </w:t>
      </w:r>
      <w:r>
        <w:rPr>
          <w:rFonts w:hint="eastAsia" w:ascii="黑体" w:hAnsi="黑体" w:eastAsia="黑体" w:cs="黑体"/>
          <w:b w:val="0"/>
          <w:bCs/>
          <w:kern w:val="0"/>
          <w:sz w:val="32"/>
          <w:szCs w:val="32"/>
        </w:rPr>
        <w:t>学籍管理</w:t>
      </w:r>
    </w:p>
    <w:p>
      <w:pPr>
        <w:keepNext w:val="0"/>
        <w:keepLines w:val="0"/>
        <w:pageBreakBefore w:val="0"/>
        <w:widowControl w:val="0"/>
        <w:numPr>
          <w:ilvl w:val="0"/>
          <w:numId w:val="0"/>
        </w:numPr>
        <w:shd w:val="solid" w:color="FFFFFF" w:fill="auto"/>
        <w:kinsoku/>
        <w:wordWrap/>
        <w:overflowPunct/>
        <w:topLinePunct w:val="0"/>
        <w:autoSpaceDE/>
        <w:autoSpaceDN w:val="0"/>
        <w:bidi w:val="0"/>
        <w:adjustRightInd/>
        <w:snapToGrid/>
        <w:spacing w:line="560" w:lineRule="exact"/>
        <w:ind w:leftChars="0"/>
        <w:jc w:val="both"/>
        <w:textAlignment w:val="auto"/>
        <w:rPr>
          <w:rFonts w:hint="eastAsia" w:ascii="宋体" w:hAnsi="宋体" w:cs="宋体"/>
          <w:b/>
          <w:kern w:val="0"/>
          <w:sz w:val="28"/>
          <w:szCs w:val="28"/>
        </w:rPr>
      </w:pPr>
    </w:p>
    <w:p>
      <w:pPr>
        <w:keepNext w:val="0"/>
        <w:keepLines w:val="0"/>
        <w:pageBreakBefore w:val="0"/>
        <w:widowControl w:val="0"/>
        <w:kinsoku/>
        <w:wordWrap/>
        <w:overflowPunct/>
        <w:topLinePunct w:val="0"/>
        <w:autoSpaceDE/>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kern w:val="0"/>
          <w:sz w:val="32"/>
          <w:szCs w:val="32"/>
        </w:rPr>
        <w:t>第十条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kern w:val="0"/>
          <w:sz w:val="32"/>
          <w:szCs w:val="32"/>
        </w:rPr>
        <w:t>三年级以下（不含三年级）本硕连读班学生可以在每年春季学期开展转专业工作时自愿申请退出本硕连读班转入普通班学习。原本硕连读班所修课程满足课程认定条件的可以申请课程认定，不满足条件的需要补修。</w:t>
      </w:r>
    </w:p>
    <w:p>
      <w:pPr>
        <w:keepNext w:val="0"/>
        <w:keepLines w:val="0"/>
        <w:pageBreakBefore w:val="0"/>
        <w:widowControl w:val="0"/>
        <w:kinsoku/>
        <w:wordWrap/>
        <w:overflowPunct/>
        <w:topLinePunct w:val="0"/>
        <w:autoSpaceDE/>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第十一条</w:t>
      </w:r>
      <w:r>
        <w:rPr>
          <w:rFonts w:hint="eastAsia" w:ascii="仿宋_GB2312" w:hAnsi="仿宋_GB2312" w:eastAsia="仿宋_GB2312" w:cs="仿宋_GB2312"/>
          <w:sz w:val="32"/>
          <w:szCs w:val="32"/>
        </w:rPr>
        <w:t xml:space="preserve">  学校为本硕连读班单列硕士研究生推免指标，具体数量为入学实际报到人数的30%（只进不舍）。本硕连读班学生需满足除绩点排名以外的《东北石油大学推荐优秀应届本科毕业生免试攻读硕士学位研究生工作实施办法》中规定的所有条件。未取得硕士研究生推免资格者，第四学年下学期继续完成本科学业，按照本科4年正常毕业；取得硕士研究生推免资格者，第四学年下学期进入研究生阶段学习，期间需完成本科所有教学内容，符合毕业条件者，准予毕业，符合学士学位授予条件者，授予学士学位。</w:t>
      </w:r>
    </w:p>
    <w:p>
      <w:pPr>
        <w:keepNext w:val="0"/>
        <w:keepLines w:val="0"/>
        <w:pageBreakBefore w:val="0"/>
        <w:widowControl w:val="0"/>
        <w:kinsoku/>
        <w:wordWrap/>
        <w:overflowPunct/>
        <w:topLinePunct w:val="0"/>
        <w:autoSpaceDE/>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第十二条</w:t>
      </w:r>
      <w:r>
        <w:rPr>
          <w:rFonts w:hint="eastAsia" w:ascii="仿宋_GB2312" w:hAnsi="仿宋_GB2312" w:eastAsia="仿宋_GB2312" w:cs="仿宋_GB2312"/>
          <w:sz w:val="32"/>
          <w:szCs w:val="32"/>
        </w:rPr>
        <w:t xml:space="preserve">  本硕连读班学生可以申请转专业，满足专业录取条件者可以转入其他专业普通班。</w:t>
      </w:r>
    </w:p>
    <w:p>
      <w:pPr>
        <w:keepNext w:val="0"/>
        <w:keepLines w:val="0"/>
        <w:pageBreakBefore w:val="0"/>
        <w:widowControl w:val="0"/>
        <w:kinsoku/>
        <w:wordWrap/>
        <w:overflowPunct/>
        <w:topLinePunct w:val="0"/>
        <w:autoSpaceDE/>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第十三条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kern w:val="0"/>
          <w:sz w:val="32"/>
          <w:szCs w:val="32"/>
        </w:rPr>
        <w:t>本硕连读</w:t>
      </w:r>
      <w:r>
        <w:rPr>
          <w:rFonts w:hint="eastAsia" w:ascii="仿宋_GB2312" w:hAnsi="仿宋_GB2312" w:eastAsia="仿宋_GB2312" w:cs="仿宋_GB2312"/>
          <w:sz w:val="32"/>
          <w:szCs w:val="32"/>
        </w:rPr>
        <w:t>班学生的学籍管理未尽事宜按照《东北石油大学学生管理规定》及学校相关规定执行。</w:t>
      </w:r>
    </w:p>
    <w:p>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hint="eastAsia" w:ascii="黑体" w:hAnsi="黑体" w:eastAsia="黑体" w:cs="黑体"/>
          <w:b w:val="0"/>
          <w:bCs w:val="0"/>
          <w:sz w:val="32"/>
          <w:szCs w:val="32"/>
        </w:rPr>
      </w:pPr>
    </w:p>
    <w:p>
      <w:pPr>
        <w:keepNext w:val="0"/>
        <w:keepLines w:val="0"/>
        <w:pageBreakBefore w:val="0"/>
        <w:widowControl w:val="0"/>
        <w:numPr>
          <w:ilvl w:val="0"/>
          <w:numId w:val="1"/>
        </w:numPr>
        <w:shd w:val="solid" w:color="FFFFFF" w:fill="auto"/>
        <w:kinsoku/>
        <w:wordWrap/>
        <w:overflowPunct/>
        <w:topLinePunct w:val="0"/>
        <w:autoSpaceDE/>
        <w:autoSpaceDN w:val="0"/>
        <w:bidi w:val="0"/>
        <w:adjustRightInd/>
        <w:snapToGrid/>
        <w:spacing w:line="560" w:lineRule="exact"/>
        <w:ind w:left="0" w:leftChars="0" w:firstLine="0" w:firstLineChars="0"/>
        <w:jc w:val="center"/>
        <w:textAlignment w:val="auto"/>
        <w:rPr>
          <w:rFonts w:hint="eastAsia" w:ascii="黑体" w:hAnsi="黑体" w:eastAsia="黑体" w:cs="黑体"/>
          <w:b w:val="0"/>
          <w:bCs w:val="0"/>
          <w:kern w:val="0"/>
          <w:sz w:val="32"/>
          <w:szCs w:val="32"/>
        </w:rPr>
      </w:pPr>
      <w:r>
        <w:rPr>
          <w:rFonts w:hint="eastAsia" w:ascii="黑体" w:hAnsi="黑体" w:eastAsia="黑体" w:cs="黑体"/>
          <w:b w:val="0"/>
          <w:bCs w:val="0"/>
          <w:kern w:val="0"/>
          <w:sz w:val="32"/>
          <w:szCs w:val="32"/>
        </w:rPr>
        <w:t xml:space="preserve"> 学生管理</w:t>
      </w:r>
    </w:p>
    <w:p>
      <w:pPr>
        <w:keepNext w:val="0"/>
        <w:keepLines w:val="0"/>
        <w:pageBreakBefore w:val="0"/>
        <w:widowControl w:val="0"/>
        <w:numPr>
          <w:ilvl w:val="0"/>
          <w:numId w:val="0"/>
        </w:numPr>
        <w:shd w:val="solid" w:color="FFFFFF" w:fill="auto"/>
        <w:kinsoku/>
        <w:wordWrap/>
        <w:overflowPunct/>
        <w:topLinePunct w:val="0"/>
        <w:autoSpaceDE/>
        <w:autoSpaceDN w:val="0"/>
        <w:bidi w:val="0"/>
        <w:adjustRightInd/>
        <w:snapToGrid/>
        <w:spacing w:line="560" w:lineRule="exact"/>
        <w:ind w:leftChars="0"/>
        <w:jc w:val="both"/>
        <w:textAlignment w:val="auto"/>
        <w:rPr>
          <w:rFonts w:hint="eastAsia" w:ascii="宋体" w:hAnsi="宋体" w:cs="宋体"/>
          <w:b/>
          <w:kern w:val="0"/>
          <w:sz w:val="28"/>
          <w:szCs w:val="28"/>
        </w:rPr>
      </w:pPr>
    </w:p>
    <w:p>
      <w:pPr>
        <w:keepNext w:val="0"/>
        <w:keepLines w:val="0"/>
        <w:pageBreakBefore w:val="0"/>
        <w:widowControl w:val="0"/>
        <w:shd w:val="solid" w:color="FFFFFF" w:fill="auto"/>
        <w:kinsoku/>
        <w:wordWrap/>
        <w:overflowPunct/>
        <w:topLinePunct w:val="0"/>
        <w:autoSpaceDE/>
        <w:autoSpaceDN w:val="0"/>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第十四条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kern w:val="0"/>
          <w:sz w:val="32"/>
          <w:szCs w:val="32"/>
        </w:rPr>
        <w:t>本硕连读</w:t>
      </w:r>
      <w:r>
        <w:rPr>
          <w:rFonts w:hint="eastAsia" w:ascii="仿宋_GB2312" w:hAnsi="仿宋_GB2312" w:eastAsia="仿宋_GB2312" w:cs="仿宋_GB2312"/>
          <w:sz w:val="32"/>
          <w:szCs w:val="32"/>
        </w:rPr>
        <w:t>班学生单独编班管理，选聘经验丰富、责任心强的专职辅导员，负责日常学生管理工作。</w:t>
      </w:r>
    </w:p>
    <w:p>
      <w:pPr>
        <w:keepNext w:val="0"/>
        <w:keepLines w:val="0"/>
        <w:pageBreakBefore w:val="0"/>
        <w:widowControl w:val="0"/>
        <w:kinsoku/>
        <w:wordWrap/>
        <w:overflowPunct/>
        <w:topLinePunct w:val="0"/>
        <w:autoSpaceDE/>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第十五条</w:t>
      </w:r>
      <w:r>
        <w:rPr>
          <w:rFonts w:hint="eastAsia" w:ascii="仿宋_GB2312" w:hAnsi="仿宋_GB2312" w:eastAsia="仿宋_GB2312" w:cs="仿宋_GB2312"/>
          <w:sz w:val="32"/>
          <w:szCs w:val="32"/>
        </w:rPr>
        <w:t xml:space="preserve">  第一学年开始实行导师制，专业（系）负责为每位本硕连读班学生指派一名导师，原则上每位导师可指导</w:t>
      </w:r>
      <w:r>
        <w:rPr>
          <w:rFonts w:hint="eastAsia" w:ascii="仿宋_GB2312" w:hAnsi="仿宋_GB2312" w:eastAsia="仿宋_GB2312" w:cs="仿宋_GB2312"/>
          <w:kern w:val="0"/>
          <w:sz w:val="32"/>
          <w:szCs w:val="32"/>
        </w:rPr>
        <w:t>本硕连读</w:t>
      </w:r>
      <w:r>
        <w:rPr>
          <w:rFonts w:hint="eastAsia" w:ascii="仿宋_GB2312" w:hAnsi="仿宋_GB2312" w:eastAsia="仿宋_GB2312" w:cs="仿宋_GB2312"/>
          <w:sz w:val="32"/>
          <w:szCs w:val="32"/>
        </w:rPr>
        <w:t>班学生1-2名。学生在导师指导下参加科研及创新创业等实践活动。</w:t>
      </w:r>
    </w:p>
    <w:p>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numPr>
          <w:ilvl w:val="0"/>
          <w:numId w:val="1"/>
        </w:numPr>
        <w:kinsoku/>
        <w:wordWrap/>
        <w:overflowPunct/>
        <w:topLinePunct w:val="0"/>
        <w:autoSpaceDE/>
        <w:bidi w:val="0"/>
        <w:adjustRightInd/>
        <w:snapToGrid/>
        <w:spacing w:line="560" w:lineRule="exact"/>
        <w:ind w:left="0" w:leftChars="0" w:firstLine="0" w:firstLineChars="0"/>
        <w:jc w:val="center"/>
        <w:textAlignment w:val="auto"/>
        <w:rPr>
          <w:rFonts w:hint="eastAsia" w:ascii="黑体" w:hAnsi="黑体" w:eastAsia="黑体" w:cs="黑体"/>
          <w:b w:val="0"/>
          <w:bCs/>
          <w:kern w:val="0"/>
          <w:sz w:val="32"/>
          <w:szCs w:val="32"/>
        </w:rPr>
      </w:pPr>
      <w:r>
        <w:rPr>
          <w:rFonts w:ascii="宋体" w:hAnsi="宋体" w:cs="宋体"/>
          <w:b/>
          <w:kern w:val="0"/>
          <w:sz w:val="28"/>
          <w:szCs w:val="28"/>
        </w:rPr>
        <w:t xml:space="preserve"> </w:t>
      </w:r>
      <w:r>
        <w:rPr>
          <w:rFonts w:hint="eastAsia" w:ascii="黑体" w:hAnsi="黑体" w:eastAsia="黑体" w:cs="黑体"/>
          <w:b w:val="0"/>
          <w:bCs/>
          <w:kern w:val="0"/>
          <w:sz w:val="32"/>
          <w:szCs w:val="32"/>
        </w:rPr>
        <w:t>学生激励措施</w:t>
      </w:r>
    </w:p>
    <w:p>
      <w:pPr>
        <w:keepNext w:val="0"/>
        <w:keepLines w:val="0"/>
        <w:pageBreakBefore w:val="0"/>
        <w:widowControl w:val="0"/>
        <w:numPr>
          <w:ilvl w:val="0"/>
          <w:numId w:val="0"/>
        </w:numPr>
        <w:kinsoku/>
        <w:wordWrap/>
        <w:overflowPunct/>
        <w:topLinePunct w:val="0"/>
        <w:autoSpaceDE/>
        <w:bidi w:val="0"/>
        <w:adjustRightInd/>
        <w:snapToGrid/>
        <w:spacing w:line="560" w:lineRule="exact"/>
        <w:ind w:leftChars="0"/>
        <w:jc w:val="both"/>
        <w:textAlignment w:val="auto"/>
        <w:rPr>
          <w:rFonts w:hint="eastAsia" w:ascii="宋体" w:hAnsi="宋体" w:cs="宋体"/>
          <w:b/>
          <w:kern w:val="0"/>
          <w:sz w:val="28"/>
          <w:szCs w:val="28"/>
        </w:rPr>
      </w:pPr>
    </w:p>
    <w:p>
      <w:pPr>
        <w:keepNext w:val="0"/>
        <w:keepLines w:val="0"/>
        <w:pageBreakBefore w:val="0"/>
        <w:widowControl w:val="0"/>
        <w:kinsoku/>
        <w:wordWrap/>
        <w:overflowPunct/>
        <w:topLinePunct w:val="0"/>
        <w:autoSpaceDE/>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第十六条</w:t>
      </w:r>
      <w:r>
        <w:rPr>
          <w:rFonts w:hint="eastAsia" w:ascii="仿宋_GB2312" w:hAnsi="仿宋_GB2312" w:eastAsia="仿宋_GB2312" w:cs="仿宋_GB2312"/>
          <w:sz w:val="32"/>
          <w:szCs w:val="32"/>
        </w:rPr>
        <w:t xml:space="preserve">  凡在</w:t>
      </w:r>
      <w:r>
        <w:rPr>
          <w:rFonts w:hint="eastAsia" w:ascii="仿宋_GB2312" w:hAnsi="仿宋_GB2312" w:eastAsia="仿宋_GB2312" w:cs="仿宋_GB2312"/>
          <w:kern w:val="0"/>
          <w:sz w:val="32"/>
          <w:szCs w:val="32"/>
        </w:rPr>
        <w:t>本硕连读</w:t>
      </w:r>
      <w:r>
        <w:rPr>
          <w:rFonts w:hint="eastAsia" w:ascii="仿宋_GB2312" w:hAnsi="仿宋_GB2312" w:eastAsia="仿宋_GB2312" w:cs="仿宋_GB2312"/>
          <w:sz w:val="32"/>
          <w:szCs w:val="32"/>
        </w:rPr>
        <w:t>班学习的学生，申请下列项目时，在同等条件下予以优先考虑：</w:t>
      </w:r>
    </w:p>
    <w:p>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（一）国家留学基金委、省教育厅等单位的公费出国留学项目；</w:t>
      </w:r>
    </w:p>
    <w:p>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（二）与国外互换留学生项目；</w:t>
      </w:r>
    </w:p>
    <w:p>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（三）大学生创新实验项目；</w:t>
      </w:r>
    </w:p>
    <w:p>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（四）其他经学生所在院部学术委员会认定的项目。</w:t>
      </w:r>
    </w:p>
    <w:p>
      <w:pPr>
        <w:keepNext w:val="0"/>
        <w:keepLines w:val="0"/>
        <w:pageBreakBefore w:val="0"/>
        <w:widowControl w:val="0"/>
        <w:kinsoku/>
        <w:wordWrap/>
        <w:overflowPunct/>
        <w:topLinePunct w:val="0"/>
        <w:autoSpaceDE/>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第十七条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kern w:val="0"/>
          <w:sz w:val="32"/>
          <w:szCs w:val="32"/>
        </w:rPr>
        <w:t>本硕连读</w:t>
      </w:r>
      <w:r>
        <w:rPr>
          <w:rFonts w:hint="eastAsia" w:ascii="仿宋_GB2312" w:hAnsi="仿宋_GB2312" w:eastAsia="仿宋_GB2312" w:cs="仿宋_GB2312"/>
          <w:sz w:val="32"/>
          <w:szCs w:val="32"/>
        </w:rPr>
        <w:t>班学生本科综合测评单独计算，单独排序。连读班学生评选国家奖学金在同等条件下优先。连读班学生获校内奖学金比例高于其它班级，获奖比例根据当年具体情况确定。</w:t>
      </w:r>
    </w:p>
    <w:p>
      <w:pPr>
        <w:keepNext w:val="0"/>
        <w:keepLines w:val="0"/>
        <w:pageBreakBefore w:val="0"/>
        <w:widowControl w:val="0"/>
        <w:kinsoku/>
        <w:wordWrap/>
        <w:overflowPunct/>
        <w:topLinePunct w:val="0"/>
        <w:autoSpaceDE/>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numPr>
          <w:ilvl w:val="0"/>
          <w:numId w:val="1"/>
        </w:numPr>
        <w:shd w:val="solid" w:color="FFFFFF" w:fill="auto"/>
        <w:kinsoku/>
        <w:wordWrap/>
        <w:overflowPunct/>
        <w:topLinePunct w:val="0"/>
        <w:autoSpaceDE/>
        <w:autoSpaceDN w:val="0"/>
        <w:bidi w:val="0"/>
        <w:adjustRightInd/>
        <w:snapToGrid/>
        <w:spacing w:line="560" w:lineRule="exact"/>
        <w:ind w:left="0" w:leftChars="0" w:firstLine="0" w:firstLineChars="0"/>
        <w:jc w:val="center"/>
        <w:textAlignment w:val="auto"/>
        <w:rPr>
          <w:rFonts w:hint="eastAsia" w:ascii="黑体" w:hAnsi="黑体" w:eastAsia="黑体" w:cs="黑体"/>
          <w:b w:val="0"/>
          <w:bCs/>
          <w:kern w:val="0"/>
          <w:sz w:val="32"/>
          <w:szCs w:val="32"/>
        </w:rPr>
      </w:pPr>
      <w:r>
        <w:rPr>
          <w:rFonts w:hint="eastAsia" w:ascii="黑体" w:hAnsi="黑体" w:eastAsia="黑体" w:cs="黑体"/>
          <w:b w:val="0"/>
          <w:bCs/>
          <w:kern w:val="0"/>
          <w:sz w:val="32"/>
          <w:szCs w:val="32"/>
        </w:rPr>
        <w:t xml:space="preserve"> 导师及授课教师管理</w:t>
      </w:r>
    </w:p>
    <w:p>
      <w:pPr>
        <w:keepNext w:val="0"/>
        <w:keepLines w:val="0"/>
        <w:pageBreakBefore w:val="0"/>
        <w:widowControl w:val="0"/>
        <w:numPr>
          <w:ilvl w:val="0"/>
          <w:numId w:val="0"/>
        </w:numPr>
        <w:shd w:val="solid" w:color="FFFFFF" w:fill="auto"/>
        <w:kinsoku/>
        <w:wordWrap/>
        <w:overflowPunct/>
        <w:topLinePunct w:val="0"/>
        <w:autoSpaceDE/>
        <w:autoSpaceDN w:val="0"/>
        <w:bidi w:val="0"/>
        <w:adjustRightInd/>
        <w:snapToGrid/>
        <w:spacing w:line="560" w:lineRule="exact"/>
        <w:ind w:leftChars="0"/>
        <w:jc w:val="both"/>
        <w:textAlignment w:val="auto"/>
        <w:rPr>
          <w:rFonts w:hint="eastAsia" w:ascii="宋体" w:hAnsi="宋体" w:cs="宋体"/>
          <w:b/>
          <w:kern w:val="0"/>
          <w:sz w:val="28"/>
          <w:szCs w:val="28"/>
        </w:rPr>
      </w:pPr>
    </w:p>
    <w:p>
      <w:pPr>
        <w:keepNext w:val="0"/>
        <w:keepLines w:val="0"/>
        <w:pageBreakBefore w:val="0"/>
        <w:widowControl w:val="0"/>
        <w:shd w:val="solid" w:color="FFFFFF" w:fill="auto"/>
        <w:kinsoku/>
        <w:wordWrap/>
        <w:overflowPunct/>
        <w:topLinePunct w:val="0"/>
        <w:autoSpaceDE/>
        <w:autoSpaceDN w:val="0"/>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第十八条</w:t>
      </w:r>
      <w:r>
        <w:rPr>
          <w:rFonts w:hint="eastAsia" w:ascii="仿宋_GB2312" w:hAnsi="仿宋_GB2312" w:eastAsia="仿宋_GB2312" w:cs="仿宋_GB2312"/>
          <w:sz w:val="32"/>
          <w:szCs w:val="32"/>
        </w:rPr>
        <w:t xml:space="preserve">  招生院部负责导师配备工作，并将</w:t>
      </w:r>
      <w:r>
        <w:rPr>
          <w:rFonts w:hint="eastAsia" w:ascii="仿宋_GB2312" w:hAnsi="仿宋_GB2312" w:eastAsia="仿宋_GB2312" w:cs="仿宋_GB2312"/>
          <w:kern w:val="0"/>
          <w:sz w:val="32"/>
          <w:szCs w:val="32"/>
        </w:rPr>
        <w:t>本硕连读</w:t>
      </w:r>
      <w:r>
        <w:rPr>
          <w:rFonts w:hint="eastAsia" w:ascii="仿宋_GB2312" w:hAnsi="仿宋_GB2312" w:eastAsia="仿宋_GB2312" w:cs="仿宋_GB2312"/>
          <w:sz w:val="32"/>
          <w:szCs w:val="32"/>
        </w:rPr>
        <w:t>班的导师配备情况报送教务处备案。</w:t>
      </w:r>
    </w:p>
    <w:p>
      <w:pPr>
        <w:keepNext w:val="0"/>
        <w:keepLines w:val="0"/>
        <w:pageBreakBefore w:val="0"/>
        <w:widowControl w:val="0"/>
        <w:shd w:val="solid" w:color="FFFFFF" w:fill="auto"/>
        <w:kinsoku/>
        <w:wordWrap/>
        <w:overflowPunct/>
        <w:topLinePunct w:val="0"/>
        <w:autoSpaceDE/>
        <w:autoSpaceDN w:val="0"/>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第十九条</w:t>
      </w:r>
      <w:r>
        <w:rPr>
          <w:rFonts w:hint="eastAsia" w:ascii="仿宋_GB2312" w:hAnsi="仿宋_GB2312" w:eastAsia="仿宋_GB2312" w:cs="仿宋_GB2312"/>
          <w:sz w:val="32"/>
          <w:szCs w:val="32"/>
        </w:rPr>
        <w:t xml:space="preserve">  为保证培养质量，有本硕连读班教学任务的院部要安排教学效果好的教师组成教学组，教学组负责人原则上应由学术造诣深厚、教学经验丰富教师担任。</w:t>
      </w:r>
      <w:r>
        <w:rPr>
          <w:rFonts w:hint="eastAsia" w:ascii="仿宋_GB2312" w:hAnsi="仿宋_GB2312" w:eastAsia="仿宋_GB2312" w:cs="仿宋_GB2312"/>
          <w:kern w:val="0"/>
          <w:sz w:val="32"/>
          <w:szCs w:val="32"/>
        </w:rPr>
        <w:t>本硕连读</w:t>
      </w:r>
      <w:r>
        <w:rPr>
          <w:rFonts w:hint="eastAsia" w:ascii="仿宋_GB2312" w:hAnsi="仿宋_GB2312" w:eastAsia="仿宋_GB2312" w:cs="仿宋_GB2312"/>
          <w:sz w:val="32"/>
          <w:szCs w:val="32"/>
        </w:rPr>
        <w:t>班教学组应具有一定的稳定性。</w:t>
      </w:r>
    </w:p>
    <w:p>
      <w:pPr>
        <w:keepNext w:val="0"/>
        <w:keepLines w:val="0"/>
        <w:pageBreakBefore w:val="0"/>
        <w:widowControl w:val="0"/>
        <w:shd w:val="solid" w:color="FFFFFF" w:fill="auto"/>
        <w:kinsoku/>
        <w:wordWrap/>
        <w:overflowPunct/>
        <w:topLinePunct w:val="0"/>
        <w:autoSpaceDE/>
        <w:autoSpaceDN w:val="0"/>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numPr>
          <w:ilvl w:val="0"/>
          <w:numId w:val="1"/>
        </w:numPr>
        <w:shd w:val="solid" w:color="FFFFFF" w:fill="auto"/>
        <w:kinsoku/>
        <w:wordWrap/>
        <w:overflowPunct/>
        <w:topLinePunct w:val="0"/>
        <w:autoSpaceDE/>
        <w:autoSpaceDN w:val="0"/>
        <w:bidi w:val="0"/>
        <w:adjustRightInd/>
        <w:snapToGrid/>
        <w:spacing w:line="560" w:lineRule="exact"/>
        <w:ind w:left="0" w:leftChars="0" w:firstLine="0" w:firstLineChars="0"/>
        <w:jc w:val="center"/>
        <w:textAlignment w:val="auto"/>
        <w:rPr>
          <w:rFonts w:hint="eastAsia" w:ascii="黑体" w:hAnsi="黑体" w:eastAsia="黑体" w:cs="黑体"/>
          <w:b w:val="0"/>
          <w:bCs/>
          <w:kern w:val="0"/>
          <w:sz w:val="32"/>
          <w:szCs w:val="32"/>
        </w:rPr>
      </w:pPr>
      <w:r>
        <w:rPr>
          <w:rFonts w:ascii="宋体" w:hAnsi="宋体" w:cs="宋体"/>
          <w:b/>
          <w:kern w:val="0"/>
          <w:sz w:val="28"/>
          <w:szCs w:val="28"/>
        </w:rPr>
        <w:t xml:space="preserve"> </w:t>
      </w:r>
      <w:r>
        <w:rPr>
          <w:rFonts w:hint="eastAsia" w:ascii="黑体" w:hAnsi="黑体" w:eastAsia="黑体" w:cs="黑体"/>
          <w:b w:val="0"/>
          <w:bCs/>
          <w:kern w:val="0"/>
          <w:sz w:val="32"/>
          <w:szCs w:val="32"/>
        </w:rPr>
        <w:t>保障机制</w:t>
      </w:r>
    </w:p>
    <w:p>
      <w:pPr>
        <w:keepNext w:val="0"/>
        <w:keepLines w:val="0"/>
        <w:pageBreakBefore w:val="0"/>
        <w:widowControl w:val="0"/>
        <w:numPr>
          <w:ilvl w:val="0"/>
          <w:numId w:val="0"/>
        </w:numPr>
        <w:shd w:val="solid" w:color="FFFFFF" w:fill="auto"/>
        <w:kinsoku/>
        <w:wordWrap/>
        <w:overflowPunct/>
        <w:topLinePunct w:val="0"/>
        <w:autoSpaceDE/>
        <w:autoSpaceDN w:val="0"/>
        <w:bidi w:val="0"/>
        <w:adjustRightInd/>
        <w:snapToGrid/>
        <w:spacing w:line="560" w:lineRule="exact"/>
        <w:ind w:leftChars="0"/>
        <w:jc w:val="both"/>
        <w:textAlignment w:val="auto"/>
        <w:rPr>
          <w:rFonts w:hint="eastAsia" w:ascii="宋体" w:hAnsi="宋体" w:cs="宋体"/>
          <w:b/>
          <w:kern w:val="0"/>
          <w:sz w:val="28"/>
          <w:szCs w:val="28"/>
        </w:rPr>
      </w:pPr>
    </w:p>
    <w:p>
      <w:pPr>
        <w:keepNext w:val="0"/>
        <w:keepLines w:val="0"/>
        <w:pageBreakBefore w:val="0"/>
        <w:widowControl w:val="0"/>
        <w:shd w:val="solid" w:color="FFFFFF" w:fill="auto"/>
        <w:kinsoku/>
        <w:wordWrap/>
        <w:overflowPunct/>
        <w:topLinePunct w:val="0"/>
        <w:autoSpaceDE/>
        <w:autoSpaceDN w:val="0"/>
        <w:bidi w:val="0"/>
        <w:adjustRightInd/>
        <w:snapToGrid/>
        <w:spacing w:line="560" w:lineRule="exact"/>
        <w:ind w:firstLine="643" w:firstLineChars="200"/>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
          <w:sz w:val="32"/>
          <w:szCs w:val="32"/>
        </w:rPr>
        <w:t>第二十条</w:t>
      </w:r>
      <w:r>
        <w:rPr>
          <w:rFonts w:hint="eastAsia" w:ascii="仿宋_GB2312" w:hAnsi="仿宋_GB2312" w:eastAsia="仿宋_GB2312" w:cs="仿宋_GB2312"/>
          <w:bCs/>
          <w:sz w:val="32"/>
          <w:szCs w:val="32"/>
        </w:rPr>
        <w:t xml:space="preserve">  学校在教学管理、学生管理等方面提供有力支持。对负责本硕连读班教学与学生指导工作的教师，在工作量考核、评优评奖等方面给予体现；对本硕连读班学生开展学习、实习实践以及科学研究所需的教学资源与条件给予优先保证；对学生评奖评优、奖学金评定、国际交流、创新创业教育等方面同等条件下优先考虑。</w:t>
      </w:r>
    </w:p>
    <w:p>
      <w:pPr>
        <w:keepNext w:val="0"/>
        <w:keepLines w:val="0"/>
        <w:pageBreakBefore w:val="0"/>
        <w:widowControl w:val="0"/>
        <w:shd w:val="solid" w:color="FFFFFF" w:fill="auto"/>
        <w:kinsoku/>
        <w:wordWrap/>
        <w:overflowPunct/>
        <w:topLinePunct w:val="0"/>
        <w:autoSpaceDE/>
        <w:autoSpaceDN w:val="0"/>
        <w:bidi w:val="0"/>
        <w:adjustRightInd/>
        <w:snapToGrid/>
        <w:spacing w:line="560" w:lineRule="exact"/>
        <w:ind w:firstLine="640" w:firstLineChars="200"/>
        <w:textAlignment w:val="auto"/>
        <w:rPr>
          <w:rFonts w:hint="eastAsia" w:ascii="仿宋_GB2312" w:hAnsi="仿宋_GB2312" w:eastAsia="仿宋_GB2312" w:cs="仿宋_GB2312"/>
          <w:bCs/>
          <w:sz w:val="32"/>
          <w:szCs w:val="32"/>
        </w:rPr>
      </w:pPr>
    </w:p>
    <w:p>
      <w:pPr>
        <w:keepNext w:val="0"/>
        <w:keepLines w:val="0"/>
        <w:pageBreakBefore w:val="0"/>
        <w:widowControl w:val="0"/>
        <w:numPr>
          <w:ilvl w:val="0"/>
          <w:numId w:val="1"/>
        </w:numPr>
        <w:shd w:val="solid" w:color="FFFFFF" w:fill="auto"/>
        <w:kinsoku/>
        <w:wordWrap/>
        <w:overflowPunct/>
        <w:topLinePunct w:val="0"/>
        <w:autoSpaceDE/>
        <w:autoSpaceDN w:val="0"/>
        <w:bidi w:val="0"/>
        <w:adjustRightInd/>
        <w:snapToGrid/>
        <w:spacing w:line="560" w:lineRule="exact"/>
        <w:ind w:left="0" w:leftChars="0" w:firstLine="0" w:firstLineChars="0"/>
        <w:jc w:val="center"/>
        <w:textAlignment w:val="auto"/>
        <w:rPr>
          <w:rFonts w:hint="eastAsia" w:ascii="黑体" w:hAnsi="黑体" w:eastAsia="黑体" w:cs="黑体"/>
          <w:b w:val="0"/>
          <w:bCs/>
          <w:kern w:val="0"/>
          <w:sz w:val="32"/>
          <w:szCs w:val="32"/>
        </w:rPr>
      </w:pPr>
      <w:r>
        <w:rPr>
          <w:rFonts w:ascii="宋体" w:hAnsi="宋体" w:cs="宋体"/>
          <w:b/>
          <w:kern w:val="0"/>
          <w:sz w:val="28"/>
          <w:szCs w:val="28"/>
        </w:rPr>
        <w:t xml:space="preserve"> </w:t>
      </w:r>
      <w:r>
        <w:rPr>
          <w:rFonts w:hint="eastAsia" w:ascii="黑体" w:hAnsi="黑体" w:eastAsia="黑体" w:cs="黑体"/>
          <w:b w:val="0"/>
          <w:bCs/>
          <w:kern w:val="0"/>
          <w:sz w:val="32"/>
          <w:szCs w:val="32"/>
        </w:rPr>
        <w:t>附  则</w:t>
      </w:r>
    </w:p>
    <w:p>
      <w:pPr>
        <w:keepNext w:val="0"/>
        <w:keepLines w:val="0"/>
        <w:pageBreakBefore w:val="0"/>
        <w:widowControl w:val="0"/>
        <w:numPr>
          <w:ilvl w:val="0"/>
          <w:numId w:val="0"/>
        </w:numPr>
        <w:shd w:val="solid" w:color="FFFFFF" w:fill="auto"/>
        <w:kinsoku/>
        <w:wordWrap/>
        <w:overflowPunct/>
        <w:topLinePunct w:val="0"/>
        <w:autoSpaceDE/>
        <w:autoSpaceDN w:val="0"/>
        <w:bidi w:val="0"/>
        <w:adjustRightInd/>
        <w:snapToGrid/>
        <w:spacing w:line="560" w:lineRule="exact"/>
        <w:ind w:leftChars="0"/>
        <w:jc w:val="both"/>
        <w:textAlignment w:val="auto"/>
        <w:rPr>
          <w:rFonts w:hint="eastAsia" w:ascii="宋体" w:hAnsi="宋体" w:cs="宋体"/>
          <w:b/>
          <w:kern w:val="0"/>
          <w:sz w:val="28"/>
          <w:szCs w:val="28"/>
        </w:rPr>
      </w:pPr>
    </w:p>
    <w:p>
      <w:pPr>
        <w:keepNext w:val="0"/>
        <w:keepLines w:val="0"/>
        <w:pageBreakBefore w:val="0"/>
        <w:widowControl w:val="0"/>
        <w:shd w:val="solid" w:color="FFFFFF" w:fill="auto"/>
        <w:kinsoku/>
        <w:wordWrap/>
        <w:overflowPunct/>
        <w:topLinePunct w:val="0"/>
        <w:autoSpaceDE/>
        <w:autoSpaceDN w:val="0"/>
        <w:bidi w:val="0"/>
        <w:adjustRightInd/>
        <w:snapToGrid/>
        <w:spacing w:line="560" w:lineRule="exact"/>
        <w:ind w:firstLine="643" w:firstLineChars="200"/>
        <w:textAlignment w:val="auto"/>
        <w:rPr>
          <w:rFonts w:hint="eastAsia" w:ascii="仿宋_GB2312" w:hAnsi="仿宋_GB2312" w:eastAsia="仿宋_GB2312" w:cs="仿宋_GB2312"/>
          <w:kern w:val="0"/>
          <w:sz w:val="32"/>
          <w:szCs w:val="32"/>
          <w:highlight w:val="yellow"/>
        </w:rPr>
      </w:pPr>
      <w:r>
        <w:rPr>
          <w:rFonts w:hint="eastAsia" w:ascii="仿宋_GB2312" w:hAnsi="仿宋_GB2312" w:eastAsia="仿宋_GB2312" w:cs="仿宋_GB2312"/>
          <w:b/>
          <w:kern w:val="0"/>
          <w:sz w:val="32"/>
          <w:szCs w:val="32"/>
        </w:rPr>
        <w:t>第二十一条</w:t>
      </w:r>
      <w:r>
        <w:rPr>
          <w:rFonts w:hint="eastAsia" w:ascii="仿宋_GB2312" w:hAnsi="仿宋_GB2312" w:eastAsia="仿宋_GB2312" w:cs="仿宋_GB2312"/>
          <w:kern w:val="0"/>
          <w:sz w:val="32"/>
          <w:szCs w:val="32"/>
        </w:rPr>
        <w:t xml:space="preserve">  本规定自发布之日起开始施行，解释权归教务处、研究生部、招生所在院部。</w:t>
      </w:r>
    </w:p>
    <w:p>
      <w:pPr>
        <w:keepNext w:val="0"/>
        <w:keepLines w:val="0"/>
        <w:pageBreakBefore w:val="0"/>
        <w:widowControl w:val="0"/>
        <w:kinsoku/>
        <w:wordWrap/>
        <w:overflowPunct/>
        <w:topLinePunct w:val="0"/>
        <w:autoSpaceDE/>
        <w:bidi w:val="0"/>
        <w:adjustRightInd/>
        <w:snapToGrid/>
        <w:spacing w:line="560" w:lineRule="exac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bidi w:val="0"/>
        <w:adjustRightInd/>
        <w:snapToGrid/>
        <w:spacing w:line="560" w:lineRule="exac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bidi w:val="0"/>
        <w:adjustRightInd/>
        <w:snapToGrid/>
        <w:spacing w:line="560" w:lineRule="exac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bidi w:val="0"/>
        <w:adjustRightInd/>
        <w:snapToGrid/>
        <w:spacing w:line="560" w:lineRule="exac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bidi w:val="0"/>
        <w:adjustRightInd/>
        <w:snapToGrid/>
        <w:spacing w:line="560" w:lineRule="exac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bidi w:val="0"/>
        <w:adjustRightInd/>
        <w:snapToGrid/>
        <w:spacing w:line="560" w:lineRule="exact"/>
        <w:textAlignment w:val="auto"/>
        <w:rPr>
          <w:rFonts w:hint="eastAsia" w:ascii="仿宋_GB2312" w:hAnsi="仿宋_GB2312" w:eastAsia="仿宋_GB2312" w:cs="仿宋_GB2312"/>
          <w:sz w:val="32"/>
          <w:szCs w:val="32"/>
        </w:rPr>
      </w:pPr>
    </w:p>
    <w:p>
      <w:pPr>
        <w:spacing w:line="460" w:lineRule="exact"/>
        <w:rPr>
          <w:rFonts w:ascii="黑体" w:hAnsi="黑体" w:eastAsia="黑体" w:cs="黑体"/>
          <w:bCs/>
          <w:sz w:val="28"/>
          <w:szCs w:val="28"/>
        </w:rPr>
      </w:pPr>
      <w:r>
        <w:rPr>
          <w:rFonts w:hint="eastAsia" w:ascii="黑体" w:hAnsi="黑体" w:eastAsia="黑体" w:cs="黑体"/>
          <w:bCs/>
          <w:sz w:val="28"/>
          <w:szCs w:val="28"/>
        </w:rPr>
        <w:t>公开形式:主动公开</w:t>
      </w:r>
    </w:p>
    <w:p>
      <w:pPr>
        <w:tabs>
          <w:tab w:val="left" w:pos="2154"/>
        </w:tabs>
        <w:spacing w:line="460" w:lineRule="exact"/>
        <w:rPr>
          <w:rFonts w:ascii="宋体" w:hAnsi="宋体" w:cs="宋体"/>
          <w:kern w:val="0"/>
          <w:sz w:val="15"/>
          <w:szCs w:val="15"/>
        </w:rPr>
      </w:pPr>
    </w:p>
    <w:p>
      <w:pPr>
        <w:tabs>
          <w:tab w:val="left" w:pos="2154"/>
        </w:tabs>
        <w:spacing w:line="460" w:lineRule="exact"/>
        <w:rPr>
          <w:rFonts w:ascii="宋体" w:hAnsi="宋体" w:cs="宋体"/>
          <w:kern w:val="0"/>
          <w:sz w:val="15"/>
          <w:szCs w:val="15"/>
        </w:rPr>
      </w:pPr>
      <w:r>
        <w:rPr>
          <w:rFonts w:hint="eastAsia" w:eastAsia="黑体"/>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283845</wp:posOffset>
                </wp:positionV>
                <wp:extent cx="5694680" cy="0"/>
                <wp:effectExtent l="0" t="4445" r="0" b="5080"/>
                <wp:wrapNone/>
                <wp:docPr id="6" name="直接连接符 6"/>
                <wp:cNvGraphicFramePr/>
                <a:graphic xmlns:a="http://schemas.openxmlformats.org/drawingml/2006/main">
                  <a:graphicData uri="http://schemas.microsoft.com/office/word/2010/wordprocessingShape">
                    <wps:wsp>
                      <wps:cNvCnPr>
                        <a:cxnSpLocks noChangeShapeType="1"/>
                      </wps:cNvCnPr>
                      <wps:spPr bwMode="auto">
                        <a:xfrm>
                          <a:off x="0" y="0"/>
                          <a:ext cx="5694680"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0pt;margin-top:22.35pt;height:0pt;width:448.4pt;z-index:251660288;mso-width-relative:page;mso-height-relative:page;" filled="f" stroked="t" coordsize="21600,21600" o:gfxdata="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BmEMlj1AAA&#10;AAYBAAAPAAAAAAAAAAEAIAAAACIAAABkcnMvZG93bnJldi54bWxQSwECFAAUAAAACACHTuJASSQO&#10;KekBAAC4AwAADgAAAAAAAAABACAAAAAjAQAAZHJzL2Uyb0RvYy54bWxQSwUGAAAAAAYABgBZAQAA&#10;fgUAAAAA&#10;">
                <v:fill on="f" focussize="0,0"/>
                <v:stroke color="#000000" joinstyle="round"/>
                <v:imagedata o:title=""/>
                <o:lock v:ext="edit" aspectratio="f"/>
              </v:line>
            </w:pict>
          </mc:Fallback>
        </mc:AlternateContent>
      </w:r>
    </w:p>
    <w:p>
      <w:pPr>
        <w:spacing w:line="460" w:lineRule="exact"/>
        <w:rPr>
          <w:rFonts w:hint="eastAsia" w:ascii="宋体" w:hAnsi="宋体" w:eastAsia="宋体" w:cs="宋体"/>
          <w:sz w:val="28"/>
          <w:szCs w:val="28"/>
        </w:rPr>
      </w:pPr>
      <w:r>
        <w:rPr>
          <w:rFonts w:hint="eastAsia" w:ascii="仿宋_GB2312" w:eastAsia="仿宋_GB2312"/>
          <w:sz w:val="28"/>
          <w:szCs w:val="28"/>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350520</wp:posOffset>
                </wp:positionV>
                <wp:extent cx="5694680" cy="0"/>
                <wp:effectExtent l="0" t="4445" r="0" b="5080"/>
                <wp:wrapNone/>
                <wp:docPr id="7" name="直接连接符 7"/>
                <wp:cNvGraphicFramePr/>
                <a:graphic xmlns:a="http://schemas.openxmlformats.org/drawingml/2006/main">
                  <a:graphicData uri="http://schemas.microsoft.com/office/word/2010/wordprocessingShape">
                    <wps:wsp>
                      <wps:cNvCnPr>
                        <a:cxnSpLocks noChangeShapeType="1"/>
                      </wps:cNvCnPr>
                      <wps:spPr bwMode="auto">
                        <a:xfrm>
                          <a:off x="0" y="0"/>
                          <a:ext cx="5694680"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0pt;margin-top:27.6pt;height:0pt;width:448.4pt;z-index:251661312;mso-width-relative:page;mso-height-relative:page;" filled="f" stroked="t" coordsize="21600,21600" o:gfxdata="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0OmB9QA&#10;AAAGAQAADwAAAAAAAAABACAAAAAiAAAAZHJzL2Rvd25yZXYueG1sUEsBAhQAFAAAAAgAh07iQO89&#10;NW3qAQAAuAMAAA4AAAAAAAAAAQAgAAAAIwEAAGRycy9lMm9Eb2MueG1sUEsFBgAAAAAGAAYAWQEA&#10;AH8FAAAAAA==&#10;">
                <v:fill on="f" focussize="0,0"/>
                <v:stroke color="#000000" joinstyle="round"/>
                <v:imagedata o:title=""/>
                <o:lock v:ext="edit" aspectratio="f"/>
              </v:line>
            </w:pict>
          </mc:Fallback>
        </mc:AlternateContent>
      </w:r>
      <w:r>
        <w:rPr>
          <w:rFonts w:hint="eastAsia" w:ascii="宋体" w:hAnsi="宋体" w:eastAsia="宋体" w:cs="宋体"/>
          <w:sz w:val="28"/>
          <w:szCs w:val="28"/>
        </w:rPr>
        <w:t>东北石油大学党政办公室                        2023年</w:t>
      </w:r>
      <w:r>
        <w:rPr>
          <w:rFonts w:hint="eastAsia" w:ascii="宋体" w:hAnsi="宋体" w:eastAsia="宋体" w:cs="宋体"/>
          <w:sz w:val="28"/>
          <w:szCs w:val="28"/>
          <w:lang w:val="en-US" w:eastAsia="zh-CN"/>
        </w:rPr>
        <w:t>12</w:t>
      </w:r>
      <w:r>
        <w:rPr>
          <w:rFonts w:hint="eastAsia" w:ascii="宋体" w:hAnsi="宋体" w:eastAsia="宋体" w:cs="宋体"/>
          <w:sz w:val="28"/>
          <w:szCs w:val="28"/>
        </w:rPr>
        <w:t>月</w:t>
      </w:r>
      <w:r>
        <w:rPr>
          <w:rFonts w:hint="eastAsia" w:ascii="宋体" w:hAnsi="宋体" w:eastAsia="宋体" w:cs="宋体"/>
          <w:sz w:val="28"/>
          <w:szCs w:val="28"/>
          <w:lang w:val="en-US" w:eastAsia="zh-CN"/>
        </w:rPr>
        <w:t>21</w:t>
      </w:r>
      <w:r>
        <w:rPr>
          <w:rFonts w:hint="eastAsia" w:ascii="宋体" w:hAnsi="宋体" w:eastAsia="宋体" w:cs="宋体"/>
          <w:sz w:val="28"/>
          <w:szCs w:val="28"/>
        </w:rPr>
        <w:t>日印</w:t>
      </w:r>
    </w:p>
    <w:sectPr>
      <w:footerReference r:id="rId3" w:type="default"/>
      <w:pgSz w:w="11906" w:h="16838"/>
      <w:pgMar w:top="2268" w:right="1418" w:bottom="1644" w:left="1531"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7"/>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8D502B2"/>
    <w:multiLevelType w:val="singleLevel"/>
    <w:tmpl w:val="E8D502B2"/>
    <w:lvl w:ilvl="0" w:tentative="0">
      <w:start w:val="1"/>
      <w:numFmt w:val="chineseCounting"/>
      <w:suff w:val="space"/>
      <w:lvlText w:val="第%1章"/>
      <w:lvlJc w:val="left"/>
      <w:rPr>
        <w:rFonts w:hint="eastAsia" w:ascii="黑体" w:hAnsi="黑体" w:eastAsia="黑体" w:cs="黑体"/>
        <w:sz w:val="32"/>
        <w:szCs w:val="32"/>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revisionView w:markup="0"/>
  <w:documentProtection w:edit="readOnly" w:enforcement="0"/>
  <w:defaultTabStop w:val="420"/>
  <w:drawingGridHorizontalSpacing w:val="105"/>
  <w:drawingGridVerticalSpacing w:val="156"/>
  <w:displayHorizontalDrawingGridEvery w:val="0"/>
  <w:displayVerticalDrawingGridEvery w:val="2"/>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UwMjNkMDQ2YjIyNjUxMzdlZTI2NWRiNzMwZGUzNTQifQ=="/>
  </w:docVars>
  <w:rsids>
    <w:rsidRoot w:val="00E84829"/>
    <w:rsid w:val="000014EB"/>
    <w:rsid w:val="000036EC"/>
    <w:rsid w:val="00003A65"/>
    <w:rsid w:val="00005F4B"/>
    <w:rsid w:val="000178A8"/>
    <w:rsid w:val="00025219"/>
    <w:rsid w:val="00031AAD"/>
    <w:rsid w:val="00033D27"/>
    <w:rsid w:val="00034013"/>
    <w:rsid w:val="00051639"/>
    <w:rsid w:val="00061AF1"/>
    <w:rsid w:val="000676D1"/>
    <w:rsid w:val="000827D2"/>
    <w:rsid w:val="000842DF"/>
    <w:rsid w:val="000909E4"/>
    <w:rsid w:val="00090ABF"/>
    <w:rsid w:val="0009539B"/>
    <w:rsid w:val="00096A0F"/>
    <w:rsid w:val="000A34A1"/>
    <w:rsid w:val="000A39CD"/>
    <w:rsid w:val="000A75BF"/>
    <w:rsid w:val="000B1D9A"/>
    <w:rsid w:val="000B74D9"/>
    <w:rsid w:val="000B7B1B"/>
    <w:rsid w:val="000C3091"/>
    <w:rsid w:val="000C5DA2"/>
    <w:rsid w:val="000C6A6E"/>
    <w:rsid w:val="000D065E"/>
    <w:rsid w:val="000E4E36"/>
    <w:rsid w:val="000E562D"/>
    <w:rsid w:val="000E61F2"/>
    <w:rsid w:val="000F0175"/>
    <w:rsid w:val="000F1E4F"/>
    <w:rsid w:val="000F5E7C"/>
    <w:rsid w:val="000F6B87"/>
    <w:rsid w:val="00123759"/>
    <w:rsid w:val="00123CAD"/>
    <w:rsid w:val="00126409"/>
    <w:rsid w:val="001264AA"/>
    <w:rsid w:val="0012797D"/>
    <w:rsid w:val="001356E1"/>
    <w:rsid w:val="001458A1"/>
    <w:rsid w:val="00145DB5"/>
    <w:rsid w:val="00147BE7"/>
    <w:rsid w:val="001509B9"/>
    <w:rsid w:val="0017721F"/>
    <w:rsid w:val="0018006B"/>
    <w:rsid w:val="00180B02"/>
    <w:rsid w:val="00182892"/>
    <w:rsid w:val="001875B9"/>
    <w:rsid w:val="0019232A"/>
    <w:rsid w:val="001A570B"/>
    <w:rsid w:val="001A5EF2"/>
    <w:rsid w:val="001A6186"/>
    <w:rsid w:val="001B415A"/>
    <w:rsid w:val="001B6C4D"/>
    <w:rsid w:val="001C1985"/>
    <w:rsid w:val="001D73A5"/>
    <w:rsid w:val="001E055C"/>
    <w:rsid w:val="001E2CEB"/>
    <w:rsid w:val="001F78A8"/>
    <w:rsid w:val="002079A6"/>
    <w:rsid w:val="00214EB9"/>
    <w:rsid w:val="00217CC4"/>
    <w:rsid w:val="0022029C"/>
    <w:rsid w:val="00221715"/>
    <w:rsid w:val="00221E60"/>
    <w:rsid w:val="00226FEE"/>
    <w:rsid w:val="002309EF"/>
    <w:rsid w:val="002349C2"/>
    <w:rsid w:val="002356BA"/>
    <w:rsid w:val="00235B46"/>
    <w:rsid w:val="00235FEA"/>
    <w:rsid w:val="00237BA7"/>
    <w:rsid w:val="00242D3A"/>
    <w:rsid w:val="002433BA"/>
    <w:rsid w:val="0024398A"/>
    <w:rsid w:val="0025299B"/>
    <w:rsid w:val="002550FB"/>
    <w:rsid w:val="0025783D"/>
    <w:rsid w:val="002650D2"/>
    <w:rsid w:val="00267717"/>
    <w:rsid w:val="00273336"/>
    <w:rsid w:val="00273C81"/>
    <w:rsid w:val="0028020A"/>
    <w:rsid w:val="00280742"/>
    <w:rsid w:val="00280996"/>
    <w:rsid w:val="00292E53"/>
    <w:rsid w:val="00294CE9"/>
    <w:rsid w:val="00297FD1"/>
    <w:rsid w:val="002A0F40"/>
    <w:rsid w:val="002A10F1"/>
    <w:rsid w:val="002A1DF7"/>
    <w:rsid w:val="002B4A7A"/>
    <w:rsid w:val="002B6E5F"/>
    <w:rsid w:val="002C0502"/>
    <w:rsid w:val="002C10BB"/>
    <w:rsid w:val="002C2AA5"/>
    <w:rsid w:val="002C4D77"/>
    <w:rsid w:val="002D0C05"/>
    <w:rsid w:val="002D17BC"/>
    <w:rsid w:val="002D2A74"/>
    <w:rsid w:val="002D45C0"/>
    <w:rsid w:val="002D503D"/>
    <w:rsid w:val="002E047F"/>
    <w:rsid w:val="002F2298"/>
    <w:rsid w:val="002F3F08"/>
    <w:rsid w:val="0031430B"/>
    <w:rsid w:val="003222F2"/>
    <w:rsid w:val="003233A9"/>
    <w:rsid w:val="003360A1"/>
    <w:rsid w:val="0034337A"/>
    <w:rsid w:val="00343FC3"/>
    <w:rsid w:val="003443B4"/>
    <w:rsid w:val="00355055"/>
    <w:rsid w:val="00356FB5"/>
    <w:rsid w:val="00357251"/>
    <w:rsid w:val="00357D86"/>
    <w:rsid w:val="00362D0A"/>
    <w:rsid w:val="003660BC"/>
    <w:rsid w:val="003663BB"/>
    <w:rsid w:val="0036701D"/>
    <w:rsid w:val="003719B8"/>
    <w:rsid w:val="00372709"/>
    <w:rsid w:val="00373CC7"/>
    <w:rsid w:val="003774E8"/>
    <w:rsid w:val="00380AD2"/>
    <w:rsid w:val="0038195B"/>
    <w:rsid w:val="003853EC"/>
    <w:rsid w:val="00387F97"/>
    <w:rsid w:val="003950FD"/>
    <w:rsid w:val="003A2338"/>
    <w:rsid w:val="003A311B"/>
    <w:rsid w:val="003B2F40"/>
    <w:rsid w:val="003B71C5"/>
    <w:rsid w:val="003C733A"/>
    <w:rsid w:val="003C7BF4"/>
    <w:rsid w:val="003C7FBD"/>
    <w:rsid w:val="003D501F"/>
    <w:rsid w:val="003E5A5C"/>
    <w:rsid w:val="003F6F43"/>
    <w:rsid w:val="00402AD5"/>
    <w:rsid w:val="004121E8"/>
    <w:rsid w:val="00413197"/>
    <w:rsid w:val="00417547"/>
    <w:rsid w:val="004179EC"/>
    <w:rsid w:val="00423AEC"/>
    <w:rsid w:val="00423B08"/>
    <w:rsid w:val="0043563A"/>
    <w:rsid w:val="004365AE"/>
    <w:rsid w:val="0044460C"/>
    <w:rsid w:val="00446D9C"/>
    <w:rsid w:val="00453048"/>
    <w:rsid w:val="00456E20"/>
    <w:rsid w:val="004612FB"/>
    <w:rsid w:val="0046581B"/>
    <w:rsid w:val="004662DA"/>
    <w:rsid w:val="00484A3E"/>
    <w:rsid w:val="00486286"/>
    <w:rsid w:val="004871F4"/>
    <w:rsid w:val="00494371"/>
    <w:rsid w:val="00495FE3"/>
    <w:rsid w:val="00496B56"/>
    <w:rsid w:val="004A35DA"/>
    <w:rsid w:val="004A4B4C"/>
    <w:rsid w:val="004A4C4F"/>
    <w:rsid w:val="004B3862"/>
    <w:rsid w:val="004B3CE7"/>
    <w:rsid w:val="004B44F8"/>
    <w:rsid w:val="004C155F"/>
    <w:rsid w:val="004C292B"/>
    <w:rsid w:val="004D5793"/>
    <w:rsid w:val="004D7778"/>
    <w:rsid w:val="004F7BBF"/>
    <w:rsid w:val="0050445A"/>
    <w:rsid w:val="005078DC"/>
    <w:rsid w:val="00520251"/>
    <w:rsid w:val="005215F4"/>
    <w:rsid w:val="00521860"/>
    <w:rsid w:val="00524BBA"/>
    <w:rsid w:val="00525CE0"/>
    <w:rsid w:val="005332B2"/>
    <w:rsid w:val="0053480D"/>
    <w:rsid w:val="005349F2"/>
    <w:rsid w:val="00536C1D"/>
    <w:rsid w:val="00557D83"/>
    <w:rsid w:val="00562D5D"/>
    <w:rsid w:val="00565DE5"/>
    <w:rsid w:val="00581099"/>
    <w:rsid w:val="00585236"/>
    <w:rsid w:val="005870D7"/>
    <w:rsid w:val="005A6F8E"/>
    <w:rsid w:val="005A7480"/>
    <w:rsid w:val="005B0150"/>
    <w:rsid w:val="005B187B"/>
    <w:rsid w:val="005B3941"/>
    <w:rsid w:val="005B5774"/>
    <w:rsid w:val="005C0C85"/>
    <w:rsid w:val="005D1213"/>
    <w:rsid w:val="005D298A"/>
    <w:rsid w:val="005D70F5"/>
    <w:rsid w:val="005E6C61"/>
    <w:rsid w:val="005F05B5"/>
    <w:rsid w:val="005F4A5C"/>
    <w:rsid w:val="00607BB0"/>
    <w:rsid w:val="00610229"/>
    <w:rsid w:val="00612E4F"/>
    <w:rsid w:val="00621CE5"/>
    <w:rsid w:val="00622265"/>
    <w:rsid w:val="00622745"/>
    <w:rsid w:val="006236EF"/>
    <w:rsid w:val="006270C7"/>
    <w:rsid w:val="00645DA3"/>
    <w:rsid w:val="00646744"/>
    <w:rsid w:val="006500C6"/>
    <w:rsid w:val="00667E0C"/>
    <w:rsid w:val="00670625"/>
    <w:rsid w:val="006857E6"/>
    <w:rsid w:val="006865FE"/>
    <w:rsid w:val="00692F6A"/>
    <w:rsid w:val="006974F5"/>
    <w:rsid w:val="006A0DAE"/>
    <w:rsid w:val="006A1180"/>
    <w:rsid w:val="006A1FE1"/>
    <w:rsid w:val="006A523B"/>
    <w:rsid w:val="006A6BF6"/>
    <w:rsid w:val="006A754F"/>
    <w:rsid w:val="006A79B6"/>
    <w:rsid w:val="006B7700"/>
    <w:rsid w:val="006C01AB"/>
    <w:rsid w:val="006C057C"/>
    <w:rsid w:val="006C4192"/>
    <w:rsid w:val="006C7B57"/>
    <w:rsid w:val="006D0964"/>
    <w:rsid w:val="006D65B7"/>
    <w:rsid w:val="006E7B51"/>
    <w:rsid w:val="006F34D6"/>
    <w:rsid w:val="007014B7"/>
    <w:rsid w:val="00703B56"/>
    <w:rsid w:val="0070509E"/>
    <w:rsid w:val="00714216"/>
    <w:rsid w:val="00716FF4"/>
    <w:rsid w:val="0072156B"/>
    <w:rsid w:val="007217EB"/>
    <w:rsid w:val="00723DAF"/>
    <w:rsid w:val="00724B93"/>
    <w:rsid w:val="007303D7"/>
    <w:rsid w:val="00730944"/>
    <w:rsid w:val="00754768"/>
    <w:rsid w:val="00763C33"/>
    <w:rsid w:val="0076463D"/>
    <w:rsid w:val="00781913"/>
    <w:rsid w:val="0078793F"/>
    <w:rsid w:val="00794570"/>
    <w:rsid w:val="007B615E"/>
    <w:rsid w:val="007C37D0"/>
    <w:rsid w:val="007C3B17"/>
    <w:rsid w:val="007C62B6"/>
    <w:rsid w:val="007D1B39"/>
    <w:rsid w:val="007D3D28"/>
    <w:rsid w:val="007D74A2"/>
    <w:rsid w:val="007E17C8"/>
    <w:rsid w:val="007E3F0A"/>
    <w:rsid w:val="007F0D1E"/>
    <w:rsid w:val="007F26FE"/>
    <w:rsid w:val="008022C4"/>
    <w:rsid w:val="00836E90"/>
    <w:rsid w:val="00837F48"/>
    <w:rsid w:val="00842B10"/>
    <w:rsid w:val="008442DC"/>
    <w:rsid w:val="00856625"/>
    <w:rsid w:val="0086290B"/>
    <w:rsid w:val="00862B0A"/>
    <w:rsid w:val="00870372"/>
    <w:rsid w:val="008712E3"/>
    <w:rsid w:val="00872A0A"/>
    <w:rsid w:val="00875ECC"/>
    <w:rsid w:val="00883042"/>
    <w:rsid w:val="008858DA"/>
    <w:rsid w:val="008869F0"/>
    <w:rsid w:val="008933AD"/>
    <w:rsid w:val="00896B1F"/>
    <w:rsid w:val="0089794F"/>
    <w:rsid w:val="008A0877"/>
    <w:rsid w:val="008A29FB"/>
    <w:rsid w:val="008B1793"/>
    <w:rsid w:val="008B27E9"/>
    <w:rsid w:val="008C4A37"/>
    <w:rsid w:val="008C6252"/>
    <w:rsid w:val="008D04D7"/>
    <w:rsid w:val="008D36CF"/>
    <w:rsid w:val="009008D1"/>
    <w:rsid w:val="00901B92"/>
    <w:rsid w:val="009020D9"/>
    <w:rsid w:val="00910976"/>
    <w:rsid w:val="00914808"/>
    <w:rsid w:val="009232CC"/>
    <w:rsid w:val="00925B4F"/>
    <w:rsid w:val="00927199"/>
    <w:rsid w:val="00940129"/>
    <w:rsid w:val="009417C4"/>
    <w:rsid w:val="0094429A"/>
    <w:rsid w:val="00944CB7"/>
    <w:rsid w:val="009469A9"/>
    <w:rsid w:val="00946DD9"/>
    <w:rsid w:val="00955B0B"/>
    <w:rsid w:val="00963CE8"/>
    <w:rsid w:val="00967558"/>
    <w:rsid w:val="009708C6"/>
    <w:rsid w:val="00970DC4"/>
    <w:rsid w:val="00976812"/>
    <w:rsid w:val="009828EA"/>
    <w:rsid w:val="00992FC0"/>
    <w:rsid w:val="0099588F"/>
    <w:rsid w:val="009A3BCC"/>
    <w:rsid w:val="009B2F41"/>
    <w:rsid w:val="009C3213"/>
    <w:rsid w:val="009C62F0"/>
    <w:rsid w:val="009C73C0"/>
    <w:rsid w:val="009E7748"/>
    <w:rsid w:val="009E7D8B"/>
    <w:rsid w:val="009F5121"/>
    <w:rsid w:val="009F64E4"/>
    <w:rsid w:val="00A01CAB"/>
    <w:rsid w:val="00A0231E"/>
    <w:rsid w:val="00A03FE9"/>
    <w:rsid w:val="00A128AE"/>
    <w:rsid w:val="00A16814"/>
    <w:rsid w:val="00A17FBA"/>
    <w:rsid w:val="00A21E3B"/>
    <w:rsid w:val="00A30ACB"/>
    <w:rsid w:val="00A423BE"/>
    <w:rsid w:val="00A43818"/>
    <w:rsid w:val="00A45DD9"/>
    <w:rsid w:val="00A46818"/>
    <w:rsid w:val="00A501D7"/>
    <w:rsid w:val="00A505BC"/>
    <w:rsid w:val="00A555DE"/>
    <w:rsid w:val="00A60E47"/>
    <w:rsid w:val="00A611CF"/>
    <w:rsid w:val="00A70872"/>
    <w:rsid w:val="00A74967"/>
    <w:rsid w:val="00A80A2A"/>
    <w:rsid w:val="00A84D73"/>
    <w:rsid w:val="00A84F12"/>
    <w:rsid w:val="00A87CBE"/>
    <w:rsid w:val="00A916CA"/>
    <w:rsid w:val="00A91A84"/>
    <w:rsid w:val="00A9312F"/>
    <w:rsid w:val="00A93670"/>
    <w:rsid w:val="00A97DA5"/>
    <w:rsid w:val="00AA0E01"/>
    <w:rsid w:val="00AA1B33"/>
    <w:rsid w:val="00AB190D"/>
    <w:rsid w:val="00AB319E"/>
    <w:rsid w:val="00AB43A2"/>
    <w:rsid w:val="00AD0144"/>
    <w:rsid w:val="00AD1836"/>
    <w:rsid w:val="00AD5C34"/>
    <w:rsid w:val="00AD6D8D"/>
    <w:rsid w:val="00AE0DC5"/>
    <w:rsid w:val="00AE2169"/>
    <w:rsid w:val="00AE43EA"/>
    <w:rsid w:val="00AE4E07"/>
    <w:rsid w:val="00AE7367"/>
    <w:rsid w:val="00B038DD"/>
    <w:rsid w:val="00B04F5E"/>
    <w:rsid w:val="00B0731F"/>
    <w:rsid w:val="00B1214B"/>
    <w:rsid w:val="00B12A13"/>
    <w:rsid w:val="00B12D0D"/>
    <w:rsid w:val="00B16FA2"/>
    <w:rsid w:val="00B26221"/>
    <w:rsid w:val="00B35393"/>
    <w:rsid w:val="00B4340C"/>
    <w:rsid w:val="00B50FE3"/>
    <w:rsid w:val="00B62B12"/>
    <w:rsid w:val="00B631B9"/>
    <w:rsid w:val="00B7002B"/>
    <w:rsid w:val="00B7053E"/>
    <w:rsid w:val="00B720AB"/>
    <w:rsid w:val="00B733DD"/>
    <w:rsid w:val="00B757C4"/>
    <w:rsid w:val="00B7795A"/>
    <w:rsid w:val="00B77CDB"/>
    <w:rsid w:val="00B800EE"/>
    <w:rsid w:val="00B80130"/>
    <w:rsid w:val="00B82A2C"/>
    <w:rsid w:val="00B836D0"/>
    <w:rsid w:val="00B84262"/>
    <w:rsid w:val="00B87A92"/>
    <w:rsid w:val="00B912B0"/>
    <w:rsid w:val="00B95095"/>
    <w:rsid w:val="00B96ED1"/>
    <w:rsid w:val="00BA104A"/>
    <w:rsid w:val="00BA7EE1"/>
    <w:rsid w:val="00BB02B6"/>
    <w:rsid w:val="00BB25CB"/>
    <w:rsid w:val="00BB44A9"/>
    <w:rsid w:val="00BB5DC9"/>
    <w:rsid w:val="00BB7C39"/>
    <w:rsid w:val="00BC0441"/>
    <w:rsid w:val="00BD22E3"/>
    <w:rsid w:val="00BD30BF"/>
    <w:rsid w:val="00BD4B31"/>
    <w:rsid w:val="00BD670A"/>
    <w:rsid w:val="00BE1A28"/>
    <w:rsid w:val="00BE4774"/>
    <w:rsid w:val="00BE62E4"/>
    <w:rsid w:val="00BF0DF9"/>
    <w:rsid w:val="00BF1BB0"/>
    <w:rsid w:val="00BF5A81"/>
    <w:rsid w:val="00C113E8"/>
    <w:rsid w:val="00C15A96"/>
    <w:rsid w:val="00C33E7F"/>
    <w:rsid w:val="00C34B99"/>
    <w:rsid w:val="00C3691F"/>
    <w:rsid w:val="00C41882"/>
    <w:rsid w:val="00C51B85"/>
    <w:rsid w:val="00C53D0B"/>
    <w:rsid w:val="00C56685"/>
    <w:rsid w:val="00C640E9"/>
    <w:rsid w:val="00C7438A"/>
    <w:rsid w:val="00C81AD6"/>
    <w:rsid w:val="00C82743"/>
    <w:rsid w:val="00C873C3"/>
    <w:rsid w:val="00C975D2"/>
    <w:rsid w:val="00C97DB6"/>
    <w:rsid w:val="00CA5E1C"/>
    <w:rsid w:val="00CB33DD"/>
    <w:rsid w:val="00CB341C"/>
    <w:rsid w:val="00CB5E4A"/>
    <w:rsid w:val="00CB6059"/>
    <w:rsid w:val="00CB72A2"/>
    <w:rsid w:val="00CB7DD7"/>
    <w:rsid w:val="00CC5799"/>
    <w:rsid w:val="00CD023E"/>
    <w:rsid w:val="00CD5CEB"/>
    <w:rsid w:val="00CF4618"/>
    <w:rsid w:val="00D022EB"/>
    <w:rsid w:val="00D03B01"/>
    <w:rsid w:val="00D045C4"/>
    <w:rsid w:val="00D100CA"/>
    <w:rsid w:val="00D12395"/>
    <w:rsid w:val="00D12A6C"/>
    <w:rsid w:val="00D26E31"/>
    <w:rsid w:val="00D327DD"/>
    <w:rsid w:val="00D33E0F"/>
    <w:rsid w:val="00D34862"/>
    <w:rsid w:val="00D461CA"/>
    <w:rsid w:val="00D570CB"/>
    <w:rsid w:val="00D60B29"/>
    <w:rsid w:val="00D61FB6"/>
    <w:rsid w:val="00D701DF"/>
    <w:rsid w:val="00D7090D"/>
    <w:rsid w:val="00D73B0F"/>
    <w:rsid w:val="00D875FF"/>
    <w:rsid w:val="00D87756"/>
    <w:rsid w:val="00DA6330"/>
    <w:rsid w:val="00DB77D8"/>
    <w:rsid w:val="00DC0741"/>
    <w:rsid w:val="00DC2FF8"/>
    <w:rsid w:val="00DC479E"/>
    <w:rsid w:val="00DD5138"/>
    <w:rsid w:val="00DD57FC"/>
    <w:rsid w:val="00DE711F"/>
    <w:rsid w:val="00DE7331"/>
    <w:rsid w:val="00DF6258"/>
    <w:rsid w:val="00DF7DAD"/>
    <w:rsid w:val="00E04D6F"/>
    <w:rsid w:val="00E11BA2"/>
    <w:rsid w:val="00E20DE0"/>
    <w:rsid w:val="00E21101"/>
    <w:rsid w:val="00E22E94"/>
    <w:rsid w:val="00E247B6"/>
    <w:rsid w:val="00E320F2"/>
    <w:rsid w:val="00E35260"/>
    <w:rsid w:val="00E36D4B"/>
    <w:rsid w:val="00E36F00"/>
    <w:rsid w:val="00E4093D"/>
    <w:rsid w:val="00E40B47"/>
    <w:rsid w:val="00E50B05"/>
    <w:rsid w:val="00E53B9B"/>
    <w:rsid w:val="00E64A66"/>
    <w:rsid w:val="00E72606"/>
    <w:rsid w:val="00E72EFD"/>
    <w:rsid w:val="00E84829"/>
    <w:rsid w:val="00E86A70"/>
    <w:rsid w:val="00E90F7D"/>
    <w:rsid w:val="00E9259A"/>
    <w:rsid w:val="00EA0AA4"/>
    <w:rsid w:val="00EA2599"/>
    <w:rsid w:val="00EA51E6"/>
    <w:rsid w:val="00EB1F35"/>
    <w:rsid w:val="00EC5980"/>
    <w:rsid w:val="00ED1D10"/>
    <w:rsid w:val="00ED4414"/>
    <w:rsid w:val="00ED5533"/>
    <w:rsid w:val="00EF328F"/>
    <w:rsid w:val="00EF384B"/>
    <w:rsid w:val="00EF6B8F"/>
    <w:rsid w:val="00EF7FD9"/>
    <w:rsid w:val="00F009DB"/>
    <w:rsid w:val="00F00B3B"/>
    <w:rsid w:val="00F1179F"/>
    <w:rsid w:val="00F11994"/>
    <w:rsid w:val="00F15A5F"/>
    <w:rsid w:val="00F22AFA"/>
    <w:rsid w:val="00F25C75"/>
    <w:rsid w:val="00F301BF"/>
    <w:rsid w:val="00F30A7E"/>
    <w:rsid w:val="00F34DD8"/>
    <w:rsid w:val="00F36A33"/>
    <w:rsid w:val="00F41A13"/>
    <w:rsid w:val="00F428EB"/>
    <w:rsid w:val="00F46EDA"/>
    <w:rsid w:val="00F50850"/>
    <w:rsid w:val="00F51B48"/>
    <w:rsid w:val="00F55E72"/>
    <w:rsid w:val="00F64172"/>
    <w:rsid w:val="00F67B30"/>
    <w:rsid w:val="00F81D4A"/>
    <w:rsid w:val="00F923A3"/>
    <w:rsid w:val="00F9396B"/>
    <w:rsid w:val="00FA14BB"/>
    <w:rsid w:val="00FA683E"/>
    <w:rsid w:val="00FA7DC8"/>
    <w:rsid w:val="00FB1903"/>
    <w:rsid w:val="00FB5570"/>
    <w:rsid w:val="00FB714E"/>
    <w:rsid w:val="00FC033D"/>
    <w:rsid w:val="00FC1A83"/>
    <w:rsid w:val="00FC7A6C"/>
    <w:rsid w:val="00FD0DEF"/>
    <w:rsid w:val="00FD10F9"/>
    <w:rsid w:val="00FE3720"/>
    <w:rsid w:val="00FE37D5"/>
    <w:rsid w:val="00FE5C5F"/>
    <w:rsid w:val="11BC7E70"/>
    <w:rsid w:val="1DEC7597"/>
    <w:rsid w:val="2016732B"/>
    <w:rsid w:val="2091178B"/>
    <w:rsid w:val="32022085"/>
    <w:rsid w:val="36CF75A0"/>
    <w:rsid w:val="394D3732"/>
    <w:rsid w:val="41B5083E"/>
    <w:rsid w:val="4C3C1FF5"/>
    <w:rsid w:val="4C445F3E"/>
    <w:rsid w:val="56BA1134"/>
    <w:rsid w:val="56E00362"/>
    <w:rsid w:val="6DAE1642"/>
    <w:rsid w:val="706257E9"/>
    <w:rsid w:val="74B80DCC"/>
    <w:rsid w:val="751014A8"/>
    <w:rsid w:val="751622C0"/>
    <w:rsid w:val="7BD342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qFormat="1"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1">
    <w:name w:val="Default Paragraph Font"/>
    <w:semiHidden/>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line="560" w:lineRule="exact"/>
      <w:jc w:val="center"/>
    </w:pPr>
  </w:style>
  <w:style w:type="paragraph" w:styleId="3">
    <w:name w:val="Document Map"/>
    <w:basedOn w:val="1"/>
    <w:semiHidden/>
    <w:uiPriority w:val="0"/>
    <w:pPr>
      <w:shd w:val="clear" w:color="auto" w:fill="000080"/>
    </w:pPr>
    <w:rPr>
      <w:rFonts w:ascii="Times New Roman" w:hAnsi="Times New Roman" w:eastAsia="仿宋_GB2312" w:cs="Times New Roman"/>
      <w:sz w:val="32"/>
      <w:szCs w:val="24"/>
    </w:rPr>
  </w:style>
  <w:style w:type="paragraph" w:styleId="4">
    <w:name w:val="Closing"/>
    <w:basedOn w:val="1"/>
    <w:qFormat/>
    <w:uiPriority w:val="0"/>
    <w:pPr>
      <w:ind w:left="100" w:leftChars="2100"/>
    </w:pPr>
    <w:rPr>
      <w:rFonts w:ascii="Times New Roman" w:hAnsi="Times New Roman" w:eastAsia="仿宋_GB2312" w:cs="Times New Roman"/>
      <w:sz w:val="32"/>
      <w:szCs w:val="24"/>
    </w:rPr>
  </w:style>
  <w:style w:type="paragraph" w:styleId="5">
    <w:name w:val="Date"/>
    <w:basedOn w:val="1"/>
    <w:next w:val="1"/>
    <w:qFormat/>
    <w:uiPriority w:val="0"/>
    <w:pPr>
      <w:ind w:left="100" w:leftChars="2500"/>
    </w:pPr>
    <w:rPr>
      <w:rFonts w:ascii="Times New Roman" w:hAnsi="Times New Roman" w:eastAsia="仿宋_GB2312" w:cs="Times New Roman"/>
      <w:sz w:val="32"/>
      <w:szCs w:val="24"/>
    </w:rPr>
  </w:style>
  <w:style w:type="paragraph" w:styleId="6">
    <w:name w:val="Balloon Text"/>
    <w:basedOn w:val="1"/>
    <w:link w:val="13"/>
    <w:semiHidden/>
    <w:uiPriority w:val="0"/>
    <w:rPr>
      <w:sz w:val="18"/>
      <w:szCs w:val="18"/>
    </w:rPr>
  </w:style>
  <w:style w:type="paragraph" w:styleId="7">
    <w:name w:val="footer"/>
    <w:basedOn w:val="1"/>
    <w:link w:val="15"/>
    <w:qFormat/>
    <w:uiPriority w:val="0"/>
    <w:pPr>
      <w:tabs>
        <w:tab w:val="center" w:pos="4153"/>
        <w:tab w:val="right" w:pos="8306"/>
      </w:tabs>
      <w:snapToGrid w:val="0"/>
      <w:jc w:val="left"/>
    </w:pPr>
    <w:rPr>
      <w:sz w:val="18"/>
      <w:szCs w:val="18"/>
    </w:rPr>
  </w:style>
  <w:style w:type="paragraph" w:styleId="8">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table" w:styleId="10">
    <w:name w:val="Table Grid"/>
    <w:basedOn w:val="9"/>
    <w:qFormat/>
    <w:uiPriority w:val="5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page number"/>
    <w:basedOn w:val="11"/>
    <w:uiPriority w:val="0"/>
    <w:rPr>
      <w:rFonts w:ascii="Times New Roman" w:hAnsi="Times New Roman" w:eastAsia="宋体" w:cs="Times New Roman"/>
    </w:rPr>
  </w:style>
  <w:style w:type="character" w:customStyle="1" w:styleId="13">
    <w:name w:val="批注框文本 Char"/>
    <w:basedOn w:val="11"/>
    <w:link w:val="6"/>
    <w:semiHidden/>
    <w:qFormat/>
    <w:uiPriority w:val="99"/>
    <w:rPr>
      <w:sz w:val="18"/>
      <w:szCs w:val="18"/>
    </w:rPr>
  </w:style>
  <w:style w:type="character" w:customStyle="1" w:styleId="14">
    <w:name w:val="页眉 Char"/>
    <w:basedOn w:val="11"/>
    <w:link w:val="8"/>
    <w:qFormat/>
    <w:uiPriority w:val="99"/>
    <w:rPr>
      <w:sz w:val="18"/>
      <w:szCs w:val="18"/>
    </w:rPr>
  </w:style>
  <w:style w:type="character" w:customStyle="1" w:styleId="15">
    <w:name w:val="页脚 Char"/>
    <w:basedOn w:val="11"/>
    <w:link w:val="7"/>
    <w:qFormat/>
    <w:uiPriority w:val="99"/>
    <w:rPr>
      <w:sz w:val="18"/>
      <w:szCs w:val="18"/>
    </w:rPr>
  </w:style>
  <w:style w:type="paragraph" w:customStyle="1" w:styleId="16">
    <w:name w:val="_Style 81"/>
    <w:basedOn w:val="3"/>
    <w:qFormat/>
    <w:uiPriority w:val="0"/>
    <w:rPr>
      <w:rFonts w:ascii="Tahoma" w:hAnsi="Tahoma"/>
      <w:sz w:val="24"/>
    </w:rPr>
  </w:style>
  <w:style w:type="paragraph" w:customStyle="1" w:styleId="17">
    <w:name w:val="reader-word-layer"/>
    <w:basedOn w:val="1"/>
    <w:qFormat/>
    <w:uiPriority w:val="0"/>
    <w:pPr>
      <w:widowControl/>
      <w:spacing w:before="100" w:beforeAutospacing="1" w:after="100" w:afterAutospacing="1"/>
      <w:jc w:val="left"/>
    </w:pPr>
    <w:rPr>
      <w:rFonts w:ascii="宋体" w:hAnsi="宋体" w:eastAsia="仿宋_GB2312" w:cs="宋体"/>
      <w:kern w:val="0"/>
      <w:sz w:val="24"/>
      <w:szCs w:val="24"/>
    </w:rPr>
  </w:style>
  <w:style w:type="paragraph" w:customStyle="1" w:styleId="18">
    <w:name w:val="List Paragraph1"/>
    <w:basedOn w:val="1"/>
    <w:qFormat/>
    <w:uiPriority w:val="0"/>
    <w:pPr>
      <w:ind w:firstLine="420" w:firstLineChars="200"/>
    </w:pPr>
    <w:rPr>
      <w:rFonts w:ascii="Calibri" w:hAnsi="Calibri" w:eastAsia="仿宋_GB2312" w:cs="Calibri"/>
      <w:sz w:val="32"/>
      <w:szCs w:val="21"/>
    </w:rPr>
  </w:style>
  <w:style w:type="paragraph" w:customStyle="1" w:styleId="19">
    <w:name w:val=" Char"/>
    <w:basedOn w:val="3"/>
    <w:uiPriority w:val="0"/>
    <w:rPr>
      <w:rFonts w:ascii="Tahoma" w:hAnsi="Tahoma"/>
      <w:sz w:val="24"/>
    </w:rPr>
  </w:style>
  <w:style w:type="paragraph" w:styleId="20">
    <w:name w:val="List Paragraph"/>
    <w:basedOn w:val="1"/>
    <w:qFormat/>
    <w:uiPriority w:val="34"/>
    <w:pPr>
      <w:ind w:firstLine="420" w:firstLineChars="200"/>
    </w:pPr>
    <w:rPr>
      <w:rFonts w:ascii="Calibri" w:hAnsi="Calibri" w:eastAsia="仿宋_GB2312" w:cs="Times New Roman"/>
      <w:sz w:val="32"/>
      <w:szCs w:val="22"/>
    </w:rPr>
  </w:style>
  <w:style w:type="paragraph" w:customStyle="1" w:styleId="21">
    <w:name w:val="_Style 8"/>
    <w:basedOn w:val="3"/>
    <w:qFormat/>
    <w:uiPriority w:val="0"/>
    <w:rPr>
      <w:rFonts w:ascii="Tahoma" w:hAnsi="Tahoma"/>
      <w:sz w:val="24"/>
    </w:rPr>
  </w:style>
  <w:style w:type="paragraph" w:customStyle="1" w:styleId="22">
    <w:name w:val="List Paragraph2"/>
    <w:basedOn w:val="1"/>
    <w:qFormat/>
    <w:uiPriority w:val="0"/>
    <w:pPr>
      <w:spacing w:line="240" w:lineRule="atLeast"/>
      <w:ind w:left="-50" w:leftChars="-50" w:right="-50" w:rightChars="-50" w:firstLine="420" w:firstLineChars="200"/>
    </w:pPr>
    <w:rPr>
      <w:rFonts w:ascii="Calibri" w:hAnsi="Calibri" w:eastAsia="仿宋_GB2312" w:cs="Calibri"/>
      <w:sz w:val="32"/>
      <w:szCs w:val="21"/>
    </w:rPr>
  </w:style>
  <w:style w:type="paragraph" w:customStyle="1" w:styleId="23">
    <w:name w:val="Char"/>
    <w:basedOn w:val="3"/>
    <w:qFormat/>
    <w:uiPriority w:val="0"/>
    <w:rPr>
      <w:rFonts w:ascii="Tahoma" w:hAnsi="Tahoma"/>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Home</Company>
  <Pages>6</Pages>
  <Words>1953</Words>
  <Characters>2031</Characters>
  <Lines>1</Lines>
  <Paragraphs>1</Paragraphs>
  <TotalTime>1</TotalTime>
  <ScaleCrop>false</ScaleCrop>
  <LinksUpToDate>false</LinksUpToDate>
  <CharactersWithSpaces>2144</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2022-08-11T14:09:00Z</dcterms:created>
  <dc:creator>辛辉</dc:creator>
  <cp:lastModifiedBy>X X T</cp:lastModifiedBy>
  <dcterms:modified xsi:type="dcterms:W3CDTF">2023-12-21T02:09:46Z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D726FCC675264C9AB43A170CA3A66D54_13</vt:lpwstr>
  </property>
</Properties>
</file>