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660AF">
      <w:pPr>
        <w:keepNext w:val="0"/>
        <w:keepLines w:val="0"/>
        <w:pageBreakBefore w:val="0"/>
        <w:widowControl w:val="0"/>
        <w:kinsoku/>
        <w:wordWrap/>
        <w:overflowPunct/>
        <w:topLinePunct w:val="0"/>
        <w:autoSpaceDE/>
        <w:autoSpaceDN/>
        <w:bidi w:val="0"/>
        <w:spacing w:line="580" w:lineRule="exact"/>
        <w:jc w:val="left"/>
        <w:textAlignment w:val="auto"/>
        <w:rPr>
          <w:rFonts w:hint="eastAsia" w:ascii="仿宋" w:hAnsi="仿宋" w:eastAsia="仿宋"/>
          <w:bCs/>
          <w:sz w:val="30"/>
          <w:szCs w:val="30"/>
        </w:rPr>
      </w:pPr>
      <w:r>
        <w:rPr>
          <w:rFonts w:hint="eastAsia" w:ascii="仿宋" w:hAnsi="仿宋" w:eastAsia="仿宋"/>
          <w:color w:val="222222"/>
          <w:sz w:val="30"/>
          <w:szCs w:val="30"/>
        </w:rPr>
        <w:t>附件</w:t>
      </w:r>
      <w:r>
        <w:rPr>
          <w:rFonts w:hint="eastAsia" w:ascii="仿宋" w:hAnsi="仿宋" w:eastAsia="仿宋"/>
          <w:color w:val="222222"/>
          <w:sz w:val="30"/>
          <w:szCs w:val="30"/>
          <w:lang w:val="en-US" w:eastAsia="zh-CN"/>
        </w:rPr>
        <w:t>1</w:t>
      </w:r>
      <w:r>
        <w:rPr>
          <w:rFonts w:hint="eastAsia" w:ascii="仿宋" w:hAnsi="仿宋" w:eastAsia="仿宋"/>
          <w:color w:val="222222"/>
          <w:sz w:val="30"/>
          <w:szCs w:val="30"/>
        </w:rPr>
        <w:t>:</w:t>
      </w:r>
    </w:p>
    <w:p w14:paraId="6BC4A001">
      <w:pPr>
        <w:keepNext w:val="0"/>
        <w:keepLines w:val="0"/>
        <w:pageBreakBefore w:val="0"/>
        <w:widowControl w:val="0"/>
        <w:kinsoku/>
        <w:wordWrap/>
        <w:overflowPunct/>
        <w:topLinePunct w:val="0"/>
        <w:autoSpaceDE/>
        <w:autoSpaceDN/>
        <w:bidi w:val="0"/>
        <w:spacing w:line="580" w:lineRule="exact"/>
        <w:ind w:left="643" w:hanging="881" w:hangingChars="200"/>
        <w:jc w:val="center"/>
        <w:textAlignment w:val="auto"/>
        <w:rPr>
          <w:rFonts w:hint="eastAsia" w:ascii="方正公文小标宋" w:hAnsi="方正公文小标宋" w:eastAsia="方正公文小标宋" w:cs="方正公文小标宋"/>
          <w:b/>
          <w:color w:val="222222"/>
          <w:sz w:val="44"/>
          <w:szCs w:val="44"/>
        </w:rPr>
      </w:pPr>
      <w:r>
        <w:rPr>
          <w:rFonts w:hint="eastAsia" w:ascii="方正公文小标宋" w:hAnsi="方正公文小标宋" w:eastAsia="方正公文小标宋" w:cs="方正公文小标宋"/>
          <w:b/>
          <w:color w:val="222222"/>
          <w:sz w:val="44"/>
          <w:szCs w:val="44"/>
        </w:rPr>
        <w:t>国际文化教育学院推荐免试攻读</w:t>
      </w:r>
    </w:p>
    <w:p w14:paraId="70590B03">
      <w:pPr>
        <w:keepNext w:val="0"/>
        <w:keepLines w:val="0"/>
        <w:pageBreakBefore w:val="0"/>
        <w:widowControl w:val="0"/>
        <w:kinsoku/>
        <w:wordWrap/>
        <w:overflowPunct/>
        <w:topLinePunct w:val="0"/>
        <w:autoSpaceDE/>
        <w:autoSpaceDN/>
        <w:bidi w:val="0"/>
        <w:spacing w:line="580" w:lineRule="exact"/>
        <w:ind w:left="643" w:hanging="881" w:hangingChars="200"/>
        <w:jc w:val="center"/>
        <w:textAlignment w:val="auto"/>
        <w:rPr>
          <w:rFonts w:hint="eastAsia" w:ascii="方正公文小标宋" w:hAnsi="方正公文小标宋" w:eastAsia="方正公文小标宋" w:cs="方正公文小标宋"/>
          <w:b/>
          <w:color w:val="222222"/>
          <w:sz w:val="44"/>
          <w:szCs w:val="44"/>
        </w:rPr>
      </w:pPr>
      <w:r>
        <w:rPr>
          <w:rFonts w:hint="eastAsia" w:ascii="方正公文小标宋" w:hAnsi="方正公文小标宋" w:eastAsia="方正公文小标宋" w:cs="方正公文小标宋"/>
          <w:b/>
          <w:color w:val="222222"/>
          <w:sz w:val="44"/>
          <w:szCs w:val="44"/>
        </w:rPr>
        <w:t>硕士学位研究生排序方法</w:t>
      </w:r>
    </w:p>
    <w:p w14:paraId="1D66DE6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根据《东北农业大学推荐优秀应届本科毕业生免试攻读硕士学位研究生工作管理办法（试行）》（东农校发〔 2016〕48 号）文件规定，对推荐免试攻读硕士学位研究生综合排序方法规定如下：</w:t>
      </w:r>
    </w:p>
    <w:p w14:paraId="168C360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一、 学生排名的综合成绩由学习成绩、素质成绩、考核成绩构成（各部分均折算成百分制计算），即：</w:t>
      </w:r>
    </w:p>
    <w:p w14:paraId="6711DB2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T（推免生成绩）＝X（学习成绩）*80% +S（素质成绩）*10% +K（考核成绩）*10%</w:t>
      </w:r>
    </w:p>
    <w:p w14:paraId="5BB5548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其中：学习成绩为80％，素质成绩和考核成绩各为10%。</w:t>
      </w:r>
    </w:p>
    <w:p w14:paraId="641FA2B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（一）学习成绩（X）指学生所修课程成绩，按教务处下达的成绩</w:t>
      </w:r>
      <w:r>
        <w:rPr>
          <w:rFonts w:hint="eastAsia" w:ascii="方正仿宋_GB2312" w:hAnsi="方正仿宋_GB2312" w:eastAsia="方正仿宋_GB2312" w:cs="方正仿宋_GB2312"/>
          <w:color w:val="222222"/>
          <w:sz w:val="32"/>
          <w:szCs w:val="32"/>
          <w:lang w:eastAsia="zh-CN"/>
        </w:rPr>
        <w:t>（</w:t>
      </w:r>
      <w:r>
        <w:rPr>
          <w:rFonts w:hint="eastAsia" w:ascii="方正仿宋_GB2312" w:hAnsi="方正仿宋_GB2312" w:eastAsia="方正仿宋_GB2312" w:cs="方正仿宋_GB2312"/>
          <w:color w:val="222222"/>
          <w:sz w:val="32"/>
          <w:szCs w:val="32"/>
        </w:rPr>
        <w:t>中外合作办学学生需加国外成绩执行</w:t>
      </w:r>
      <w:r>
        <w:rPr>
          <w:rFonts w:hint="eastAsia" w:ascii="方正仿宋_GB2312" w:hAnsi="方正仿宋_GB2312" w:eastAsia="方正仿宋_GB2312" w:cs="方正仿宋_GB2312"/>
          <w:color w:val="222222"/>
          <w:sz w:val="32"/>
          <w:szCs w:val="32"/>
          <w:lang w:eastAsia="zh-CN"/>
        </w:rPr>
        <w:t>）</w:t>
      </w:r>
      <w:r>
        <w:rPr>
          <w:rFonts w:hint="eastAsia" w:ascii="方正仿宋_GB2312" w:hAnsi="方正仿宋_GB2312" w:eastAsia="方正仿宋_GB2312" w:cs="方正仿宋_GB2312"/>
          <w:color w:val="222222"/>
          <w:sz w:val="32"/>
          <w:szCs w:val="32"/>
        </w:rPr>
        <w:t>。</w:t>
      </w:r>
    </w:p>
    <w:p w14:paraId="2B48EB6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（二）素质成绩（S）包括思想政治素质和科研素质两个方面，各占50%。</w:t>
      </w:r>
    </w:p>
    <w:p w14:paraId="59A033C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思想政治素质得分由第二课堂成绩折算。</w:t>
      </w:r>
    </w:p>
    <w:p w14:paraId="300DC27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科研素质是指学生参加校级及以上的科研项目，在重要学术刊物上发表学术论文（主要作者），在全国、省级科技竞赛和发明创造竞赛等大赛中荣获奖励或取得其他重要突出成果情况。</w:t>
      </w:r>
    </w:p>
    <w:p w14:paraId="23F2D0A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（三）考核成绩（K）主要考核外语水平、团队精神、写作能力、心理状态、兴趣特长等方面情况。</w:t>
      </w:r>
    </w:p>
    <w:p w14:paraId="467F03D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（四）成绩T为免试推荐硕士研究生最后排名依据，如成绩T相同，按照成绩X、成绩Y、第三学年智育成绩、第二学年</w:t>
      </w:r>
      <w:r>
        <w:rPr>
          <w:rFonts w:hint="eastAsia" w:ascii="方正仿宋_GB2312" w:hAnsi="方正仿宋_GB2312" w:eastAsia="方正仿宋_GB2312" w:cs="方正仿宋_GB2312"/>
          <w:color w:val="222222"/>
          <w:sz w:val="32"/>
          <w:szCs w:val="32"/>
          <w:lang w:eastAsia="zh-CN"/>
        </w:rPr>
        <w:t>智育</w:t>
      </w:r>
      <w:r>
        <w:rPr>
          <w:rFonts w:hint="eastAsia" w:ascii="方正仿宋_GB2312" w:hAnsi="方正仿宋_GB2312" w:eastAsia="方正仿宋_GB2312" w:cs="方正仿宋_GB2312"/>
          <w:color w:val="222222"/>
          <w:sz w:val="32"/>
          <w:szCs w:val="32"/>
        </w:rPr>
        <w:t>成绩的顺序依次比较排序。</w:t>
      </w:r>
    </w:p>
    <w:p w14:paraId="3DBE593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lang w:val="en-US" w:eastAsia="zh-CN"/>
        </w:rPr>
      </w:pPr>
      <w:r>
        <w:rPr>
          <w:rFonts w:hint="eastAsia" w:ascii="方正仿宋_GB2312" w:hAnsi="方正仿宋_GB2312" w:eastAsia="方正仿宋_GB2312" w:cs="方正仿宋_GB2312"/>
          <w:color w:val="222222"/>
          <w:sz w:val="32"/>
          <w:szCs w:val="32"/>
        </w:rPr>
        <w:t>（</w:t>
      </w:r>
      <w:r>
        <w:rPr>
          <w:rFonts w:hint="eastAsia" w:ascii="方正仿宋_GB2312" w:hAnsi="方正仿宋_GB2312" w:eastAsia="方正仿宋_GB2312" w:cs="方正仿宋_GB2312"/>
          <w:color w:val="222222"/>
          <w:sz w:val="32"/>
          <w:szCs w:val="32"/>
          <w:lang w:val="en-US" w:eastAsia="zh-CN"/>
        </w:rPr>
        <w:t>五</w:t>
      </w:r>
      <w:r>
        <w:rPr>
          <w:rFonts w:hint="eastAsia" w:ascii="方正仿宋_GB2312" w:hAnsi="方正仿宋_GB2312" w:eastAsia="方正仿宋_GB2312" w:cs="方正仿宋_GB2312"/>
          <w:color w:val="222222"/>
          <w:sz w:val="32"/>
          <w:szCs w:val="32"/>
        </w:rPr>
        <w:t>）</w:t>
      </w:r>
      <w:r>
        <w:rPr>
          <w:rFonts w:hint="eastAsia" w:ascii="方正仿宋_GB2312" w:hAnsi="方正仿宋_GB2312" w:eastAsia="方正仿宋_GB2312" w:cs="方正仿宋_GB2312"/>
          <w:color w:val="222222"/>
          <w:sz w:val="32"/>
          <w:szCs w:val="32"/>
          <w:lang w:val="en-US" w:eastAsia="zh-CN"/>
        </w:rPr>
        <w:t>如在专业排名内出现成绩相同的情况，以智育成绩排名先后顺序为最终顺序。</w:t>
      </w:r>
    </w:p>
    <w:p w14:paraId="03F945D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p>
    <w:p w14:paraId="4D71943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p>
    <w:p w14:paraId="406CF11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 xml:space="preserve">                            国际文化教育学院</w:t>
      </w:r>
    </w:p>
    <w:p w14:paraId="7E73DB0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方正仿宋_GB2312" w:hAnsi="方正仿宋_GB2312" w:eastAsia="方正仿宋_GB2312" w:cs="方正仿宋_GB2312"/>
          <w:color w:val="222222"/>
          <w:sz w:val="32"/>
          <w:szCs w:val="32"/>
        </w:rPr>
      </w:pPr>
      <w:r>
        <w:rPr>
          <w:rFonts w:hint="eastAsia" w:ascii="方正仿宋_GB2312" w:hAnsi="方正仿宋_GB2312" w:eastAsia="方正仿宋_GB2312" w:cs="方正仿宋_GB2312"/>
          <w:color w:val="222222"/>
          <w:sz w:val="32"/>
          <w:szCs w:val="32"/>
        </w:rPr>
        <w:t xml:space="preserve">                             </w:t>
      </w:r>
      <w:r>
        <w:rPr>
          <w:rFonts w:hint="eastAsia" w:ascii="方正仿宋_GB2312" w:hAnsi="方正仿宋_GB2312" w:eastAsia="方正仿宋_GB2312" w:cs="方正仿宋_GB2312"/>
          <w:color w:val="222222"/>
          <w:sz w:val="32"/>
          <w:szCs w:val="32"/>
          <w:lang w:eastAsia="zh-CN"/>
        </w:rPr>
        <w:t>2024</w:t>
      </w:r>
      <w:r>
        <w:rPr>
          <w:rFonts w:hint="eastAsia" w:ascii="方正仿宋_GB2312" w:hAnsi="方正仿宋_GB2312" w:eastAsia="方正仿宋_GB2312" w:cs="方正仿宋_GB2312"/>
          <w:color w:val="222222"/>
          <w:sz w:val="32"/>
          <w:szCs w:val="32"/>
        </w:rPr>
        <w:t>年9月</w:t>
      </w:r>
      <w:r>
        <w:rPr>
          <w:rFonts w:hint="eastAsia" w:ascii="方正仿宋_GB2312" w:hAnsi="方正仿宋_GB2312" w:eastAsia="方正仿宋_GB2312" w:cs="方正仿宋_GB2312"/>
          <w:color w:val="222222"/>
          <w:sz w:val="32"/>
          <w:szCs w:val="32"/>
          <w:lang w:val="en-US" w:eastAsia="zh-CN"/>
        </w:rPr>
        <w:t>14</w:t>
      </w:r>
      <w:r>
        <w:rPr>
          <w:rFonts w:hint="eastAsia" w:ascii="方正仿宋_GB2312" w:hAnsi="方正仿宋_GB2312" w:eastAsia="方正仿宋_GB2312" w:cs="方正仿宋_GB2312"/>
          <w:color w:val="222222"/>
          <w:sz w:val="32"/>
          <w:szCs w:val="32"/>
        </w:rPr>
        <w:t>日</w:t>
      </w:r>
    </w:p>
    <w:p w14:paraId="07854A83">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5A53BCC5">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5264C980">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3708B5D1">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47A9E825">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3846F10B">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01DE57D5">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1DC3929A">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79B39BA2">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187BADE3">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4553120D">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123709A1">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04E4ACC5">
      <w:pPr>
        <w:keepNext w:val="0"/>
        <w:keepLines w:val="0"/>
        <w:pageBreakBefore w:val="0"/>
        <w:widowControl w:val="0"/>
        <w:kinsoku/>
        <w:wordWrap/>
        <w:overflowPunct/>
        <w:topLinePunct w:val="0"/>
        <w:autoSpaceDE/>
        <w:autoSpaceDN/>
        <w:bidi w:val="0"/>
        <w:spacing w:line="580" w:lineRule="exact"/>
        <w:jc w:val="left"/>
        <w:textAlignment w:val="auto"/>
        <w:rPr>
          <w:rFonts w:ascii="仿宋" w:hAnsi="仿宋" w:eastAsia="仿宋"/>
          <w:b/>
          <w:color w:val="222222"/>
          <w:sz w:val="36"/>
          <w:szCs w:val="36"/>
        </w:rPr>
      </w:pPr>
    </w:p>
    <w:p w14:paraId="03EE635F">
      <w:pPr>
        <w:keepNext w:val="0"/>
        <w:keepLines w:val="0"/>
        <w:pageBreakBefore w:val="0"/>
        <w:widowControl w:val="0"/>
        <w:kinsoku/>
        <w:wordWrap/>
        <w:overflowPunct/>
        <w:topLinePunct w:val="0"/>
        <w:autoSpaceDE/>
        <w:autoSpaceDN/>
        <w:bidi w:val="0"/>
        <w:spacing w:line="580" w:lineRule="exact"/>
        <w:jc w:val="left"/>
        <w:textAlignment w:val="auto"/>
        <w:rPr>
          <w:rFonts w:hint="eastAsia" w:ascii="仿宋" w:hAnsi="仿宋" w:eastAsia="仿宋"/>
          <w:color w:val="222222"/>
          <w:sz w:val="30"/>
          <w:szCs w:val="30"/>
        </w:rPr>
      </w:pPr>
    </w:p>
    <w:p w14:paraId="22525AA5">
      <w:pPr>
        <w:keepNext w:val="0"/>
        <w:keepLines w:val="0"/>
        <w:pageBreakBefore w:val="0"/>
        <w:widowControl w:val="0"/>
        <w:kinsoku/>
        <w:wordWrap/>
        <w:overflowPunct/>
        <w:topLinePunct w:val="0"/>
        <w:autoSpaceDE/>
        <w:autoSpaceDN/>
        <w:bidi w:val="0"/>
        <w:spacing w:line="580" w:lineRule="exact"/>
        <w:jc w:val="left"/>
        <w:textAlignment w:val="auto"/>
        <w:rPr>
          <w:rFonts w:hint="eastAsia" w:ascii="仿宋" w:hAnsi="仿宋" w:eastAsia="仿宋"/>
          <w:color w:val="222222"/>
          <w:sz w:val="30"/>
          <w:szCs w:val="30"/>
        </w:rPr>
      </w:pPr>
    </w:p>
    <w:p w14:paraId="2B02081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7E444A2-755A-46EA-9252-A12116653BE0}"/>
  </w:font>
  <w:font w:name="仿宋">
    <w:panose1 w:val="02010609060101010101"/>
    <w:charset w:val="86"/>
    <w:family w:val="modern"/>
    <w:pitch w:val="default"/>
    <w:sig w:usb0="800002BF" w:usb1="38CF7CFA" w:usb2="00000016" w:usb3="00000000" w:csb0="00040001" w:csb1="00000000"/>
    <w:embedRegular r:id="rId2" w:fontKey="{5F4DCD6D-8ED5-41DA-A025-FEFCAB64FD08}"/>
  </w:font>
  <w:font w:name="方正公文小标宋">
    <w:panose1 w:val="02000500000000000000"/>
    <w:charset w:val="86"/>
    <w:family w:val="auto"/>
    <w:pitch w:val="default"/>
    <w:sig w:usb0="A00002BF" w:usb1="38CF7CFA" w:usb2="00000016" w:usb3="00000000" w:csb0="00040001" w:csb1="00000000"/>
    <w:embedRegular r:id="rId3" w:fontKey="{16FA62DF-5113-46A2-AD01-7F7BAC88C9A7}"/>
  </w:font>
  <w:font w:name="方正仿宋_GB2312">
    <w:panose1 w:val="02000000000000000000"/>
    <w:charset w:val="86"/>
    <w:family w:val="auto"/>
    <w:pitch w:val="default"/>
    <w:sig w:usb0="A00002BF" w:usb1="184F6CFA" w:usb2="00000012" w:usb3="00000000" w:csb0="00040001" w:csb1="00000000"/>
    <w:embedRegular r:id="rId4" w:fontKey="{AB8060CC-AEB7-4C70-BCFE-A37258D8E48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kZWYxM2UwYmI1OTI5MTI2MDM1ZmU5ZDdhNWIyY2YifQ=="/>
  </w:docVars>
  <w:rsids>
    <w:rsidRoot w:val="7E842309"/>
    <w:rsid w:val="7E842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2024-09-14T05:18:00Z</dcterms:created>
  <dc:creator>陈致广or小陈老师</dc:creator>
  <cp:lastModifiedBy>陈致广or小陈老师</cp:lastModifiedBy>
  <dcterms:modified xsi:type="dcterms:W3CDTF">2024-09-14T05:19:14Z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72DBFAA26DED47DBBE8715C128227BDD_11</vt:lpwstr>
  </property>
</Properties>
</file>