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20" w:lineRule="exact"/>
        <w:rPr>
          <w:rFonts w:eastAsia="黑体"/>
          <w:color w:val="000000"/>
          <w:kern w:val="0"/>
          <w:highlight w:val="none"/>
        </w:rPr>
      </w:pPr>
      <w:r>
        <w:rPr>
          <w:rFonts w:eastAsia="黑体"/>
          <w:color w:val="000000"/>
          <w:kern w:val="0"/>
          <w:highlight w:val="none"/>
        </w:rPr>
        <w:t>附件1</w:t>
      </w:r>
    </w:p>
    <w:p>
      <w:pPr>
        <w:keepNext w:val="0"/>
        <w:keepLines w:val="0"/>
        <w:widowControl w:val="0"/>
        <w:suppressLineNumbers w:val="0"/>
        <w:spacing w:before="0" w:beforeAutospacing="0" w:after="0" w:afterAutospacing="0"/>
        <w:ind w:left="0" w:right="0"/>
        <w:jc w:val="center"/>
        <w:rPr>
          <w:rFonts w:hint="default" w:ascii="方正小标宋简体" w:hAnsi="方正小标宋简体" w:eastAsia="方正小标宋简体" w:cs="方正小标宋简体"/>
          <w:kern w:val="2"/>
          <w:sz w:val="36"/>
          <w:szCs w:val="36"/>
          <w:lang w:val="en-US" w:eastAsia="zh-CN" w:bidi="ar"/>
        </w:rPr>
      </w:pPr>
      <w:r>
        <w:rPr>
          <w:rFonts w:hint="eastAsia" w:ascii="方正小标宋简体" w:hAnsi="方正小标宋简体" w:eastAsia="方正小标宋简体" w:cs="方正小标宋简体"/>
          <w:kern w:val="2"/>
          <w:sz w:val="36"/>
          <w:szCs w:val="36"/>
          <w:lang w:val="en-US" w:eastAsia="zh-CN" w:bidi="ar"/>
        </w:rPr>
        <w:t>经济管理学院2026年推荐优秀应届本科毕业生免试攻读硕士学位研究生综合评议加分实施细则</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color w:val="000000"/>
          <w:kern w:val="2"/>
          <w:sz w:val="32"/>
          <w:szCs w:val="32"/>
        </w:rPr>
      </w:pPr>
      <w:r>
        <w:rPr>
          <w:rFonts w:hint="default" w:ascii="仿宋_GB2312" w:hAnsi="Times New Roman" w:eastAsia="仿宋_GB2312" w:cs="仿宋_GB2312"/>
          <w:color w:val="000000"/>
          <w:kern w:val="2"/>
          <w:sz w:val="32"/>
          <w:szCs w:val="32"/>
          <w:lang w:val="en-US" w:eastAsia="zh-CN" w:bidi="ar"/>
        </w:rPr>
        <w:t>推免生工作是硕士研究生招生工作的重要组成部分，是激励学生勤奋学习、积极创新、全面发展的有效措施。为了有效开展学院推免生遴选工作，坚持全面考察、综合评价，维护公平、择优推荐的原则，结合学校细则和学院实际情况，制订本细则。</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Times New Roman" w:hAnsi="Times New Roman" w:eastAsia="黑体" w:cs="Times New Roman"/>
          <w:color w:val="000000"/>
          <w:kern w:val="0"/>
          <w:sz w:val="32"/>
          <w:szCs w:val="32"/>
        </w:rPr>
      </w:pPr>
      <w:r>
        <w:rPr>
          <w:rFonts w:hint="eastAsia" w:ascii="黑体" w:hAnsi="宋体" w:eastAsia="黑体" w:cs="黑体"/>
          <w:color w:val="000000"/>
          <w:kern w:val="0"/>
          <w:sz w:val="32"/>
          <w:szCs w:val="32"/>
          <w:lang w:val="en-US" w:eastAsia="zh-CN" w:bidi="ar"/>
        </w:rPr>
        <w:t>一、总体设计</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仿宋_GB2312" w:hAnsi="Times New Roman" w:eastAsia="仿宋_GB2312" w:cs="仿宋_GB2312"/>
          <w:color w:val="000000"/>
          <w:kern w:val="2"/>
          <w:sz w:val="32"/>
          <w:szCs w:val="32"/>
          <w:lang w:val="en-US" w:eastAsia="zh-CN" w:bidi="ar"/>
        </w:rPr>
        <w:t>本细则适用于学院推免工作小组的综合评议工作。综合评议加分项目包括学术论文、专利、学科竞赛、志愿服务、国际组织实习、参军入伍服兵役和学院自定成果等</w:t>
      </w:r>
      <w:r>
        <w:rPr>
          <w:rFonts w:hint="default" w:ascii="Times New Roman" w:hAnsi="Times New Roman" w:eastAsia="仿宋_GB2312" w:cs="Times New Roman"/>
          <w:color w:val="000000"/>
          <w:kern w:val="2"/>
          <w:sz w:val="32"/>
          <w:szCs w:val="32"/>
          <w:lang w:val="en-US" w:eastAsia="zh-CN" w:bidi="ar"/>
        </w:rPr>
        <w:t>7</w:t>
      </w:r>
      <w:r>
        <w:rPr>
          <w:rFonts w:hint="default" w:ascii="仿宋_GB2312" w:hAnsi="Times New Roman" w:eastAsia="仿宋_GB2312" w:cs="仿宋_GB2312"/>
          <w:color w:val="000000"/>
          <w:kern w:val="2"/>
          <w:sz w:val="32"/>
          <w:szCs w:val="32"/>
          <w:lang w:val="en-US" w:eastAsia="zh-CN" w:bidi="ar"/>
        </w:rPr>
        <w:t>类，总分</w:t>
      </w:r>
      <w:r>
        <w:rPr>
          <w:rFonts w:hint="default" w:ascii="Times New Roman" w:hAnsi="Times New Roman" w:eastAsia="仿宋_GB2312" w:cs="Times New Roman"/>
          <w:color w:val="000000"/>
          <w:kern w:val="2"/>
          <w:sz w:val="32"/>
          <w:szCs w:val="32"/>
          <w:lang w:val="en-US" w:eastAsia="zh-CN" w:bidi="ar"/>
        </w:rPr>
        <w:t>10</w:t>
      </w:r>
      <w:r>
        <w:rPr>
          <w:rFonts w:hint="default" w:ascii="仿宋_GB2312" w:hAnsi="Times New Roman" w:eastAsia="仿宋_GB2312" w:cs="仿宋_GB2312"/>
          <w:color w:val="000000"/>
          <w:kern w:val="2"/>
          <w:sz w:val="32"/>
          <w:szCs w:val="32"/>
          <w:lang w:val="en-US" w:eastAsia="zh-CN" w:bidi="ar"/>
        </w:rPr>
        <w:t>分。</w:t>
      </w:r>
    </w:p>
    <w:p>
      <w:pPr>
        <w:keepNext w:val="0"/>
        <w:keepLines w:val="0"/>
        <w:widowControl w:val="0"/>
        <w:suppressLineNumbers w:val="0"/>
        <w:spacing w:before="0" w:beforeAutospacing="0" w:after="0" w:afterAutospacing="0" w:line="520" w:lineRule="exact"/>
        <w:ind w:left="0" w:right="0" w:firstLine="640" w:firstLineChars="200"/>
        <w:jc w:val="both"/>
        <w:rPr>
          <w:rFonts w:hint="eastAsia" w:ascii="黑体" w:hAnsi="宋体" w:eastAsia="黑体" w:cs="黑体"/>
          <w:color w:val="000000"/>
          <w:kern w:val="0"/>
          <w:sz w:val="32"/>
          <w:szCs w:val="32"/>
        </w:rPr>
      </w:pPr>
      <w:r>
        <w:rPr>
          <w:rFonts w:hint="eastAsia" w:ascii="黑体" w:hAnsi="宋体" w:eastAsia="黑体" w:cs="黑体"/>
          <w:color w:val="000000"/>
          <w:kern w:val="0"/>
          <w:sz w:val="32"/>
          <w:szCs w:val="32"/>
          <w:lang w:val="en-US" w:eastAsia="zh-CN" w:bidi="ar"/>
        </w:rPr>
        <w:t>二、计算细则</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学术论文。学生本科阶段以独立作者或第一作者在核心及以上学术期刊上发表学术论文，</w:t>
      </w:r>
      <w:r>
        <w:rPr>
          <w:rFonts w:hint="default" w:ascii="Times New Roman" w:hAnsi="Times New Roman" w:eastAsia="仿宋_GB2312" w:cs="Times New Roman"/>
          <w:color w:val="000000"/>
          <w:kern w:val="2"/>
          <w:sz w:val="32"/>
          <w:szCs w:val="32"/>
          <w:lang w:val="en-US" w:eastAsia="zh-CN" w:bidi="ar"/>
        </w:rPr>
        <w:t>SCI</w:t>
      </w:r>
      <w:r>
        <w:rPr>
          <w:rFonts w:hint="default" w:ascii="仿宋_GB2312" w:hAnsi="Times New Roman" w:eastAsia="仿宋_GB2312" w:cs="仿宋_GB2312"/>
          <w:color w:val="000000"/>
          <w:kern w:val="2"/>
          <w:sz w:val="32"/>
          <w:szCs w:val="32"/>
          <w:lang w:val="en-US" w:eastAsia="zh-CN" w:bidi="ar"/>
        </w:rPr>
        <w:t>和</w:t>
      </w:r>
      <w:r>
        <w:rPr>
          <w:rFonts w:hint="default" w:ascii="Times New Roman" w:hAnsi="Times New Roman" w:eastAsia="仿宋_GB2312" w:cs="Times New Roman"/>
          <w:color w:val="000000"/>
          <w:kern w:val="2"/>
          <w:sz w:val="32"/>
          <w:szCs w:val="32"/>
          <w:lang w:val="en-US" w:eastAsia="zh-CN" w:bidi="ar"/>
        </w:rPr>
        <w:t>CSSCI</w:t>
      </w:r>
      <w:r>
        <w:rPr>
          <w:rFonts w:hint="default" w:ascii="仿宋_GB2312" w:hAnsi="Times New Roman" w:eastAsia="仿宋_GB2312" w:cs="仿宋_GB2312"/>
          <w:color w:val="000000"/>
          <w:kern w:val="2"/>
          <w:sz w:val="32"/>
          <w:szCs w:val="32"/>
          <w:lang w:val="en-US" w:eastAsia="zh-CN" w:bidi="ar"/>
        </w:rPr>
        <w:t>期刊加</w:t>
      </w:r>
      <w:r>
        <w:rPr>
          <w:rFonts w:hint="default" w:ascii="Times New Roman" w:hAnsi="Times New Roman" w:eastAsia="仿宋_GB2312" w:cs="Times New Roman"/>
          <w:color w:val="000000"/>
          <w:kern w:val="2"/>
          <w:sz w:val="32"/>
          <w:szCs w:val="32"/>
          <w:lang w:val="en-US" w:eastAsia="zh-CN" w:bidi="ar"/>
        </w:rPr>
        <w:t>2</w:t>
      </w:r>
      <w:r>
        <w:rPr>
          <w:rFonts w:hint="default" w:ascii="仿宋_GB2312" w:hAnsi="Times New Roman" w:eastAsia="仿宋_GB2312" w:cs="仿宋_GB2312"/>
          <w:color w:val="000000"/>
          <w:kern w:val="2"/>
          <w:sz w:val="32"/>
          <w:szCs w:val="32"/>
          <w:lang w:val="en-US" w:eastAsia="zh-CN" w:bidi="ar"/>
        </w:rPr>
        <w:t>分，核心期刊加</w:t>
      </w: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分，本类加分不得超过</w:t>
      </w:r>
      <w:r>
        <w:rPr>
          <w:rFonts w:hint="default" w:ascii="Times New Roman" w:hAnsi="Times New Roman" w:eastAsia="仿宋_GB2312" w:cs="Times New Roman"/>
          <w:color w:val="000000"/>
          <w:kern w:val="2"/>
          <w:sz w:val="32"/>
          <w:szCs w:val="32"/>
          <w:lang w:val="en-US" w:eastAsia="zh-CN" w:bidi="ar"/>
        </w:rPr>
        <w:t>2</w:t>
      </w:r>
      <w:r>
        <w:rPr>
          <w:rFonts w:hint="default" w:ascii="仿宋_GB2312" w:hAnsi="Times New Roman" w:eastAsia="仿宋_GB2312" w:cs="仿宋_GB2312"/>
          <w:color w:val="000000"/>
          <w:kern w:val="2"/>
          <w:sz w:val="32"/>
          <w:szCs w:val="32"/>
          <w:lang w:val="en-US" w:eastAsia="zh-CN" w:bidi="ar"/>
        </w:rPr>
        <w:t>分。学术论文须与学业相关，西安石油大学为第一署名单位。此类成果有多项加分的，只计一项最高分。学术期刊等级认定按照学校</w:t>
      </w:r>
      <w:r>
        <w:rPr>
          <w:rFonts w:hint="eastAsia" w:ascii="仿宋_GB2312" w:hAnsi="Times New Roman" w:eastAsia="仿宋_GB2312" w:cs="仿宋_GB2312"/>
          <w:color w:val="000000"/>
          <w:kern w:val="2"/>
          <w:sz w:val="32"/>
          <w:szCs w:val="32"/>
          <w:lang w:val="en-US" w:eastAsia="zh-CN" w:bidi="ar"/>
        </w:rPr>
        <w:t>科研处</w:t>
      </w:r>
      <w:r>
        <w:rPr>
          <w:rFonts w:hint="default" w:ascii="仿宋_GB2312" w:hAnsi="Times New Roman" w:eastAsia="仿宋_GB2312" w:cs="仿宋_GB2312"/>
          <w:color w:val="000000"/>
          <w:kern w:val="2"/>
          <w:sz w:val="32"/>
          <w:szCs w:val="32"/>
          <w:lang w:val="en-US" w:eastAsia="zh-CN" w:bidi="ar"/>
        </w:rPr>
        <w:t>相关文件执行。（审核单位：</w:t>
      </w:r>
      <w:r>
        <w:rPr>
          <w:rFonts w:hint="eastAsia" w:ascii="仿宋_GB2312" w:hAnsi="Times New Roman" w:eastAsia="仿宋_GB2312" w:cs="仿宋_GB2312"/>
          <w:color w:val="000000"/>
          <w:kern w:val="2"/>
          <w:sz w:val="32"/>
          <w:szCs w:val="32"/>
          <w:lang w:val="en-US" w:eastAsia="zh-CN" w:bidi="ar"/>
        </w:rPr>
        <w:t>科研处</w:t>
      </w:r>
      <w:r>
        <w:rPr>
          <w:rFonts w:hint="default" w:ascii="仿宋_GB2312" w:hAnsi="Times New Roman" w:eastAsia="仿宋_GB2312" w:cs="仿宋_GB2312"/>
          <w:color w:val="000000"/>
          <w:kern w:val="2"/>
          <w:sz w:val="32"/>
          <w:szCs w:val="32"/>
          <w:lang w:val="en-US" w:eastAsia="zh-CN" w:bidi="ar"/>
        </w:rPr>
        <w:t>）</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2.</w:t>
      </w:r>
      <w:r>
        <w:rPr>
          <w:rFonts w:hint="default" w:ascii="仿宋_GB2312" w:hAnsi="Times New Roman" w:eastAsia="仿宋_GB2312" w:cs="仿宋_GB2312"/>
          <w:color w:val="000000"/>
          <w:kern w:val="2"/>
          <w:sz w:val="32"/>
          <w:szCs w:val="32"/>
          <w:lang w:val="en-US" w:eastAsia="zh-CN" w:bidi="ar"/>
        </w:rPr>
        <w:t>专利。学生本科阶段以第一发明人申请国家发明专利（进入实质审查阶段），或获得实用新型专利授权，可予以加</w:t>
      </w:r>
      <w:r>
        <w:rPr>
          <w:rFonts w:hint="default" w:ascii="Times New Roman" w:hAnsi="Times New Roman" w:eastAsia="仿宋_GB2312" w:cs="Times New Roman"/>
          <w:color w:val="000000"/>
          <w:kern w:val="2"/>
          <w:sz w:val="32"/>
          <w:szCs w:val="32"/>
          <w:lang w:val="en-US" w:eastAsia="zh-CN" w:bidi="ar"/>
        </w:rPr>
        <w:t>1.5</w:t>
      </w:r>
      <w:r>
        <w:rPr>
          <w:rFonts w:hint="default" w:ascii="仿宋_GB2312" w:hAnsi="Times New Roman" w:eastAsia="仿宋_GB2312" w:cs="仿宋_GB2312"/>
          <w:color w:val="000000"/>
          <w:kern w:val="2"/>
          <w:sz w:val="32"/>
          <w:szCs w:val="32"/>
          <w:lang w:val="en-US" w:eastAsia="zh-CN" w:bidi="ar"/>
        </w:rPr>
        <w:t>分。专利须与学业相关，西安石油大学为第一专利权人。（审核单位：</w:t>
      </w:r>
      <w:r>
        <w:rPr>
          <w:rFonts w:hint="eastAsia" w:ascii="仿宋_GB2312" w:hAnsi="Times New Roman" w:eastAsia="仿宋_GB2312" w:cs="仿宋_GB2312"/>
          <w:color w:val="000000"/>
          <w:kern w:val="2"/>
          <w:sz w:val="32"/>
          <w:szCs w:val="32"/>
          <w:lang w:val="en-US" w:eastAsia="zh-CN" w:bidi="ar"/>
        </w:rPr>
        <w:t>科研处</w:t>
      </w:r>
      <w:r>
        <w:rPr>
          <w:rFonts w:hint="default" w:ascii="仿宋_GB2312" w:hAnsi="Times New Roman" w:eastAsia="仿宋_GB2312" w:cs="仿宋_GB2312"/>
          <w:color w:val="000000"/>
          <w:kern w:val="2"/>
          <w:sz w:val="32"/>
          <w:szCs w:val="32"/>
          <w:lang w:val="en-US" w:eastAsia="zh-CN" w:bidi="ar"/>
        </w:rPr>
        <w:t>）</w:t>
      </w:r>
    </w:p>
    <w:p>
      <w:pPr>
        <w:keepNext w:val="0"/>
        <w:keepLines w:val="0"/>
        <w:widowControl w:val="0"/>
        <w:suppressLineNumbers w:val="0"/>
        <w:spacing w:before="0" w:beforeAutospacing="0" w:after="0" w:afterAutospacing="0" w:line="520" w:lineRule="exact"/>
        <w:ind w:left="0" w:right="0" w:firstLine="640" w:firstLineChars="200"/>
        <w:jc w:val="both"/>
        <w:rPr>
          <w:rFonts w:hint="eastAsia" w:ascii="仿宋_GB2312" w:hAnsi="Times New Roman" w:eastAsia="仿宋_GB2312" w:cs="仿宋_GB2312"/>
          <w:color w:val="000000"/>
          <w:kern w:val="2"/>
          <w:sz w:val="32"/>
          <w:szCs w:val="32"/>
          <w:lang w:val="en-US" w:eastAsia="zh-CN" w:bidi="ar"/>
        </w:rPr>
      </w:pPr>
      <w:r>
        <w:rPr>
          <w:rFonts w:hint="default" w:ascii="Times New Roman" w:hAnsi="Times New Roman" w:eastAsia="仿宋_GB2312" w:cs="Times New Roman"/>
          <w:color w:val="000000"/>
          <w:kern w:val="2"/>
          <w:sz w:val="32"/>
          <w:szCs w:val="32"/>
          <w:lang w:val="en-US" w:eastAsia="zh-CN" w:bidi="ar"/>
        </w:rPr>
        <w:t>3.</w:t>
      </w:r>
      <w:r>
        <w:rPr>
          <w:rFonts w:hint="default" w:ascii="仿宋_GB2312" w:hAnsi="Times New Roman" w:eastAsia="仿宋_GB2312" w:cs="仿宋_GB2312"/>
          <w:color w:val="000000"/>
          <w:kern w:val="2"/>
          <w:sz w:val="32"/>
          <w:szCs w:val="32"/>
          <w:lang w:val="en-US" w:eastAsia="zh-CN" w:bidi="ar"/>
        </w:rPr>
        <w:t>学科竞赛。</w:t>
      </w:r>
      <w:r>
        <w:rPr>
          <w:rFonts w:hint="eastAsia" w:ascii="仿宋_GB2312" w:hAnsi="Times New Roman" w:eastAsia="仿宋_GB2312" w:cs="仿宋_GB2312"/>
          <w:color w:val="000000"/>
          <w:kern w:val="2"/>
          <w:sz w:val="32"/>
          <w:szCs w:val="32"/>
          <w:lang w:val="en-US" w:eastAsia="zh-CN" w:bidi="ar"/>
        </w:rPr>
        <w:t>学生参加学科竞赛，在</w:t>
      </w:r>
      <w:r>
        <w:rPr>
          <w:rFonts w:hint="default" w:ascii="仿宋_GB2312" w:hAnsi="Times New Roman" w:eastAsia="仿宋_GB2312" w:cs="仿宋_GB2312"/>
          <w:color w:val="000000"/>
          <w:kern w:val="2"/>
          <w:sz w:val="32"/>
          <w:szCs w:val="32"/>
          <w:lang w:val="en-US" w:eastAsia="zh-CN" w:bidi="ar"/>
        </w:rPr>
        <w:t>2025年2月11日</w:t>
      </w:r>
      <w:r>
        <w:rPr>
          <w:rFonts w:hint="eastAsia" w:ascii="仿宋_GB2312" w:hAnsi="Times New Roman" w:eastAsia="仿宋_GB2312" w:cs="仿宋_GB2312"/>
          <w:color w:val="000000"/>
          <w:kern w:val="2"/>
          <w:sz w:val="32"/>
          <w:szCs w:val="32"/>
          <w:lang w:val="en-US" w:eastAsia="zh-CN" w:bidi="ar"/>
        </w:rPr>
        <w:t>之</w:t>
      </w:r>
      <w:r>
        <w:rPr>
          <w:rFonts w:hint="default" w:ascii="仿宋_GB2312" w:hAnsi="Times New Roman" w:eastAsia="仿宋_GB2312" w:cs="仿宋_GB2312"/>
          <w:color w:val="000000"/>
          <w:kern w:val="2"/>
          <w:sz w:val="32"/>
          <w:szCs w:val="32"/>
          <w:lang w:val="en-US" w:eastAsia="zh-CN" w:bidi="ar"/>
        </w:rPr>
        <w:t>前获奖（以</w:t>
      </w:r>
      <w:r>
        <w:rPr>
          <w:rFonts w:hint="eastAsia" w:ascii="仿宋_GB2312" w:hAnsi="Times New Roman" w:eastAsia="仿宋_GB2312" w:cs="仿宋_GB2312"/>
          <w:color w:val="000000"/>
          <w:kern w:val="2"/>
          <w:sz w:val="32"/>
          <w:szCs w:val="32"/>
          <w:lang w:val="en-US" w:eastAsia="zh-CN" w:bidi="ar"/>
        </w:rPr>
        <w:t>参赛</w:t>
      </w:r>
      <w:r>
        <w:rPr>
          <w:rFonts w:hint="default" w:ascii="仿宋_GB2312" w:hAnsi="Times New Roman" w:eastAsia="仿宋_GB2312" w:cs="仿宋_GB2312"/>
          <w:color w:val="000000"/>
          <w:kern w:val="2"/>
          <w:sz w:val="32"/>
          <w:szCs w:val="32"/>
          <w:lang w:val="en-US" w:eastAsia="zh-CN" w:bidi="ar"/>
        </w:rPr>
        <w:t>时间为准）以《西安石油大学大学生学科竞赛分级分类目录（2023 年更新）》予以认定，获奖等级参考《西安石油大学学生学科竞赛管理办法（2020 版）》认定</w:t>
      </w:r>
      <w:r>
        <w:rPr>
          <w:rFonts w:hint="eastAsia" w:ascii="仿宋_GB2312" w:hAnsi="Times New Roman" w:eastAsia="仿宋_GB2312" w:cs="仿宋_GB2312"/>
          <w:color w:val="000000"/>
          <w:kern w:val="2"/>
          <w:sz w:val="32"/>
          <w:szCs w:val="32"/>
          <w:lang w:val="en-US" w:eastAsia="zh-CN" w:bidi="ar"/>
        </w:rPr>
        <w:t>，其中，</w:t>
      </w:r>
      <w:r>
        <w:rPr>
          <w:rFonts w:hint="default" w:ascii="仿宋_GB2312" w:hAnsi="Times New Roman" w:eastAsia="仿宋_GB2312" w:cs="仿宋_GB2312"/>
          <w:color w:val="000000"/>
          <w:kern w:val="2"/>
          <w:sz w:val="32"/>
          <w:szCs w:val="32"/>
          <w:lang w:val="en-US" w:eastAsia="zh-CN" w:bidi="ar"/>
        </w:rPr>
        <w:t>国家级一等奖加2.5分，国家级二等奖加2分，国家级三等奖加1.5分，省部级一等奖加1分，省部级二等奖加0.5分</w:t>
      </w:r>
      <w:bookmarkStart w:id="0" w:name="OLE_LINK3"/>
      <w:r>
        <w:rPr>
          <w:rFonts w:hint="eastAsia" w:ascii="仿宋_GB2312" w:hAnsi="Times New Roman" w:eastAsia="仿宋_GB2312" w:cs="仿宋_GB2312"/>
          <w:color w:val="000000"/>
          <w:kern w:val="2"/>
          <w:sz w:val="32"/>
          <w:szCs w:val="32"/>
          <w:lang w:val="en-US" w:eastAsia="zh-CN" w:bidi="ar"/>
        </w:rPr>
        <w:t>。</w:t>
      </w:r>
    </w:p>
    <w:bookmarkEnd w:id="0"/>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Times New Roman" w:eastAsia="仿宋_GB2312" w:cs="仿宋_GB2312"/>
          <w:color w:val="000000"/>
          <w:kern w:val="2"/>
          <w:sz w:val="32"/>
          <w:szCs w:val="32"/>
          <w:lang w:val="en-US" w:eastAsia="zh-CN" w:bidi="ar"/>
        </w:rPr>
      </w:pPr>
      <w:r>
        <w:rPr>
          <w:rFonts w:hint="eastAsia" w:ascii="仿宋_GB2312" w:hAnsi="Times New Roman" w:eastAsia="仿宋_GB2312" w:cs="仿宋_GB2312"/>
          <w:color w:val="000000"/>
          <w:kern w:val="2"/>
          <w:sz w:val="32"/>
          <w:szCs w:val="32"/>
          <w:lang w:val="en-US" w:eastAsia="zh-CN" w:bidi="ar"/>
        </w:rPr>
        <w:t>学生参加学科竞赛，在2025年2月11日之后获奖</w:t>
      </w:r>
      <w:r>
        <w:rPr>
          <w:rFonts w:hint="default" w:ascii="仿宋_GB2312" w:hAnsi="Times New Roman" w:eastAsia="仿宋_GB2312" w:cs="仿宋_GB2312"/>
          <w:color w:val="000000"/>
          <w:kern w:val="2"/>
          <w:sz w:val="32"/>
          <w:szCs w:val="32"/>
          <w:lang w:val="en-US" w:eastAsia="zh-CN" w:bidi="ar"/>
        </w:rPr>
        <w:t>（以</w:t>
      </w:r>
      <w:r>
        <w:rPr>
          <w:rFonts w:hint="eastAsia" w:ascii="仿宋_GB2312" w:hAnsi="Times New Roman" w:eastAsia="仿宋_GB2312" w:cs="仿宋_GB2312"/>
          <w:color w:val="000000"/>
          <w:kern w:val="2"/>
          <w:sz w:val="32"/>
          <w:szCs w:val="32"/>
          <w:lang w:val="en-US" w:eastAsia="zh-CN" w:bidi="ar"/>
        </w:rPr>
        <w:t>参赛</w:t>
      </w:r>
      <w:r>
        <w:rPr>
          <w:rFonts w:hint="default" w:ascii="仿宋_GB2312" w:hAnsi="Times New Roman" w:eastAsia="仿宋_GB2312" w:cs="仿宋_GB2312"/>
          <w:color w:val="000000"/>
          <w:kern w:val="2"/>
          <w:sz w:val="32"/>
          <w:szCs w:val="32"/>
          <w:lang w:val="en-US" w:eastAsia="zh-CN" w:bidi="ar"/>
        </w:rPr>
        <w:t>时间为准）</w:t>
      </w:r>
      <w:r>
        <w:rPr>
          <w:rFonts w:hint="eastAsia" w:ascii="仿宋_GB2312" w:hAnsi="Times New Roman" w:eastAsia="仿宋_GB2312" w:cs="仿宋_GB2312"/>
          <w:color w:val="000000"/>
          <w:kern w:val="2"/>
          <w:sz w:val="32"/>
          <w:szCs w:val="32"/>
          <w:lang w:val="en-US" w:eastAsia="zh-CN" w:bidi="ar"/>
        </w:rPr>
        <w:t>以《西安石油大学学科竞赛分级分类目录（2025暂行）》予以认定。本科生获国家级A类赛事第一等次奖励（排名前三）、第二等次奖励（排名前二）、第三等次奖励（排名第一），且满足学校和学院2025年推免基本条件，可获得免试攻读我校硕士研究生资格。本科生获得国家级B类及以上竞赛奖励，给予综合评议加分奖励，其中，A类竞赛获奖加2.5分；B1级竞赛</w:t>
      </w:r>
      <w:bookmarkStart w:id="1" w:name="OLE_LINK2"/>
      <w:r>
        <w:rPr>
          <w:rFonts w:hint="eastAsia" w:ascii="仿宋_GB2312" w:hAnsi="Times New Roman" w:eastAsia="仿宋_GB2312" w:cs="仿宋_GB2312"/>
          <w:color w:val="000000"/>
          <w:kern w:val="2"/>
          <w:sz w:val="32"/>
          <w:szCs w:val="32"/>
          <w:lang w:val="en-US" w:eastAsia="zh-CN" w:bidi="ar"/>
        </w:rPr>
        <w:t>第一等次获奖加2.5分，第二等次获奖加2分，第三等次获奖加1.5分</w:t>
      </w:r>
      <w:bookmarkEnd w:id="1"/>
      <w:r>
        <w:rPr>
          <w:rFonts w:hint="eastAsia" w:ascii="仿宋_GB2312" w:hAnsi="Times New Roman" w:eastAsia="仿宋_GB2312" w:cs="仿宋_GB2312"/>
          <w:color w:val="000000"/>
          <w:kern w:val="2"/>
          <w:sz w:val="32"/>
          <w:szCs w:val="32"/>
          <w:lang w:val="en-US" w:eastAsia="zh-CN" w:bidi="ar"/>
        </w:rPr>
        <w:t>；B2级竞赛第一等次获奖加2分，第二等次获奖加1.5分，第三等次获奖加1分。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default" w:ascii="仿宋_GB2312" w:hAnsi="Times New Roman" w:eastAsia="仿宋_GB2312" w:cs="仿宋_GB2312"/>
          <w:color w:val="000000"/>
          <w:kern w:val="2"/>
          <w:sz w:val="32"/>
          <w:szCs w:val="32"/>
        </w:rPr>
      </w:pPr>
      <w:r>
        <w:rPr>
          <w:rFonts w:hint="eastAsia" w:ascii="仿宋_GB2312" w:hAnsi="Times New Roman" w:eastAsia="仿宋_GB2312" w:cs="仿宋_GB2312"/>
          <w:color w:val="000000"/>
          <w:kern w:val="2"/>
          <w:sz w:val="32"/>
          <w:szCs w:val="32"/>
          <w:lang w:val="en-US" w:eastAsia="zh-CN" w:bidi="ar"/>
        </w:rPr>
        <w:t>参赛排名第一的团队成员（或队长、组长）加获奖奖项的满分，其他团队成员均按照获奖奖项满分的80%予以加分，本类加分不得超过2.5分。此类成果获得多项奖励的，只计一项最高分。</w:t>
      </w:r>
      <w:r>
        <w:rPr>
          <w:rFonts w:hint="default" w:ascii="仿宋_GB2312" w:hAnsi="Times New Roman" w:eastAsia="仿宋_GB2312" w:cs="仿宋_GB2312"/>
          <w:color w:val="000000"/>
          <w:kern w:val="2"/>
          <w:sz w:val="32"/>
          <w:szCs w:val="32"/>
          <w:lang w:val="en-US" w:eastAsia="zh-CN" w:bidi="ar"/>
        </w:rPr>
        <w:t>（审核单位：教务处）</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4.</w:t>
      </w:r>
      <w:r>
        <w:rPr>
          <w:rFonts w:hint="default" w:ascii="仿宋_GB2312" w:hAnsi="Times New Roman" w:eastAsia="仿宋_GB2312" w:cs="仿宋_GB2312"/>
          <w:color w:val="000000"/>
          <w:kern w:val="2"/>
          <w:sz w:val="32"/>
          <w:szCs w:val="32"/>
          <w:lang w:val="en-US" w:eastAsia="zh-CN" w:bidi="ar"/>
        </w:rPr>
        <w:t>志愿服务。学生本科阶段参与志愿服务并获得省部级及以上“先进个人”等荣誉，可予以加</w:t>
      </w: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分。（审核单位：学生工作部、团委）</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5.</w:t>
      </w:r>
      <w:r>
        <w:rPr>
          <w:rFonts w:hint="default" w:ascii="仿宋_GB2312" w:hAnsi="Times New Roman" w:eastAsia="仿宋_GB2312" w:cs="仿宋_GB2312"/>
          <w:color w:val="000000"/>
          <w:kern w:val="2"/>
          <w:sz w:val="32"/>
          <w:szCs w:val="32"/>
          <w:lang w:val="en-US" w:eastAsia="zh-CN" w:bidi="ar"/>
        </w:rPr>
        <w:t>国际组织实习。学生本科阶段参加知名权威国际组织实习，实习原则上应不少于</w:t>
      </w:r>
      <w:r>
        <w:rPr>
          <w:rFonts w:hint="default" w:ascii="Times New Roman" w:hAnsi="Times New Roman" w:eastAsia="仿宋_GB2312" w:cs="Times New Roman"/>
          <w:color w:val="000000"/>
          <w:kern w:val="2"/>
          <w:sz w:val="32"/>
          <w:szCs w:val="32"/>
          <w:lang w:val="en-US" w:eastAsia="zh-CN" w:bidi="ar"/>
        </w:rPr>
        <w:t>30</w:t>
      </w:r>
      <w:r>
        <w:rPr>
          <w:rFonts w:hint="default" w:ascii="仿宋_GB2312" w:hAnsi="Times New Roman" w:eastAsia="仿宋_GB2312" w:cs="仿宋_GB2312"/>
          <w:color w:val="000000"/>
          <w:kern w:val="2"/>
          <w:sz w:val="32"/>
          <w:szCs w:val="32"/>
          <w:lang w:val="en-US" w:eastAsia="zh-CN" w:bidi="ar"/>
        </w:rPr>
        <w:t>天。实习期间有具体的实习岗位和明确的工作职责，并获得国际组织实习证明材料，可予以加</w:t>
      </w: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分。（审核单位：国际合作与交流处）</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6.</w:t>
      </w:r>
      <w:r>
        <w:rPr>
          <w:rFonts w:hint="default" w:ascii="仿宋_GB2312" w:hAnsi="Times New Roman" w:eastAsia="仿宋_GB2312" w:cs="仿宋_GB2312"/>
          <w:color w:val="000000"/>
          <w:kern w:val="2"/>
          <w:sz w:val="32"/>
          <w:szCs w:val="32"/>
          <w:lang w:val="en-US" w:eastAsia="zh-CN" w:bidi="ar"/>
        </w:rPr>
        <w:t>参军入伍服兵役。学生本科阶段应征参军入伍，圆满履行兵役义务，可予以加</w:t>
      </w: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分。（审核单位：武装部）</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仿宋_GB2312" w:hAnsi="Times New Roman"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7.</w:t>
      </w:r>
      <w:r>
        <w:rPr>
          <w:rFonts w:hint="default" w:ascii="仿宋_GB2312" w:hAnsi="Times New Roman" w:eastAsia="仿宋_GB2312" w:cs="仿宋_GB2312"/>
          <w:color w:val="000000"/>
          <w:kern w:val="2"/>
          <w:sz w:val="32"/>
          <w:szCs w:val="32"/>
          <w:lang w:val="en-US" w:eastAsia="zh-CN" w:bidi="ar"/>
        </w:rPr>
        <w:t>学院自定成果。结合学院学科专业特点和人才培养需要，分为</w:t>
      </w:r>
      <w:r>
        <w:rPr>
          <w:rFonts w:hint="default" w:ascii="Times New Roman" w:hAnsi="Times New Roman" w:eastAsia="仿宋_GB2312" w:cs="Times New Roman"/>
          <w:color w:val="000000"/>
          <w:kern w:val="2"/>
          <w:sz w:val="32"/>
          <w:szCs w:val="32"/>
          <w:lang w:val="en-US" w:eastAsia="zh-CN" w:bidi="ar"/>
        </w:rPr>
        <w:t>4</w:t>
      </w:r>
      <w:r>
        <w:rPr>
          <w:rFonts w:hint="default" w:ascii="仿宋_GB2312" w:hAnsi="Times New Roman" w:eastAsia="仿宋_GB2312" w:cs="仿宋_GB2312"/>
          <w:color w:val="000000"/>
          <w:kern w:val="2"/>
          <w:sz w:val="32"/>
          <w:szCs w:val="32"/>
          <w:lang w:val="en-US" w:eastAsia="zh-CN" w:bidi="ar"/>
        </w:rPr>
        <w:t>类成果可予以加分：获国家奖学金，可予以加</w:t>
      </w: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分；获省级以上（含省级）三好学生或优秀学生干部，可予以加</w:t>
      </w:r>
      <w:r>
        <w:rPr>
          <w:rFonts w:hint="default" w:ascii="Times New Roman" w:hAnsi="Times New Roman" w:eastAsia="仿宋_GB2312" w:cs="Times New Roman"/>
          <w:color w:val="000000"/>
          <w:kern w:val="2"/>
          <w:sz w:val="32"/>
          <w:szCs w:val="32"/>
          <w:lang w:val="en-US" w:eastAsia="zh-CN" w:bidi="ar"/>
        </w:rPr>
        <w:t>0.8</w:t>
      </w:r>
      <w:r>
        <w:rPr>
          <w:rFonts w:hint="default" w:ascii="仿宋_GB2312" w:hAnsi="Times New Roman" w:eastAsia="仿宋_GB2312" w:cs="仿宋_GB2312"/>
          <w:color w:val="000000"/>
          <w:kern w:val="2"/>
          <w:sz w:val="32"/>
          <w:szCs w:val="32"/>
          <w:lang w:val="en-US" w:eastAsia="zh-CN" w:bidi="ar"/>
        </w:rPr>
        <w:t>分；</w:t>
      </w:r>
      <w:r>
        <w:rPr>
          <w:rFonts w:hint="default" w:ascii="仿宋_GB2312" w:hAnsi="Times New Roman" w:eastAsia="仿宋_GB2312" w:cs="仿宋_GB2312"/>
          <w:color w:val="000000"/>
          <w:kern w:val="2"/>
          <w:sz w:val="32"/>
          <w:szCs w:val="32"/>
          <w:u w:val="none"/>
          <w:lang w:val="en-US" w:eastAsia="zh-CN" w:bidi="ar"/>
        </w:rPr>
        <w:t>在学生党建和学生活动中表现突出的优秀学生干部（担任学院学生党建工作办公室主任或副主任、党支部书记或副书记、校或院学生会主席或副主席，校或院团委副书记、辅导员助理），可予</w:t>
      </w:r>
      <w:r>
        <w:rPr>
          <w:rFonts w:hint="default" w:ascii="仿宋_GB2312" w:hAnsi="Times New Roman" w:eastAsia="仿宋_GB2312" w:cs="仿宋_GB2312"/>
          <w:color w:val="000000"/>
          <w:kern w:val="2"/>
          <w:sz w:val="32"/>
          <w:szCs w:val="32"/>
          <w:lang w:val="en-US" w:eastAsia="zh-CN" w:bidi="ar"/>
        </w:rPr>
        <w:t>以加</w:t>
      </w:r>
      <w:r>
        <w:rPr>
          <w:rFonts w:hint="default" w:ascii="Times New Roman" w:hAnsi="Times New Roman" w:eastAsia="仿宋_GB2312" w:cs="Times New Roman"/>
          <w:color w:val="000000"/>
          <w:kern w:val="2"/>
          <w:sz w:val="32"/>
          <w:szCs w:val="32"/>
          <w:lang w:val="en-US" w:eastAsia="zh-CN" w:bidi="ar"/>
        </w:rPr>
        <w:t>0.5</w:t>
      </w:r>
      <w:r>
        <w:rPr>
          <w:rFonts w:hint="default" w:ascii="仿宋_GB2312" w:hAnsi="Times New Roman" w:eastAsia="仿宋_GB2312" w:cs="仿宋_GB2312"/>
          <w:color w:val="000000"/>
          <w:kern w:val="2"/>
          <w:sz w:val="32"/>
          <w:szCs w:val="32"/>
          <w:lang w:val="en-US" w:eastAsia="zh-CN" w:bidi="ar"/>
        </w:rPr>
        <w:t>分；通过大学英语六级，可予以加</w:t>
      </w:r>
      <w:r>
        <w:rPr>
          <w:rFonts w:hint="default" w:ascii="Times New Roman" w:hAnsi="Times New Roman" w:eastAsia="仿宋_GB2312" w:cs="Times New Roman"/>
          <w:color w:val="000000"/>
          <w:kern w:val="2"/>
          <w:sz w:val="32"/>
          <w:szCs w:val="32"/>
          <w:lang w:val="en-US" w:eastAsia="zh-CN" w:bidi="ar"/>
        </w:rPr>
        <w:t>0.5</w:t>
      </w:r>
      <w:r>
        <w:rPr>
          <w:rFonts w:hint="default" w:ascii="仿宋_GB2312" w:hAnsi="Times New Roman" w:eastAsia="仿宋_GB2312" w:cs="仿宋_GB2312"/>
          <w:color w:val="000000"/>
          <w:kern w:val="2"/>
          <w:sz w:val="32"/>
          <w:szCs w:val="32"/>
          <w:lang w:val="en-US" w:eastAsia="zh-CN" w:bidi="ar"/>
        </w:rPr>
        <w:t>分。本类加分不得超过</w:t>
      </w: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分。此类成果获得多项奖励的，只计一项最高分。（审核单位：经济管理学院）</w:t>
      </w:r>
    </w:p>
    <w:p>
      <w:pPr>
        <w:keepNext w:val="0"/>
        <w:keepLines w:val="0"/>
        <w:widowControl w:val="0"/>
        <w:suppressLineNumbers w:val="0"/>
        <w:spacing w:before="0" w:beforeAutospacing="0" w:after="0" w:afterAutospacing="0" w:line="520" w:lineRule="exact"/>
        <w:ind w:left="600" w:right="0"/>
        <w:jc w:val="both"/>
        <w:rPr>
          <w:rFonts w:hint="default" w:ascii="Times New Roman" w:hAnsi="Times New Roman" w:eastAsia="黑体" w:cs="Times New Roman"/>
          <w:color w:val="000000"/>
          <w:kern w:val="0"/>
          <w:sz w:val="32"/>
          <w:szCs w:val="32"/>
        </w:rPr>
      </w:pPr>
      <w:r>
        <w:rPr>
          <w:rFonts w:hint="eastAsia" w:ascii="黑体" w:hAnsi="宋体" w:eastAsia="黑体" w:cs="黑体"/>
          <w:color w:val="000000"/>
          <w:kern w:val="0"/>
          <w:sz w:val="32"/>
          <w:szCs w:val="32"/>
          <w:lang w:val="en-US" w:eastAsia="zh-CN" w:bidi="ar"/>
        </w:rPr>
        <w:t>三、其他事项</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学院推免工作小组组织专人对综合测评加分进行核算，结果在评审前公示。</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2.</w:t>
      </w:r>
      <w:r>
        <w:rPr>
          <w:rFonts w:hint="default" w:ascii="仿宋_GB2312" w:hAnsi="Times New Roman" w:eastAsia="仿宋_GB2312" w:cs="仿宋_GB2312"/>
          <w:color w:val="000000"/>
          <w:kern w:val="2"/>
          <w:sz w:val="32"/>
          <w:szCs w:val="32"/>
          <w:lang w:val="en-US" w:eastAsia="zh-CN" w:bidi="ar"/>
        </w:rPr>
        <w:t>学院推免生遴选严格按照综合考核成绩由高到低确定拟推免名单，公示无异议后报送研究生院复核。</w:t>
      </w:r>
    </w:p>
    <w:p>
      <w:r>
        <w:rPr>
          <w:rFonts w:hint="default" w:ascii="Times New Roman" w:hAnsi="Times New Roman" w:eastAsia="仿宋_GB2312" w:cs="Times New Roman"/>
          <w:color w:val="000000"/>
          <w:kern w:val="2"/>
          <w:sz w:val="32"/>
          <w:szCs w:val="32"/>
          <w:lang w:val="en-US" w:eastAsia="zh-CN" w:bidi="ar"/>
        </w:rPr>
        <w:t>3.本</w:t>
      </w:r>
      <w:r>
        <w:rPr>
          <w:rFonts w:hint="eastAsia" w:ascii="Times New Roman" w:hAnsi="Times New Roman" w:eastAsia="仿宋_GB2312" w:cs="Times New Roman"/>
          <w:color w:val="000000"/>
          <w:kern w:val="2"/>
          <w:sz w:val="32"/>
          <w:szCs w:val="32"/>
          <w:lang w:val="en-US" w:eastAsia="zh-CN" w:bidi="ar"/>
        </w:rPr>
        <w:t>细则</w:t>
      </w:r>
      <w:r>
        <w:rPr>
          <w:rFonts w:hint="default" w:ascii="Times New Roman" w:hAnsi="Times New Roman" w:eastAsia="仿宋_GB2312" w:cs="Times New Roman"/>
          <w:color w:val="000000"/>
          <w:kern w:val="2"/>
          <w:sz w:val="32"/>
          <w:szCs w:val="32"/>
          <w:lang w:val="en-US" w:eastAsia="zh-CN" w:bidi="ar"/>
        </w:rPr>
        <w:t>由学院推免工作小组负责解释。</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A76165"/>
    <w:rsid w:val="5BA76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2025-09-12T14:10:00Z</dcterms:created>
  <dc:creator>LENOVO</dc:creator>
  <cp:lastModifiedBy>LENOVO</cp:lastModifiedBy>
  <dcterms:modified xsi:type="dcterms:W3CDTF">2025-09-12T14:11:02Z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A7BC4646C0104796A6C28E5A5C42E137</vt:lpwstr>
  </property>
</Properties>
</file>