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5D4A3C">
      <w:pPr>
        <w:spacing w:before="156" w:beforeLines="50" w:after="156" w:afterLines="50"/>
        <w:jc w:val="center"/>
        <w:rPr>
          <w:rFonts w:ascii="Times New Roman" w:hAnsi="Times New Roman" w:cs="Times New Roman" w:eastAsiaTheme="majorEastAsia"/>
          <w:b/>
          <w:bCs/>
          <w:sz w:val="32"/>
          <w:szCs w:val="32"/>
        </w:rPr>
      </w:pPr>
      <w:r>
        <w:rPr>
          <w:rFonts w:ascii="Times New Roman" w:hAnsi="Times New Roman" w:cs="Times New Roman" w:eastAsiaTheme="majorEastAsia"/>
          <w:b/>
          <w:bCs/>
          <w:sz w:val="32"/>
          <w:szCs w:val="32"/>
        </w:rPr>
        <w:t>地球科学与工程学院推免生综合评议加分细则</w:t>
      </w:r>
    </w:p>
    <w:p w14:paraId="06C0237B">
      <w:pPr>
        <w:adjustRightInd w:val="0"/>
        <w:snapToGrid w:val="0"/>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为了进一步规范推免生综合评议加分工作，提升推免生生源质量，按照国家相关文件和《西安石油大学推荐、接收优秀应届本科毕业生免试攻读硕士学位研究生管理办法》、《西安石油大学推免生综合评议加分实施细则》，结合我院实际，特制定本加分细则。</w:t>
      </w:r>
    </w:p>
    <w:p w14:paraId="07B06C85">
      <w:pPr>
        <w:adjustRightInd w:val="0"/>
        <w:snapToGrid w:val="0"/>
        <w:spacing w:line="360" w:lineRule="auto"/>
        <w:ind w:firstLine="562" w:firstLineChars="200"/>
        <w:jc w:val="left"/>
        <w:rPr>
          <w:rFonts w:ascii="Times New Roman" w:hAnsi="Times New Roman" w:eastAsia="宋体" w:cs="Times New Roman"/>
          <w:b/>
          <w:bCs/>
          <w:sz w:val="28"/>
          <w:szCs w:val="28"/>
        </w:rPr>
      </w:pPr>
      <w:r>
        <w:rPr>
          <w:rFonts w:ascii="Times New Roman" w:hAnsi="Times New Roman" w:eastAsia="宋体" w:cs="Times New Roman"/>
          <w:b/>
          <w:bCs/>
          <w:sz w:val="28"/>
          <w:szCs w:val="28"/>
        </w:rPr>
        <w:t>一、综合评价加分项目</w:t>
      </w:r>
    </w:p>
    <w:p w14:paraId="08FFBDDB">
      <w:pPr>
        <w:adjustRightInd w:val="0"/>
        <w:snapToGrid w:val="0"/>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综合评议加分满分为100分。综合评议加分项目包括学术论文、专利、学科竞赛、志愿服务、国际组织实习、参军入伍服兵役和全国大学英语六级（以下简称“各项成果”）等7类。</w:t>
      </w:r>
    </w:p>
    <w:p w14:paraId="7A8B0EFA">
      <w:pPr>
        <w:adjustRightInd w:val="0"/>
        <w:snapToGrid w:val="0"/>
        <w:spacing w:line="360" w:lineRule="auto"/>
        <w:ind w:firstLine="562" w:firstLineChars="200"/>
        <w:jc w:val="left"/>
        <w:rPr>
          <w:rFonts w:ascii="Times New Roman" w:hAnsi="Times New Roman" w:eastAsia="宋体" w:cs="Times New Roman"/>
          <w:b/>
          <w:bCs/>
          <w:sz w:val="28"/>
          <w:szCs w:val="28"/>
        </w:rPr>
      </w:pPr>
      <w:r>
        <w:rPr>
          <w:rFonts w:ascii="Times New Roman" w:hAnsi="Times New Roman" w:eastAsia="宋体" w:cs="Times New Roman"/>
          <w:b/>
          <w:bCs/>
          <w:sz w:val="28"/>
          <w:szCs w:val="28"/>
        </w:rPr>
        <w:t>二、各项成果加分细化</w:t>
      </w:r>
    </w:p>
    <w:p w14:paraId="4A179E2A">
      <w:pPr>
        <w:adjustRightInd w:val="0"/>
        <w:snapToGrid w:val="0"/>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1、学术论文</w:t>
      </w:r>
    </w:p>
    <w:p w14:paraId="1336C9C0">
      <w:pPr>
        <w:adjustRightInd w:val="0"/>
        <w:snapToGrid w:val="0"/>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学生本科阶段以独立作者或第一作者在核心及以上学术期刊上发表学术论文，可予以加分，本类加分不得超过20分。学术论文须与学业相关，西安石油大学为第一署名单位。学术期刊等级认定按照学校科技处相关文件执行。（审核单位：</w:t>
      </w:r>
      <w:r>
        <w:rPr>
          <w:rFonts w:hint="eastAsia" w:ascii="Times New Roman" w:hAnsi="Times New Roman" w:eastAsia="宋体" w:cs="Times New Roman"/>
          <w:sz w:val="28"/>
          <w:szCs w:val="28"/>
          <w:lang w:eastAsia="zh-CN"/>
        </w:rPr>
        <w:t>科研处</w:t>
      </w:r>
      <w:r>
        <w:rPr>
          <w:rFonts w:ascii="Times New Roman" w:hAnsi="Times New Roman" w:eastAsia="宋体" w:cs="Times New Roman"/>
          <w:sz w:val="28"/>
          <w:szCs w:val="28"/>
        </w:rPr>
        <w:t>）</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13CED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2500" w:type="pct"/>
            <w:vAlign w:val="center"/>
          </w:tcPr>
          <w:p w14:paraId="16506454">
            <w:pPr>
              <w:adjustRightInd w:val="0"/>
              <w:snapToGrid w:val="0"/>
              <w:jc w:val="center"/>
              <w:textAlignment w:val="center"/>
              <w:rPr>
                <w:rFonts w:hint="eastAsia" w:ascii="Times New Roman" w:hAnsi="Times New Roman" w:eastAsia="宋体" w:cs="Times New Roman"/>
                <w:sz w:val="28"/>
                <w:szCs w:val="28"/>
                <w:lang w:eastAsia="zh-CN"/>
              </w:rPr>
            </w:pPr>
            <w:r>
              <w:rPr>
                <w:rFonts w:ascii="Times New Roman" w:hAnsi="Times New Roman" w:eastAsia="宋体" w:cs="Times New Roman"/>
                <w:sz w:val="28"/>
                <w:szCs w:val="28"/>
              </w:rPr>
              <w:t xml:space="preserve"> </w:t>
            </w:r>
            <w:r>
              <w:rPr>
                <w:rFonts w:hint="eastAsia" w:ascii="Times New Roman" w:hAnsi="Times New Roman" w:eastAsia="宋体" w:cs="Times New Roman"/>
                <w:sz w:val="28"/>
                <w:szCs w:val="28"/>
                <w:lang w:val="en-US" w:eastAsia="zh-CN"/>
              </w:rPr>
              <w:t>级别</w:t>
            </w:r>
          </w:p>
        </w:tc>
        <w:tc>
          <w:tcPr>
            <w:tcW w:w="2500" w:type="pct"/>
            <w:vAlign w:val="center"/>
          </w:tcPr>
          <w:p w14:paraId="03F735A8">
            <w:pPr>
              <w:adjustRightInd w:val="0"/>
              <w:snapToGrid w:val="0"/>
              <w:spacing w:line="240" w:lineRule="auto"/>
              <w:jc w:val="center"/>
              <w:textAlignment w:val="center"/>
              <w:rPr>
                <w:rFonts w:hint="default"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分值</w:t>
            </w:r>
          </w:p>
        </w:tc>
      </w:tr>
      <w:tr w14:paraId="7E047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vAlign w:val="center"/>
          </w:tcPr>
          <w:p w14:paraId="29CCE2FA">
            <w:pPr>
              <w:adjustRightInd w:val="0"/>
              <w:snapToGrid w:val="0"/>
              <w:spacing w:line="440" w:lineRule="exact"/>
              <w:jc w:val="center"/>
              <w:textAlignment w:val="center"/>
              <w:rPr>
                <w:rFonts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特种期刊一类</w:t>
            </w:r>
          </w:p>
        </w:tc>
        <w:tc>
          <w:tcPr>
            <w:tcW w:w="2500" w:type="pct"/>
            <w:vAlign w:val="center"/>
          </w:tcPr>
          <w:p w14:paraId="69F5E05F">
            <w:pPr>
              <w:adjustRightInd w:val="0"/>
              <w:snapToGrid w:val="0"/>
              <w:spacing w:line="440" w:lineRule="exact"/>
              <w:jc w:val="center"/>
              <w:textAlignment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20分/篇</w:t>
            </w:r>
          </w:p>
        </w:tc>
      </w:tr>
      <w:tr w14:paraId="37C47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vAlign w:val="center"/>
          </w:tcPr>
          <w:p w14:paraId="07815E1A">
            <w:pPr>
              <w:adjustRightInd w:val="0"/>
              <w:snapToGrid w:val="0"/>
              <w:spacing w:line="440" w:lineRule="exact"/>
              <w:jc w:val="center"/>
              <w:textAlignment w:val="center"/>
              <w:rPr>
                <w:rFonts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特种期刊二类</w:t>
            </w:r>
          </w:p>
        </w:tc>
        <w:tc>
          <w:tcPr>
            <w:tcW w:w="2500" w:type="pct"/>
            <w:vAlign w:val="center"/>
          </w:tcPr>
          <w:p w14:paraId="5943EE48">
            <w:pPr>
              <w:adjustRightInd w:val="0"/>
              <w:snapToGrid w:val="0"/>
              <w:spacing w:line="440" w:lineRule="exact"/>
              <w:jc w:val="center"/>
              <w:textAlignment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1</w:t>
            </w:r>
            <w:r>
              <w:rPr>
                <w:rFonts w:hint="eastAsia" w:ascii="Times New Roman" w:hAnsi="Times New Roman" w:eastAsia="宋体" w:cs="Times New Roman"/>
                <w:sz w:val="28"/>
                <w:szCs w:val="28"/>
                <w:highlight w:val="none"/>
                <w:lang w:val="en-US" w:eastAsia="zh-CN"/>
              </w:rPr>
              <w:t>9</w:t>
            </w:r>
            <w:r>
              <w:rPr>
                <w:rFonts w:ascii="Times New Roman" w:hAnsi="Times New Roman" w:eastAsia="宋体" w:cs="Times New Roman"/>
                <w:sz w:val="28"/>
                <w:szCs w:val="28"/>
                <w:highlight w:val="none"/>
              </w:rPr>
              <w:t>分/篇</w:t>
            </w:r>
          </w:p>
        </w:tc>
      </w:tr>
      <w:tr w14:paraId="26711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vAlign w:val="center"/>
          </w:tcPr>
          <w:p w14:paraId="30CA70CE">
            <w:pPr>
              <w:adjustRightInd w:val="0"/>
              <w:snapToGrid w:val="0"/>
              <w:spacing w:line="440" w:lineRule="exact"/>
              <w:jc w:val="center"/>
              <w:textAlignment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权威</w:t>
            </w:r>
            <w:r>
              <w:rPr>
                <w:rFonts w:hint="eastAsia" w:ascii="Times New Roman" w:hAnsi="Times New Roman" w:eastAsia="宋体" w:cs="Times New Roman"/>
                <w:sz w:val="28"/>
                <w:szCs w:val="28"/>
                <w:highlight w:val="none"/>
              </w:rPr>
              <w:t>一类</w:t>
            </w:r>
          </w:p>
        </w:tc>
        <w:tc>
          <w:tcPr>
            <w:tcW w:w="2500" w:type="pct"/>
            <w:vAlign w:val="center"/>
          </w:tcPr>
          <w:p w14:paraId="3F2F8480">
            <w:pPr>
              <w:adjustRightInd w:val="0"/>
              <w:snapToGrid w:val="0"/>
              <w:spacing w:line="440" w:lineRule="exact"/>
              <w:jc w:val="center"/>
              <w:textAlignment w:val="center"/>
              <w:rPr>
                <w:rFonts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1</w:t>
            </w:r>
            <w:r>
              <w:rPr>
                <w:rFonts w:hint="eastAsia" w:ascii="Times New Roman" w:hAnsi="Times New Roman" w:eastAsia="宋体" w:cs="Times New Roman"/>
                <w:sz w:val="28"/>
                <w:szCs w:val="28"/>
                <w:highlight w:val="none"/>
                <w:lang w:val="en-US" w:eastAsia="zh-CN"/>
              </w:rPr>
              <w:t>8</w:t>
            </w:r>
            <w:r>
              <w:rPr>
                <w:rFonts w:ascii="Times New Roman" w:hAnsi="Times New Roman" w:eastAsia="宋体" w:cs="Times New Roman"/>
                <w:sz w:val="28"/>
                <w:szCs w:val="28"/>
                <w:highlight w:val="none"/>
              </w:rPr>
              <w:t>分/篇</w:t>
            </w:r>
          </w:p>
        </w:tc>
      </w:tr>
      <w:tr w14:paraId="7FDF5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vAlign w:val="center"/>
          </w:tcPr>
          <w:p w14:paraId="6C40DEB1">
            <w:pPr>
              <w:adjustRightInd w:val="0"/>
              <w:snapToGrid w:val="0"/>
              <w:spacing w:line="440" w:lineRule="exact"/>
              <w:jc w:val="center"/>
              <w:textAlignment w:val="center"/>
              <w:rPr>
                <w:rFonts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权威二类</w:t>
            </w:r>
          </w:p>
        </w:tc>
        <w:tc>
          <w:tcPr>
            <w:tcW w:w="2500" w:type="pct"/>
            <w:vAlign w:val="center"/>
          </w:tcPr>
          <w:p w14:paraId="4805EBB4">
            <w:pPr>
              <w:adjustRightInd w:val="0"/>
              <w:snapToGrid w:val="0"/>
              <w:spacing w:line="440" w:lineRule="exact"/>
              <w:jc w:val="center"/>
              <w:textAlignment w:val="center"/>
              <w:rPr>
                <w:rFonts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1</w:t>
            </w:r>
            <w:r>
              <w:rPr>
                <w:rFonts w:hint="eastAsia" w:ascii="Times New Roman" w:hAnsi="Times New Roman" w:eastAsia="宋体" w:cs="Times New Roman"/>
                <w:sz w:val="28"/>
                <w:szCs w:val="28"/>
                <w:highlight w:val="none"/>
                <w:lang w:val="en-US" w:eastAsia="zh-CN"/>
              </w:rPr>
              <w:t>6</w:t>
            </w:r>
            <w:r>
              <w:rPr>
                <w:rFonts w:ascii="Times New Roman" w:hAnsi="Times New Roman" w:eastAsia="宋体" w:cs="Times New Roman"/>
                <w:sz w:val="28"/>
                <w:szCs w:val="28"/>
                <w:highlight w:val="none"/>
              </w:rPr>
              <w:t>分/篇</w:t>
            </w:r>
          </w:p>
        </w:tc>
      </w:tr>
      <w:tr w14:paraId="3817D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vAlign w:val="center"/>
          </w:tcPr>
          <w:p w14:paraId="2ADCF442">
            <w:pPr>
              <w:adjustRightInd w:val="0"/>
              <w:snapToGrid w:val="0"/>
              <w:spacing w:line="440" w:lineRule="exact"/>
              <w:jc w:val="center"/>
              <w:textAlignment w:val="center"/>
              <w:rPr>
                <w:rFonts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权威三类</w:t>
            </w:r>
          </w:p>
        </w:tc>
        <w:tc>
          <w:tcPr>
            <w:tcW w:w="2500" w:type="pct"/>
            <w:vAlign w:val="center"/>
          </w:tcPr>
          <w:p w14:paraId="46899D6B">
            <w:pPr>
              <w:adjustRightInd w:val="0"/>
              <w:snapToGrid w:val="0"/>
              <w:spacing w:line="440" w:lineRule="exact"/>
              <w:jc w:val="center"/>
              <w:textAlignment w:val="center"/>
              <w:rPr>
                <w:rFonts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1</w:t>
            </w:r>
            <w:r>
              <w:rPr>
                <w:rFonts w:hint="eastAsia" w:ascii="Times New Roman" w:hAnsi="Times New Roman" w:eastAsia="宋体" w:cs="Times New Roman"/>
                <w:sz w:val="28"/>
                <w:szCs w:val="28"/>
                <w:highlight w:val="none"/>
                <w:lang w:val="en-US" w:eastAsia="zh-CN"/>
              </w:rPr>
              <w:t>4</w:t>
            </w:r>
            <w:r>
              <w:rPr>
                <w:rFonts w:ascii="Times New Roman" w:hAnsi="Times New Roman" w:eastAsia="宋体" w:cs="Times New Roman"/>
                <w:sz w:val="28"/>
                <w:szCs w:val="28"/>
                <w:highlight w:val="none"/>
              </w:rPr>
              <w:t>分/篇</w:t>
            </w:r>
          </w:p>
        </w:tc>
      </w:tr>
      <w:tr w14:paraId="6E39C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vAlign w:val="center"/>
          </w:tcPr>
          <w:p w14:paraId="4472141F">
            <w:pPr>
              <w:adjustRightInd w:val="0"/>
              <w:snapToGrid w:val="0"/>
              <w:spacing w:line="440" w:lineRule="exact"/>
              <w:jc w:val="center"/>
              <w:textAlignment w:val="center"/>
              <w:rPr>
                <w:rFonts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权威四类</w:t>
            </w:r>
          </w:p>
        </w:tc>
        <w:tc>
          <w:tcPr>
            <w:tcW w:w="2500" w:type="pct"/>
            <w:vAlign w:val="center"/>
          </w:tcPr>
          <w:p w14:paraId="60059C50">
            <w:pPr>
              <w:adjustRightInd w:val="0"/>
              <w:snapToGrid w:val="0"/>
              <w:spacing w:line="440" w:lineRule="exact"/>
              <w:jc w:val="center"/>
              <w:textAlignment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1</w:t>
            </w:r>
            <w:r>
              <w:rPr>
                <w:rFonts w:hint="eastAsia" w:ascii="Times New Roman" w:hAnsi="Times New Roman" w:eastAsia="宋体" w:cs="Times New Roman"/>
                <w:sz w:val="28"/>
                <w:szCs w:val="28"/>
                <w:highlight w:val="none"/>
                <w:lang w:val="en-US" w:eastAsia="zh-CN"/>
              </w:rPr>
              <w:t>3</w:t>
            </w:r>
            <w:r>
              <w:rPr>
                <w:rFonts w:ascii="Times New Roman" w:hAnsi="Times New Roman" w:eastAsia="宋体" w:cs="Times New Roman"/>
                <w:sz w:val="28"/>
                <w:szCs w:val="28"/>
                <w:highlight w:val="none"/>
              </w:rPr>
              <w:t>分/篇</w:t>
            </w:r>
          </w:p>
        </w:tc>
      </w:tr>
      <w:tr w14:paraId="0C4D2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vAlign w:val="center"/>
          </w:tcPr>
          <w:p w14:paraId="366C4DDE">
            <w:pPr>
              <w:adjustRightInd w:val="0"/>
              <w:snapToGrid w:val="0"/>
              <w:spacing w:line="440" w:lineRule="exact"/>
              <w:jc w:val="center"/>
              <w:textAlignment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核心一类期刊</w:t>
            </w:r>
          </w:p>
        </w:tc>
        <w:tc>
          <w:tcPr>
            <w:tcW w:w="2500" w:type="pct"/>
            <w:vAlign w:val="center"/>
          </w:tcPr>
          <w:p w14:paraId="0FCABBFF">
            <w:pPr>
              <w:adjustRightInd w:val="0"/>
              <w:snapToGrid w:val="0"/>
              <w:spacing w:line="440" w:lineRule="exact"/>
              <w:jc w:val="center"/>
              <w:textAlignment w:val="center"/>
              <w:rPr>
                <w:rFonts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lang w:val="en-US" w:eastAsia="zh-CN"/>
              </w:rPr>
              <w:t>12</w:t>
            </w:r>
            <w:r>
              <w:rPr>
                <w:rFonts w:ascii="Times New Roman" w:hAnsi="Times New Roman" w:eastAsia="宋体" w:cs="Times New Roman"/>
                <w:sz w:val="28"/>
                <w:szCs w:val="28"/>
                <w:highlight w:val="none"/>
              </w:rPr>
              <w:t>分/篇</w:t>
            </w:r>
          </w:p>
        </w:tc>
      </w:tr>
      <w:tr w14:paraId="4B732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vAlign w:val="center"/>
          </w:tcPr>
          <w:p w14:paraId="04F315C4">
            <w:pPr>
              <w:adjustRightInd w:val="0"/>
              <w:snapToGrid w:val="0"/>
              <w:spacing w:line="440" w:lineRule="exact"/>
              <w:jc w:val="center"/>
              <w:textAlignment w:val="center"/>
              <w:rPr>
                <w:rFonts w:ascii="Times New Roman" w:hAnsi="Times New Roman" w:eastAsia="宋体" w:cs="Times New Roman"/>
                <w:sz w:val="28"/>
                <w:szCs w:val="28"/>
              </w:rPr>
            </w:pPr>
            <w:r>
              <w:rPr>
                <w:rFonts w:ascii="Times New Roman" w:hAnsi="Times New Roman" w:eastAsia="宋体" w:cs="Times New Roman"/>
                <w:sz w:val="28"/>
                <w:szCs w:val="28"/>
              </w:rPr>
              <w:t>核心二类期刊</w:t>
            </w:r>
          </w:p>
        </w:tc>
        <w:tc>
          <w:tcPr>
            <w:tcW w:w="2500" w:type="pct"/>
            <w:vAlign w:val="center"/>
          </w:tcPr>
          <w:p w14:paraId="47FC9A23">
            <w:pPr>
              <w:adjustRightInd w:val="0"/>
              <w:snapToGrid w:val="0"/>
              <w:spacing w:line="440" w:lineRule="exact"/>
              <w:jc w:val="center"/>
              <w:textAlignment w:val="center"/>
              <w:rPr>
                <w:rFonts w:ascii="Times New Roman" w:hAnsi="Times New Roman" w:eastAsia="宋体" w:cs="Times New Roman"/>
                <w:sz w:val="28"/>
                <w:szCs w:val="28"/>
              </w:rPr>
            </w:pPr>
            <w:r>
              <w:rPr>
                <w:rFonts w:hint="eastAsia" w:ascii="Times New Roman" w:hAnsi="Times New Roman" w:eastAsia="宋体" w:cs="Times New Roman"/>
                <w:sz w:val="28"/>
                <w:szCs w:val="28"/>
                <w:lang w:val="en-US" w:eastAsia="zh-CN"/>
              </w:rPr>
              <w:t>10</w:t>
            </w:r>
            <w:r>
              <w:rPr>
                <w:rFonts w:ascii="Times New Roman" w:hAnsi="Times New Roman" w:eastAsia="宋体" w:cs="Times New Roman"/>
                <w:sz w:val="28"/>
                <w:szCs w:val="28"/>
              </w:rPr>
              <w:t>分/篇</w:t>
            </w:r>
          </w:p>
        </w:tc>
      </w:tr>
    </w:tbl>
    <w:p w14:paraId="52C21939">
      <w:pPr>
        <w:adjustRightInd w:val="0"/>
        <w:snapToGrid w:val="0"/>
        <w:spacing w:before="156" w:beforeLines="50" w:line="360" w:lineRule="auto"/>
        <w:jc w:val="left"/>
        <w:rPr>
          <w:rFonts w:ascii="Times New Roman" w:hAnsi="Times New Roman" w:eastAsia="宋体" w:cs="Times New Roman"/>
          <w:sz w:val="28"/>
          <w:szCs w:val="28"/>
        </w:rPr>
      </w:pPr>
    </w:p>
    <w:p w14:paraId="67A3935B">
      <w:pPr>
        <w:adjustRightInd w:val="0"/>
        <w:snapToGrid w:val="0"/>
        <w:spacing w:before="156" w:beforeLines="50"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2、</w:t>
      </w:r>
      <w:r>
        <w:rPr>
          <w:rFonts w:ascii="Times New Roman" w:hAnsi="Times New Roman" w:eastAsia="宋体" w:cs="Times New Roman"/>
          <w:sz w:val="28"/>
          <w:szCs w:val="28"/>
        </w:rPr>
        <w:t>专利</w:t>
      </w:r>
    </w:p>
    <w:p w14:paraId="427EC50A">
      <w:pPr>
        <w:adjustRightInd w:val="0"/>
        <w:snapToGrid w:val="0"/>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学生本科阶段以第一发明人申请国家发明专利（进入实质审查阶段），或获得实用新型专利授权，可予以加分，本类加分不得超过15分。专利须与学业相关，西安石油大学为第一专利权人。（审核单位：</w:t>
      </w:r>
      <w:r>
        <w:rPr>
          <w:rFonts w:hint="eastAsia" w:ascii="Times New Roman" w:hAnsi="Times New Roman" w:eastAsia="宋体" w:cs="Times New Roman"/>
          <w:sz w:val="28"/>
          <w:szCs w:val="28"/>
          <w:lang w:eastAsia="zh-CN"/>
        </w:rPr>
        <w:t>科研处</w:t>
      </w:r>
      <w:r>
        <w:rPr>
          <w:rFonts w:ascii="Times New Roman" w:hAnsi="Times New Roman" w:eastAsia="宋体" w:cs="Times New Roman"/>
          <w:sz w:val="28"/>
          <w:szCs w:val="28"/>
        </w:rPr>
        <w:t>）</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2D71F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4261" w:type="dxa"/>
            <w:vAlign w:val="center"/>
          </w:tcPr>
          <w:p w14:paraId="4020A566">
            <w:pPr>
              <w:adjustRightInd w:val="0"/>
              <w:snapToGrid w:val="0"/>
              <w:jc w:val="center"/>
              <w:rPr>
                <w:rFonts w:ascii="Times New Roman" w:hAnsi="Times New Roman" w:eastAsia="宋体" w:cs="Times New Roman"/>
                <w:sz w:val="28"/>
                <w:szCs w:val="28"/>
              </w:rPr>
            </w:pPr>
            <w:r>
              <w:rPr>
                <w:rFonts w:ascii="Times New Roman" w:hAnsi="Times New Roman" w:eastAsia="宋体" w:cs="Times New Roman"/>
                <w:sz w:val="28"/>
                <w:szCs w:val="28"/>
              </w:rPr>
              <w:t xml:space="preserve">   类别</w:t>
            </w:r>
          </w:p>
        </w:tc>
        <w:tc>
          <w:tcPr>
            <w:tcW w:w="4261" w:type="dxa"/>
            <w:vAlign w:val="center"/>
          </w:tcPr>
          <w:p w14:paraId="396E25AB">
            <w:pPr>
              <w:adjustRightInd w:val="0"/>
              <w:snapToGrid w:val="0"/>
              <w:spacing w:line="240" w:lineRule="auto"/>
              <w:jc w:val="center"/>
              <w:rPr>
                <w:rFonts w:ascii="Times New Roman" w:hAnsi="Times New Roman" w:eastAsia="宋体" w:cs="Times New Roman"/>
                <w:sz w:val="28"/>
                <w:szCs w:val="28"/>
              </w:rPr>
            </w:pPr>
            <w:r>
              <w:rPr>
                <w:rFonts w:ascii="Times New Roman" w:hAnsi="Times New Roman" w:eastAsia="宋体" w:cs="Times New Roman"/>
                <w:sz w:val="28"/>
                <w:szCs w:val="28"/>
              </w:rPr>
              <w:t>分值</w:t>
            </w:r>
          </w:p>
        </w:tc>
      </w:tr>
      <w:tr w14:paraId="15636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14:paraId="4C688D8E">
            <w:pPr>
              <w:adjustRightInd w:val="0"/>
              <w:snapToGrid w:val="0"/>
              <w:spacing w:line="440" w:lineRule="exact"/>
              <w:jc w:val="center"/>
              <w:textAlignment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发明专利</w:t>
            </w:r>
            <w:r>
              <w:rPr>
                <w:rFonts w:hint="eastAsia" w:ascii="Times New Roman" w:hAnsi="Times New Roman" w:eastAsia="宋体" w:cs="Times New Roman"/>
                <w:sz w:val="28"/>
                <w:szCs w:val="28"/>
                <w:highlight w:val="none"/>
              </w:rPr>
              <w:t>（授权）</w:t>
            </w:r>
          </w:p>
        </w:tc>
        <w:tc>
          <w:tcPr>
            <w:tcW w:w="4261" w:type="dxa"/>
            <w:vAlign w:val="center"/>
          </w:tcPr>
          <w:p w14:paraId="4178368A">
            <w:pPr>
              <w:adjustRightInd w:val="0"/>
              <w:snapToGrid w:val="0"/>
              <w:spacing w:line="440" w:lineRule="exact"/>
              <w:jc w:val="center"/>
              <w:textAlignment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15分/项</w:t>
            </w:r>
          </w:p>
        </w:tc>
      </w:tr>
      <w:tr w14:paraId="21DFB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14:paraId="3D21F85E">
            <w:pPr>
              <w:adjustRightInd w:val="0"/>
              <w:snapToGrid w:val="0"/>
              <w:spacing w:line="440" w:lineRule="exact"/>
              <w:jc w:val="center"/>
              <w:textAlignment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发明专利</w:t>
            </w:r>
            <w:r>
              <w:rPr>
                <w:rFonts w:hint="eastAsia" w:ascii="Times New Roman" w:hAnsi="Times New Roman" w:eastAsia="宋体" w:cs="Times New Roman"/>
                <w:sz w:val="28"/>
                <w:szCs w:val="28"/>
                <w:highlight w:val="none"/>
              </w:rPr>
              <w:t>（</w:t>
            </w:r>
            <w:r>
              <w:rPr>
                <w:rFonts w:ascii="Times New Roman" w:hAnsi="Times New Roman" w:eastAsia="宋体" w:cs="Times New Roman"/>
                <w:sz w:val="28"/>
                <w:szCs w:val="28"/>
                <w:highlight w:val="none"/>
              </w:rPr>
              <w:t>进入实质审查阶段</w:t>
            </w:r>
            <w:r>
              <w:rPr>
                <w:rFonts w:hint="eastAsia" w:ascii="Times New Roman" w:hAnsi="Times New Roman" w:eastAsia="宋体" w:cs="Times New Roman"/>
                <w:sz w:val="28"/>
                <w:szCs w:val="28"/>
                <w:highlight w:val="none"/>
              </w:rPr>
              <w:t>）</w:t>
            </w:r>
          </w:p>
        </w:tc>
        <w:tc>
          <w:tcPr>
            <w:tcW w:w="4261" w:type="dxa"/>
            <w:vAlign w:val="center"/>
          </w:tcPr>
          <w:p w14:paraId="5D46B55E">
            <w:pPr>
              <w:adjustRightInd w:val="0"/>
              <w:snapToGrid w:val="0"/>
              <w:spacing w:line="440" w:lineRule="exact"/>
              <w:jc w:val="center"/>
              <w:textAlignment w:val="center"/>
              <w:rPr>
                <w:rFonts w:ascii="Times New Roman" w:hAnsi="Times New Roman" w:eastAsia="宋体" w:cs="Times New Roman"/>
                <w:sz w:val="28"/>
                <w:szCs w:val="28"/>
                <w:highlight w:val="none"/>
              </w:rPr>
            </w:pPr>
            <w:r>
              <w:rPr>
                <w:rFonts w:hint="eastAsia" w:ascii="Times New Roman" w:hAnsi="Times New Roman" w:eastAsia="宋体" w:cs="Times New Roman"/>
                <w:sz w:val="28"/>
                <w:szCs w:val="28"/>
                <w:highlight w:val="none"/>
              </w:rPr>
              <w:t>1</w:t>
            </w:r>
            <w:r>
              <w:rPr>
                <w:rFonts w:ascii="Times New Roman" w:hAnsi="Times New Roman" w:eastAsia="宋体" w:cs="Times New Roman"/>
                <w:sz w:val="28"/>
                <w:szCs w:val="28"/>
                <w:highlight w:val="none"/>
              </w:rPr>
              <w:t>0分/项</w:t>
            </w:r>
          </w:p>
        </w:tc>
      </w:tr>
      <w:tr w14:paraId="2774F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14:paraId="42C1A296">
            <w:pPr>
              <w:adjustRightInd w:val="0"/>
              <w:snapToGrid w:val="0"/>
              <w:spacing w:line="440" w:lineRule="exact"/>
              <w:jc w:val="center"/>
              <w:textAlignment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实用新型专利</w:t>
            </w:r>
            <w:r>
              <w:rPr>
                <w:rFonts w:hint="eastAsia" w:ascii="Times New Roman" w:hAnsi="Times New Roman" w:eastAsia="宋体" w:cs="Times New Roman"/>
                <w:sz w:val="28"/>
                <w:szCs w:val="28"/>
                <w:highlight w:val="none"/>
              </w:rPr>
              <w:t>（授权）</w:t>
            </w:r>
          </w:p>
        </w:tc>
        <w:tc>
          <w:tcPr>
            <w:tcW w:w="4261" w:type="dxa"/>
            <w:vAlign w:val="center"/>
          </w:tcPr>
          <w:p w14:paraId="36BE6C49">
            <w:pPr>
              <w:adjustRightInd w:val="0"/>
              <w:snapToGrid w:val="0"/>
              <w:spacing w:line="440" w:lineRule="exact"/>
              <w:jc w:val="center"/>
              <w:textAlignment w:val="center"/>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10分/项</w:t>
            </w:r>
          </w:p>
        </w:tc>
      </w:tr>
    </w:tbl>
    <w:p w14:paraId="522850A7">
      <w:pPr>
        <w:adjustRightInd w:val="0"/>
        <w:snapToGrid w:val="0"/>
        <w:spacing w:before="156" w:beforeLines="50"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3、竞赛获奖</w:t>
      </w:r>
    </w:p>
    <w:p w14:paraId="725A9FEE">
      <w:pPr>
        <w:adjustRightInd w:val="0"/>
        <w:snapToGrid w:val="0"/>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学生本科阶段作为主力成员参加与学业相关的国内权威科研竞赛并获得省部级二等奖及以上奖励（国际赛事参照执行，但不得低于国内赛事相关要求），可予以加分，本类加分不得超过25分。奖项等级认定按照</w:t>
      </w:r>
      <w:r>
        <w:rPr>
          <w:rFonts w:hint="eastAsia" w:ascii="Times New Roman" w:hAnsi="Times New Roman" w:eastAsia="宋体" w:cs="Times New Roman"/>
          <w:sz w:val="28"/>
          <w:szCs w:val="28"/>
        </w:rPr>
        <w:t>《西安石油大学学生学科竞赛管理办法》</w:t>
      </w:r>
      <w:r>
        <w:rPr>
          <w:rFonts w:ascii="Times New Roman" w:hAnsi="Times New Roman" w:eastAsia="宋体" w:cs="Times New Roman"/>
          <w:sz w:val="28"/>
          <w:szCs w:val="28"/>
        </w:rPr>
        <w:t>文件执行。（审核单位：</w:t>
      </w:r>
      <w:r>
        <w:rPr>
          <w:rFonts w:hint="eastAsia" w:ascii="Times New Roman" w:hAnsi="Times New Roman" w:eastAsia="宋体" w:cs="Times New Roman"/>
          <w:sz w:val="28"/>
          <w:szCs w:val="28"/>
          <w:lang w:eastAsia="zh-CN"/>
        </w:rPr>
        <w:t>教务处</w:t>
      </w:r>
      <w:r>
        <w:rPr>
          <w:rFonts w:ascii="Times New Roman" w:hAnsi="Times New Roman" w:eastAsia="宋体" w:cs="Times New Roman"/>
          <w:sz w:val="28"/>
          <w:szCs w:val="28"/>
        </w:rPr>
        <w:t>）</w:t>
      </w:r>
    </w:p>
    <w:tbl>
      <w:tblPr>
        <w:tblStyle w:val="4"/>
        <w:tblW w:w="85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6"/>
        <w:gridCol w:w="4770"/>
        <w:gridCol w:w="1845"/>
      </w:tblGrid>
      <w:tr w14:paraId="0638E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1936" w:type="dxa"/>
            <w:vAlign w:val="center"/>
          </w:tcPr>
          <w:p w14:paraId="0F3E7A0A">
            <w:pPr>
              <w:adjustRightInd w:val="0"/>
              <w:snapToGrid w:val="0"/>
              <w:jc w:val="center"/>
              <w:rPr>
                <w:rFonts w:ascii="Times New Roman" w:hAnsi="Times New Roman" w:eastAsia="宋体" w:cs="Times New Roman"/>
                <w:sz w:val="28"/>
                <w:szCs w:val="28"/>
              </w:rPr>
            </w:pPr>
            <w:r>
              <w:rPr>
                <w:rFonts w:ascii="Times New Roman" w:hAnsi="Times New Roman" w:eastAsia="宋体" w:cs="Times New Roman"/>
                <w:sz w:val="28"/>
                <w:szCs w:val="28"/>
              </w:rPr>
              <w:t xml:space="preserve"> 级别</w:t>
            </w:r>
          </w:p>
        </w:tc>
        <w:tc>
          <w:tcPr>
            <w:tcW w:w="4770" w:type="dxa"/>
            <w:vAlign w:val="center"/>
          </w:tcPr>
          <w:p w14:paraId="09AB150E">
            <w:pPr>
              <w:keepNext w:val="0"/>
              <w:keepLines w:val="0"/>
              <w:widowControl/>
              <w:suppressLineNumbers w:val="0"/>
              <w:jc w:val="center"/>
              <w:rPr>
                <w:rFonts w:ascii="Times New Roman" w:hAnsi="Times New Roman" w:eastAsia="宋体" w:cs="Times New Roman"/>
                <w:sz w:val="28"/>
                <w:szCs w:val="28"/>
              </w:rPr>
            </w:pPr>
            <w:r>
              <w:rPr>
                <w:rFonts w:ascii="Times New Roman" w:hAnsi="Times New Roman" w:eastAsia="宋体" w:cs="Times New Roman"/>
                <w:sz w:val="28"/>
                <w:szCs w:val="28"/>
                <w:lang w:val="en-US" w:eastAsia="zh-CN"/>
              </w:rPr>
              <w:t>学科竞赛奖项名称</w:t>
            </w:r>
          </w:p>
        </w:tc>
        <w:tc>
          <w:tcPr>
            <w:tcW w:w="1845" w:type="dxa"/>
            <w:shd w:val="clear"/>
            <w:vAlign w:val="center"/>
          </w:tcPr>
          <w:p w14:paraId="7174522D">
            <w:pPr>
              <w:adjustRightInd w:val="0"/>
              <w:snapToGrid w:val="0"/>
              <w:spacing w:line="240" w:lineRule="auto"/>
              <w:jc w:val="center"/>
              <w:rPr>
                <w:rFonts w:ascii="Times New Roman" w:hAnsi="Times New Roman" w:eastAsia="宋体" w:cs="Times New Roman"/>
                <w:kern w:val="2"/>
                <w:sz w:val="28"/>
                <w:szCs w:val="28"/>
                <w:lang w:val="en-US" w:eastAsia="zh-CN" w:bidi="ar-SA"/>
              </w:rPr>
            </w:pPr>
            <w:r>
              <w:rPr>
                <w:rFonts w:ascii="Times New Roman" w:hAnsi="Times New Roman" w:eastAsia="宋体" w:cs="Times New Roman"/>
                <w:sz w:val="28"/>
                <w:szCs w:val="28"/>
              </w:rPr>
              <w:t>分值</w:t>
            </w:r>
          </w:p>
        </w:tc>
      </w:tr>
      <w:tr w14:paraId="028C6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936" w:type="dxa"/>
            <w:vAlign w:val="center"/>
          </w:tcPr>
          <w:p w14:paraId="67C00B42">
            <w:pPr>
              <w:adjustRightInd w:val="0"/>
              <w:snapToGrid w:val="0"/>
              <w:spacing w:line="440" w:lineRule="exact"/>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rPr>
              <w:t>国家级一等奖</w:t>
            </w:r>
          </w:p>
        </w:tc>
        <w:tc>
          <w:tcPr>
            <w:tcW w:w="4770" w:type="dxa"/>
            <w:vAlign w:val="center"/>
          </w:tcPr>
          <w:p w14:paraId="0914D2C2">
            <w:pPr>
              <w:adjustRightInd w:val="0"/>
              <w:snapToGrid w:val="0"/>
              <w:spacing w:line="440" w:lineRule="exact"/>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lang w:val="en-US" w:eastAsia="zh-CN"/>
              </w:rPr>
              <w:t xml:space="preserve">国家级 A </w:t>
            </w:r>
            <w:r>
              <w:rPr>
                <w:rFonts w:hint="default" w:ascii="Times New Roman" w:hAnsi="Times New Roman" w:eastAsia="宋体" w:cs="Times New Roman"/>
                <w:sz w:val="24"/>
                <w:szCs w:val="24"/>
                <w:lang w:val="en-US" w:eastAsia="zh-CN"/>
              </w:rPr>
              <w:t>类特等奖</w:t>
            </w:r>
            <w:r>
              <w:rPr>
                <w:rFonts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一等奖， 国家级 B 类特等奖、一等奖</w:t>
            </w:r>
          </w:p>
        </w:tc>
        <w:tc>
          <w:tcPr>
            <w:tcW w:w="1845" w:type="dxa"/>
            <w:shd w:val="clear"/>
            <w:vAlign w:val="center"/>
          </w:tcPr>
          <w:p w14:paraId="4F3C959E">
            <w:pPr>
              <w:adjustRightInd w:val="0"/>
              <w:snapToGrid w:val="0"/>
              <w:spacing w:line="440" w:lineRule="exact"/>
              <w:jc w:val="center"/>
              <w:textAlignment w:val="center"/>
              <w:rPr>
                <w:rFonts w:ascii="Times New Roman" w:hAnsi="Times New Roman" w:eastAsia="宋体" w:cs="Times New Roman"/>
                <w:kern w:val="2"/>
                <w:sz w:val="24"/>
                <w:szCs w:val="24"/>
                <w:lang w:val="en-US" w:eastAsia="zh-CN" w:bidi="ar-SA"/>
              </w:rPr>
            </w:pPr>
            <w:r>
              <w:rPr>
                <w:rFonts w:ascii="Times New Roman" w:hAnsi="Times New Roman" w:eastAsia="宋体" w:cs="Times New Roman"/>
                <w:sz w:val="24"/>
                <w:szCs w:val="24"/>
              </w:rPr>
              <w:t>25分/项</w:t>
            </w:r>
          </w:p>
        </w:tc>
      </w:tr>
      <w:tr w14:paraId="7941D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1936" w:type="dxa"/>
            <w:vAlign w:val="center"/>
          </w:tcPr>
          <w:p w14:paraId="5F8F1055">
            <w:pPr>
              <w:adjustRightInd w:val="0"/>
              <w:snapToGrid w:val="0"/>
              <w:spacing w:line="440" w:lineRule="exact"/>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rPr>
              <w:t>国家级二等奖</w:t>
            </w:r>
          </w:p>
        </w:tc>
        <w:tc>
          <w:tcPr>
            <w:tcW w:w="4770" w:type="dxa"/>
            <w:vAlign w:val="center"/>
          </w:tcPr>
          <w:p w14:paraId="59271385">
            <w:pPr>
              <w:adjustRightInd w:val="0"/>
              <w:snapToGrid w:val="0"/>
              <w:spacing w:line="440" w:lineRule="exact"/>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lang w:val="en-US" w:eastAsia="zh-CN"/>
              </w:rPr>
              <w:t xml:space="preserve">国家级 A </w:t>
            </w:r>
            <w:r>
              <w:rPr>
                <w:rFonts w:hint="default" w:ascii="Times New Roman" w:hAnsi="Times New Roman" w:eastAsia="宋体" w:cs="Times New Roman"/>
                <w:sz w:val="24"/>
                <w:szCs w:val="24"/>
                <w:lang w:val="en-US" w:eastAsia="zh-CN"/>
              </w:rPr>
              <w:t>类二等奖，国家级 B 类二等奖， 国家级 C 类特等奖</w:t>
            </w:r>
            <w:r>
              <w:rPr>
                <w:rFonts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一等奖</w:t>
            </w:r>
          </w:p>
        </w:tc>
        <w:tc>
          <w:tcPr>
            <w:tcW w:w="1845" w:type="dxa"/>
            <w:shd w:val="clear"/>
            <w:vAlign w:val="center"/>
          </w:tcPr>
          <w:p w14:paraId="7F24D7E8">
            <w:pPr>
              <w:adjustRightInd w:val="0"/>
              <w:snapToGrid w:val="0"/>
              <w:spacing w:line="440" w:lineRule="exact"/>
              <w:jc w:val="center"/>
              <w:textAlignment w:val="center"/>
              <w:rPr>
                <w:rFonts w:ascii="Times New Roman" w:hAnsi="Times New Roman" w:eastAsia="宋体" w:cs="Times New Roman"/>
                <w:kern w:val="2"/>
                <w:sz w:val="24"/>
                <w:szCs w:val="24"/>
                <w:lang w:val="en-US" w:eastAsia="zh-CN" w:bidi="ar-SA"/>
              </w:rPr>
            </w:pPr>
            <w:r>
              <w:rPr>
                <w:rFonts w:ascii="Times New Roman" w:hAnsi="Times New Roman" w:eastAsia="宋体" w:cs="Times New Roman"/>
                <w:sz w:val="24"/>
                <w:szCs w:val="24"/>
              </w:rPr>
              <w:t>20分/项</w:t>
            </w:r>
          </w:p>
        </w:tc>
      </w:tr>
      <w:tr w14:paraId="6E1B8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1936" w:type="dxa"/>
            <w:vAlign w:val="center"/>
          </w:tcPr>
          <w:p w14:paraId="426B6E14">
            <w:pPr>
              <w:adjustRightInd w:val="0"/>
              <w:snapToGrid w:val="0"/>
              <w:spacing w:line="440" w:lineRule="exact"/>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rPr>
              <w:t>国家级三等奖</w:t>
            </w:r>
          </w:p>
        </w:tc>
        <w:tc>
          <w:tcPr>
            <w:tcW w:w="4770" w:type="dxa"/>
            <w:vAlign w:val="center"/>
          </w:tcPr>
          <w:p w14:paraId="3AAEA09E">
            <w:pPr>
              <w:adjustRightInd w:val="0"/>
              <w:snapToGrid w:val="0"/>
              <w:spacing w:line="440" w:lineRule="exact"/>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lang w:val="en-US" w:eastAsia="zh-CN"/>
              </w:rPr>
              <w:t xml:space="preserve">国家级 A </w:t>
            </w:r>
            <w:r>
              <w:rPr>
                <w:rFonts w:hint="default" w:ascii="Times New Roman" w:hAnsi="Times New Roman" w:eastAsia="宋体" w:cs="Times New Roman"/>
                <w:sz w:val="24"/>
                <w:szCs w:val="24"/>
                <w:lang w:val="en-US" w:eastAsia="zh-CN"/>
              </w:rPr>
              <w:t>类三等奖，国家级 B 类三等奖， 国家级 C 类二等奖</w:t>
            </w:r>
          </w:p>
        </w:tc>
        <w:tc>
          <w:tcPr>
            <w:tcW w:w="1845" w:type="dxa"/>
            <w:shd w:val="clear"/>
            <w:vAlign w:val="center"/>
          </w:tcPr>
          <w:p w14:paraId="5C6E7C20">
            <w:pPr>
              <w:adjustRightInd w:val="0"/>
              <w:snapToGrid w:val="0"/>
              <w:spacing w:line="440" w:lineRule="exact"/>
              <w:jc w:val="center"/>
              <w:textAlignment w:val="center"/>
              <w:rPr>
                <w:rFonts w:ascii="Times New Roman" w:hAnsi="Times New Roman" w:eastAsia="宋体" w:cs="Times New Roman"/>
                <w:kern w:val="2"/>
                <w:sz w:val="24"/>
                <w:szCs w:val="24"/>
                <w:lang w:val="en-US" w:eastAsia="zh-CN" w:bidi="ar-SA"/>
              </w:rPr>
            </w:pPr>
            <w:r>
              <w:rPr>
                <w:rFonts w:ascii="Times New Roman" w:hAnsi="Times New Roman" w:eastAsia="宋体" w:cs="Times New Roman"/>
                <w:sz w:val="24"/>
                <w:szCs w:val="24"/>
              </w:rPr>
              <w:t>15分/项</w:t>
            </w:r>
          </w:p>
        </w:tc>
      </w:tr>
      <w:tr w14:paraId="74924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1936" w:type="dxa"/>
            <w:vAlign w:val="center"/>
          </w:tcPr>
          <w:p w14:paraId="33127A85">
            <w:pPr>
              <w:adjustRightInd w:val="0"/>
              <w:snapToGrid w:val="0"/>
              <w:spacing w:line="440" w:lineRule="exact"/>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rPr>
              <w:t>省部级一等奖</w:t>
            </w:r>
          </w:p>
        </w:tc>
        <w:tc>
          <w:tcPr>
            <w:tcW w:w="4770" w:type="dxa"/>
            <w:vAlign w:val="center"/>
          </w:tcPr>
          <w:p w14:paraId="6C7EB354">
            <w:pPr>
              <w:adjustRightInd w:val="0"/>
              <w:snapToGrid w:val="0"/>
              <w:spacing w:line="440" w:lineRule="exact"/>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lang w:val="en-US" w:eastAsia="zh-CN"/>
              </w:rPr>
              <w:t xml:space="preserve">省级 A </w:t>
            </w:r>
            <w:r>
              <w:rPr>
                <w:rFonts w:hint="default" w:ascii="Times New Roman" w:hAnsi="Times New Roman" w:eastAsia="宋体" w:cs="Times New Roman"/>
                <w:sz w:val="24"/>
                <w:szCs w:val="24"/>
                <w:lang w:val="en-US" w:eastAsia="zh-CN"/>
              </w:rPr>
              <w:t>类特等奖</w:t>
            </w:r>
            <w:r>
              <w:rPr>
                <w:rFonts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一等奖，省级 B 类特等奖、一等奖</w:t>
            </w:r>
          </w:p>
        </w:tc>
        <w:tc>
          <w:tcPr>
            <w:tcW w:w="1845" w:type="dxa"/>
            <w:shd w:val="clear"/>
            <w:vAlign w:val="center"/>
          </w:tcPr>
          <w:p w14:paraId="1C380D05">
            <w:pPr>
              <w:adjustRightInd w:val="0"/>
              <w:snapToGrid w:val="0"/>
              <w:spacing w:line="440" w:lineRule="exact"/>
              <w:jc w:val="center"/>
              <w:textAlignment w:val="center"/>
              <w:rPr>
                <w:rFonts w:ascii="Times New Roman" w:hAnsi="Times New Roman" w:eastAsia="宋体" w:cs="Times New Roman"/>
                <w:kern w:val="2"/>
                <w:sz w:val="24"/>
                <w:szCs w:val="24"/>
                <w:lang w:val="en-US" w:eastAsia="zh-CN" w:bidi="ar-SA"/>
              </w:rPr>
            </w:pPr>
            <w:r>
              <w:rPr>
                <w:rFonts w:ascii="Times New Roman" w:hAnsi="Times New Roman" w:eastAsia="宋体" w:cs="Times New Roman"/>
                <w:sz w:val="24"/>
                <w:szCs w:val="24"/>
              </w:rPr>
              <w:t>10分/项</w:t>
            </w:r>
          </w:p>
        </w:tc>
      </w:tr>
      <w:tr w14:paraId="37BC5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936" w:type="dxa"/>
            <w:vAlign w:val="center"/>
          </w:tcPr>
          <w:p w14:paraId="6E93671C">
            <w:pPr>
              <w:adjustRightInd w:val="0"/>
              <w:snapToGrid w:val="0"/>
              <w:spacing w:line="440" w:lineRule="exact"/>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rPr>
              <w:t>省部级二等奖</w:t>
            </w:r>
          </w:p>
        </w:tc>
        <w:tc>
          <w:tcPr>
            <w:tcW w:w="4770" w:type="dxa"/>
            <w:vAlign w:val="center"/>
          </w:tcPr>
          <w:p w14:paraId="1CFB8731">
            <w:pPr>
              <w:adjustRightInd w:val="0"/>
              <w:snapToGrid w:val="0"/>
              <w:spacing w:line="440" w:lineRule="exact"/>
              <w:jc w:val="center"/>
              <w:textAlignment w:val="center"/>
              <w:rPr>
                <w:rFonts w:ascii="Times New Roman" w:hAnsi="Times New Roman" w:eastAsia="宋体" w:cs="Times New Roman"/>
                <w:sz w:val="24"/>
                <w:szCs w:val="24"/>
              </w:rPr>
            </w:pPr>
            <w:r>
              <w:rPr>
                <w:rFonts w:ascii="Times New Roman" w:hAnsi="Times New Roman" w:eastAsia="宋体" w:cs="Times New Roman"/>
                <w:sz w:val="24"/>
                <w:szCs w:val="24"/>
                <w:lang w:val="en-US" w:eastAsia="zh-CN"/>
              </w:rPr>
              <w:t xml:space="preserve">国家级 C </w:t>
            </w:r>
            <w:r>
              <w:rPr>
                <w:rFonts w:hint="default" w:ascii="Times New Roman" w:hAnsi="Times New Roman" w:eastAsia="宋体" w:cs="Times New Roman"/>
                <w:sz w:val="24"/>
                <w:szCs w:val="24"/>
                <w:lang w:val="en-US" w:eastAsia="zh-CN"/>
              </w:rPr>
              <w:t>类三等奖，省级 A 类二等奖，省级 B 类</w:t>
            </w:r>
            <w:bookmarkStart w:id="0" w:name="_GoBack"/>
            <w:bookmarkEnd w:id="0"/>
            <w:r>
              <w:rPr>
                <w:rFonts w:hint="default" w:ascii="Times New Roman" w:hAnsi="Times New Roman" w:eastAsia="宋体" w:cs="Times New Roman"/>
                <w:sz w:val="24"/>
                <w:szCs w:val="24"/>
                <w:lang w:val="en-US" w:eastAsia="zh-CN"/>
              </w:rPr>
              <w:t>二等奖，省级 C 类特等奖</w:t>
            </w:r>
            <w:r>
              <w:rPr>
                <w:rFonts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一等奖</w:t>
            </w:r>
          </w:p>
        </w:tc>
        <w:tc>
          <w:tcPr>
            <w:tcW w:w="1845" w:type="dxa"/>
            <w:shd w:val="clear"/>
            <w:vAlign w:val="center"/>
          </w:tcPr>
          <w:p w14:paraId="3737E0CB">
            <w:pPr>
              <w:adjustRightInd w:val="0"/>
              <w:snapToGrid w:val="0"/>
              <w:spacing w:line="440" w:lineRule="exact"/>
              <w:jc w:val="center"/>
              <w:textAlignment w:val="center"/>
              <w:rPr>
                <w:rFonts w:ascii="Times New Roman" w:hAnsi="Times New Roman" w:eastAsia="宋体" w:cs="Times New Roman"/>
                <w:kern w:val="2"/>
                <w:sz w:val="24"/>
                <w:szCs w:val="24"/>
                <w:lang w:val="en-US" w:eastAsia="zh-CN" w:bidi="ar-SA"/>
              </w:rPr>
            </w:pPr>
            <w:r>
              <w:rPr>
                <w:rFonts w:ascii="Times New Roman" w:hAnsi="Times New Roman" w:eastAsia="宋体" w:cs="Times New Roman"/>
                <w:sz w:val="24"/>
                <w:szCs w:val="24"/>
              </w:rPr>
              <w:t>5分/项</w:t>
            </w:r>
          </w:p>
        </w:tc>
      </w:tr>
    </w:tbl>
    <w:p w14:paraId="40C55286">
      <w:pPr>
        <w:adjustRightInd w:val="0"/>
        <w:snapToGrid w:val="0"/>
        <w:spacing w:before="156" w:beforeLines="50"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二人合作的，排名第一占70%，排名第二占30%；</w:t>
      </w:r>
    </w:p>
    <w:p w14:paraId="5E6BD9CB">
      <w:pPr>
        <w:adjustRightInd w:val="0"/>
        <w:snapToGrid w:val="0"/>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三人合作的，排名第一占60%，排名第二占25%，排名第三占15%；</w:t>
      </w:r>
    </w:p>
    <w:p w14:paraId="76F1B87D">
      <w:pPr>
        <w:adjustRightInd w:val="0"/>
        <w:snapToGrid w:val="0"/>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四人合作的，排名第一55%，排名第二占22%，排名第三占13%，排名第四占 10%；</w:t>
      </w:r>
    </w:p>
    <w:p w14:paraId="13F1D488">
      <w:pPr>
        <w:adjustRightInd w:val="0"/>
        <w:snapToGrid w:val="0"/>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五人合作的，排名第一占52%，排名第二占20%，排名第三占12%，排名第四占10%，排名第五占6%；</w:t>
      </w:r>
    </w:p>
    <w:p w14:paraId="01FBE75B">
      <w:pPr>
        <w:adjustRightInd w:val="0"/>
        <w:snapToGrid w:val="0"/>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六人合作的，排名第一占50%，排名第二占18%，排名第三占11%，排名第四占9%，排名第五占7%；排名第六占5%；</w:t>
      </w:r>
    </w:p>
    <w:p w14:paraId="5F589CBA">
      <w:pPr>
        <w:adjustRightInd w:val="0"/>
        <w:snapToGrid w:val="0"/>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rPr>
        <w:t>学生</w:t>
      </w:r>
      <w:r>
        <w:rPr>
          <w:rFonts w:ascii="Times New Roman" w:hAnsi="Times New Roman" w:eastAsia="宋体" w:cs="Times New Roman"/>
          <w:sz w:val="28"/>
          <w:szCs w:val="28"/>
        </w:rPr>
        <w:t>署名第七及以后的不计分。</w:t>
      </w:r>
    </w:p>
    <w:p w14:paraId="57267BBE">
      <w:pPr>
        <w:adjustRightInd w:val="0"/>
        <w:snapToGrid w:val="0"/>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4、志愿服务</w:t>
      </w:r>
    </w:p>
    <w:p w14:paraId="247920A7">
      <w:pPr>
        <w:adjustRightInd w:val="0"/>
        <w:snapToGrid w:val="0"/>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学生本科阶段参与志愿服务并获得省部级及以上“先进个人”等荣誉，每项可予以加10分，本类加分不得超过10分。（审核单位：学生工作部</w:t>
      </w:r>
      <w:r>
        <w:rPr>
          <w:rFonts w:hint="eastAsia" w:ascii="Times New Roman" w:hAnsi="Times New Roman" w:eastAsia="宋体" w:cs="Times New Roman"/>
          <w:sz w:val="28"/>
          <w:szCs w:val="28"/>
          <w:lang w:eastAsia="zh-CN"/>
        </w:rPr>
        <w:t>、</w:t>
      </w:r>
      <w:r>
        <w:rPr>
          <w:rFonts w:ascii="Times New Roman" w:hAnsi="Times New Roman" w:eastAsia="宋体" w:cs="Times New Roman"/>
          <w:sz w:val="28"/>
          <w:szCs w:val="28"/>
        </w:rPr>
        <w:t>团委）</w:t>
      </w:r>
    </w:p>
    <w:p w14:paraId="5D298325">
      <w:pPr>
        <w:adjustRightInd w:val="0"/>
        <w:snapToGrid w:val="0"/>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5、国际组织实习</w:t>
      </w:r>
    </w:p>
    <w:p w14:paraId="3741EFA4">
      <w:pPr>
        <w:adjustRightInd w:val="0"/>
        <w:snapToGrid w:val="0"/>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学生本科阶段参加知名权威国际组织实习，实习原则上应不少于30天。实习期间有具体的实习岗位和明确的工作职责，并获得国际组织实习证明材料，可予以加10分，本类加分不得超过10分。（审核单位：国际合作与交流处）</w:t>
      </w:r>
    </w:p>
    <w:p w14:paraId="7056CB8E">
      <w:pPr>
        <w:adjustRightInd w:val="0"/>
        <w:snapToGrid w:val="0"/>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6、参军入伍服兵役</w:t>
      </w:r>
    </w:p>
    <w:p w14:paraId="1CED2A11">
      <w:pPr>
        <w:adjustRightInd w:val="0"/>
        <w:snapToGrid w:val="0"/>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学生本科阶段应征参军入伍，圆满履行兵役义务，可予以加10分，本类加分不得超过10分。（审核单位：武装部）</w:t>
      </w:r>
    </w:p>
    <w:p w14:paraId="026FBD65">
      <w:pPr>
        <w:adjustRightInd w:val="0"/>
        <w:snapToGrid w:val="0"/>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7、全国大学英语六级</w:t>
      </w:r>
    </w:p>
    <w:p w14:paraId="6174C90F">
      <w:pPr>
        <w:adjustRightInd w:val="0"/>
        <w:snapToGrid w:val="0"/>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学生本科阶段参加全国大学英语六级考试，成绩不低于425分（710 分制），可予以加10分。本类加分不得超过10分。</w:t>
      </w:r>
    </w:p>
    <w:p w14:paraId="480991CC">
      <w:pPr>
        <w:numPr>
          <w:ilvl w:val="0"/>
          <w:numId w:val="1"/>
        </w:numPr>
        <w:adjustRightInd w:val="0"/>
        <w:snapToGrid w:val="0"/>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其他</w:t>
      </w:r>
    </w:p>
    <w:p w14:paraId="4228F83E">
      <w:pPr>
        <w:adjustRightInd w:val="0"/>
        <w:snapToGrid w:val="0"/>
        <w:spacing w:line="360" w:lineRule="auto"/>
        <w:ind w:firstLine="560" w:firstLineChars="200"/>
        <w:jc w:val="left"/>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lang w:val="en-US" w:eastAsia="zh-CN"/>
        </w:rPr>
        <w:t>1、</w:t>
      </w:r>
      <w:r>
        <w:rPr>
          <w:rFonts w:ascii="Times New Roman" w:hAnsi="Times New Roman" w:eastAsia="宋体" w:cs="Times New Roman"/>
          <w:color w:val="auto"/>
          <w:sz w:val="28"/>
          <w:szCs w:val="28"/>
        </w:rPr>
        <w:t>学生与直系亲属或学历、职称、职务明显高于本人者合作的科研成果、竞赛奖项等仅作为参考，不纳入学生本人推免遴选综合评价成绩计算体系，同等条件下可优先考虑。</w:t>
      </w:r>
    </w:p>
    <w:p w14:paraId="7CF2A84A">
      <w:pPr>
        <w:adjustRightInd w:val="0"/>
        <w:snapToGrid w:val="0"/>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lang w:val="en-US" w:eastAsia="zh-CN"/>
        </w:rPr>
        <w:t>2</w:t>
      </w:r>
      <w:r>
        <w:rPr>
          <w:rFonts w:ascii="Times New Roman" w:hAnsi="Times New Roman" w:eastAsia="宋体" w:cs="Times New Roman"/>
          <w:sz w:val="28"/>
          <w:szCs w:val="28"/>
        </w:rPr>
        <w:t>、综合评议加分成绩以10%的权重计入学生综合考核成绩。若综合考核成绩相同，则按学业成绩高低排名。</w:t>
      </w:r>
    </w:p>
    <w:p w14:paraId="122946E1">
      <w:pPr>
        <w:adjustRightInd w:val="0"/>
        <w:snapToGrid w:val="0"/>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lang w:val="en-US" w:eastAsia="zh-CN"/>
        </w:rPr>
        <w:t>3</w:t>
      </w:r>
      <w:r>
        <w:rPr>
          <w:rFonts w:ascii="Times New Roman" w:hAnsi="Times New Roman" w:eastAsia="宋体" w:cs="Times New Roman"/>
          <w:sz w:val="28"/>
          <w:szCs w:val="28"/>
        </w:rPr>
        <w:t>、某一类有多项加分，或同一成果获得多项奖励的，只计一项最高分。</w:t>
      </w:r>
    </w:p>
    <w:p w14:paraId="70932B15">
      <w:pPr>
        <w:adjustRightInd w:val="0"/>
        <w:snapToGrid w:val="0"/>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lang w:val="en-US" w:eastAsia="zh-CN"/>
        </w:rPr>
        <w:t>4</w:t>
      </w:r>
      <w:r>
        <w:rPr>
          <w:rFonts w:ascii="Times New Roman" w:hAnsi="Times New Roman" w:eastAsia="宋体" w:cs="Times New Roman"/>
          <w:sz w:val="28"/>
          <w:szCs w:val="28"/>
        </w:rPr>
        <w:t>、各项成果时间范围为学生入学之日至学院规定的推免申请材料提交之日。</w:t>
      </w:r>
    </w:p>
    <w:p w14:paraId="7E4CB2DA">
      <w:pPr>
        <w:adjustRightInd w:val="0"/>
        <w:snapToGrid w:val="0"/>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lang w:val="en-US" w:eastAsia="zh-CN"/>
        </w:rPr>
        <w:t>5</w:t>
      </w:r>
      <w:r>
        <w:rPr>
          <w:rFonts w:ascii="Times New Roman" w:hAnsi="Times New Roman" w:eastAsia="宋体" w:cs="Times New Roman"/>
          <w:sz w:val="28"/>
          <w:szCs w:val="28"/>
        </w:rPr>
        <w:t>、各项成果均以学术期刊、证书、证明或相关材料原件为准，否则不予加分。</w:t>
      </w:r>
    </w:p>
    <w:p w14:paraId="6D40B4D7">
      <w:pPr>
        <w:adjustRightInd w:val="0"/>
        <w:snapToGrid w:val="0"/>
        <w:spacing w:line="360" w:lineRule="auto"/>
        <w:ind w:firstLine="560" w:firstLineChars="200"/>
        <w:jc w:val="left"/>
        <w:rPr>
          <w:rFonts w:ascii="Times New Roman" w:hAnsi="Times New Roman" w:eastAsia="宋体" w:cs="Times New Roman"/>
          <w:sz w:val="28"/>
          <w:szCs w:val="28"/>
        </w:rPr>
      </w:pPr>
      <w:r>
        <w:rPr>
          <w:rFonts w:hint="eastAsia" w:ascii="Times New Roman" w:hAnsi="Times New Roman" w:eastAsia="宋体" w:cs="Times New Roman"/>
          <w:sz w:val="28"/>
          <w:szCs w:val="28"/>
          <w:lang w:val="en-US" w:eastAsia="zh-CN"/>
        </w:rPr>
        <w:t>6</w:t>
      </w:r>
      <w:r>
        <w:rPr>
          <w:rFonts w:ascii="Times New Roman" w:hAnsi="Times New Roman" w:eastAsia="宋体" w:cs="Times New Roman"/>
          <w:sz w:val="28"/>
          <w:szCs w:val="28"/>
        </w:rPr>
        <w:t>、本细则由地球科学与工程学院负责解释。</w:t>
      </w:r>
    </w:p>
    <w:p w14:paraId="063B01F5">
      <w:pPr>
        <w:adjustRightInd w:val="0"/>
        <w:snapToGrid w:val="0"/>
        <w:spacing w:line="360" w:lineRule="auto"/>
        <w:ind w:firstLine="560" w:firstLineChars="200"/>
        <w:jc w:val="left"/>
        <w:rPr>
          <w:rFonts w:ascii="Times New Roman" w:hAnsi="Times New Roman" w:eastAsia="宋体" w:cs="Times New Roman"/>
          <w:sz w:val="28"/>
          <w:szCs w:val="28"/>
        </w:rPr>
      </w:pPr>
    </w:p>
    <w:p w14:paraId="58544A24">
      <w:pPr>
        <w:adjustRightInd w:val="0"/>
        <w:snapToGrid w:val="0"/>
        <w:spacing w:line="360" w:lineRule="auto"/>
        <w:ind w:firstLine="560" w:firstLineChars="200"/>
        <w:jc w:val="left"/>
        <w:rPr>
          <w:rFonts w:ascii="Times New Roman" w:hAnsi="Times New Roman" w:eastAsia="宋体" w:cs="Times New Roman"/>
          <w:sz w:val="28"/>
          <w:szCs w:val="28"/>
        </w:rPr>
      </w:pPr>
    </w:p>
    <w:p w14:paraId="077BA555">
      <w:pPr>
        <w:adjustRightInd w:val="0"/>
        <w:snapToGrid w:val="0"/>
        <w:spacing w:line="360" w:lineRule="auto"/>
        <w:ind w:firstLine="5600" w:firstLineChars="2000"/>
        <w:jc w:val="left"/>
        <w:rPr>
          <w:rFonts w:ascii="Times New Roman" w:hAnsi="Times New Roman" w:eastAsia="宋体" w:cs="Times New Roman"/>
          <w:sz w:val="28"/>
          <w:szCs w:val="28"/>
        </w:rPr>
      </w:pPr>
      <w:r>
        <w:rPr>
          <w:rFonts w:ascii="Times New Roman" w:hAnsi="Times New Roman" w:eastAsia="宋体" w:cs="Times New Roman"/>
          <w:sz w:val="28"/>
          <w:szCs w:val="28"/>
        </w:rPr>
        <w:t>地球科学与工程学院</w:t>
      </w:r>
    </w:p>
    <w:p w14:paraId="08056931">
      <w:pPr>
        <w:adjustRightInd w:val="0"/>
        <w:snapToGrid w:val="0"/>
        <w:spacing w:line="360" w:lineRule="auto"/>
        <w:ind w:firstLine="560" w:firstLineChars="200"/>
        <w:jc w:val="left"/>
        <w:rPr>
          <w:rFonts w:ascii="Times New Roman" w:hAnsi="Times New Roman" w:eastAsia="宋体" w:cs="Times New Roman"/>
          <w:sz w:val="28"/>
          <w:szCs w:val="28"/>
        </w:rPr>
      </w:pPr>
      <w:r>
        <w:rPr>
          <w:rFonts w:ascii="Times New Roman" w:hAnsi="Times New Roman" w:eastAsia="宋体" w:cs="Times New Roman"/>
          <w:sz w:val="28"/>
          <w:szCs w:val="28"/>
        </w:rPr>
        <w:t xml:space="preserve">                                     202</w:t>
      </w:r>
      <w:r>
        <w:rPr>
          <w:rFonts w:hint="eastAsia" w:ascii="Times New Roman" w:hAnsi="Times New Roman" w:eastAsia="宋体" w:cs="Times New Roman"/>
          <w:sz w:val="28"/>
          <w:szCs w:val="28"/>
          <w:lang w:val="en-US" w:eastAsia="zh-CN"/>
        </w:rPr>
        <w:t>5</w:t>
      </w:r>
      <w:r>
        <w:rPr>
          <w:rFonts w:ascii="Times New Roman" w:hAnsi="Times New Roman" w:eastAsia="宋体" w:cs="Times New Roman"/>
          <w:sz w:val="28"/>
          <w:szCs w:val="28"/>
        </w:rPr>
        <w:t>年9月</w:t>
      </w:r>
      <w:r>
        <w:rPr>
          <w:rFonts w:hint="eastAsia" w:ascii="Times New Roman" w:hAnsi="Times New Roman" w:eastAsia="宋体" w:cs="Times New Roman"/>
          <w:sz w:val="28"/>
          <w:szCs w:val="28"/>
          <w:lang w:val="en-US" w:eastAsia="zh-CN"/>
        </w:rPr>
        <w:t>10</w:t>
      </w:r>
      <w:r>
        <w:rPr>
          <w:rFonts w:ascii="Times New Roman" w:hAnsi="Times New Roman" w:eastAsia="宋体" w:cs="Times New Roman"/>
          <w:sz w:val="28"/>
          <w:szCs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WinCharSetFFFF-H">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Times-Roman">
    <w:altName w:val="Times New Roman"/>
    <w:panose1 w:val="00000000000000000000"/>
    <w:charset w:val="00"/>
    <w:family w:val="auto"/>
    <w:pitch w:val="default"/>
    <w:sig w:usb0="00000000" w:usb1="00000000" w:usb2="00000000" w:usb3="00000000" w:csb0="00000000" w:csb1="00000000"/>
  </w:font>
  <w:font w:name="仿宋-WinCharSetFFFF-H">
    <w:altName w:val="仿宋"/>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C19078"/>
    <w:multiLevelType w:val="singleLevel"/>
    <w:tmpl w:val="4CC19078"/>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ZmZTc2Y2JlYThjNDAwYzQwOTRjOTFiODAyNzNjOWMifQ=="/>
  </w:docVars>
  <w:rsids>
    <w:rsidRoot w:val="42A81F43"/>
    <w:rsid w:val="00674F92"/>
    <w:rsid w:val="00FD09D3"/>
    <w:rsid w:val="01F90AE9"/>
    <w:rsid w:val="02E72F3A"/>
    <w:rsid w:val="032064E7"/>
    <w:rsid w:val="050A2B3E"/>
    <w:rsid w:val="0681248D"/>
    <w:rsid w:val="0701572A"/>
    <w:rsid w:val="0781151E"/>
    <w:rsid w:val="09660C5E"/>
    <w:rsid w:val="09AF2F54"/>
    <w:rsid w:val="0B935E75"/>
    <w:rsid w:val="0D4525A2"/>
    <w:rsid w:val="0EA66190"/>
    <w:rsid w:val="0F767989"/>
    <w:rsid w:val="144B575F"/>
    <w:rsid w:val="15C617A9"/>
    <w:rsid w:val="1AF20289"/>
    <w:rsid w:val="1BCF6F3C"/>
    <w:rsid w:val="20232D1B"/>
    <w:rsid w:val="2037584E"/>
    <w:rsid w:val="211F18E1"/>
    <w:rsid w:val="22FD365F"/>
    <w:rsid w:val="23CB079B"/>
    <w:rsid w:val="270303CD"/>
    <w:rsid w:val="28C1442A"/>
    <w:rsid w:val="2B5841C1"/>
    <w:rsid w:val="2B7D534D"/>
    <w:rsid w:val="2D4D3E51"/>
    <w:rsid w:val="2F2002E3"/>
    <w:rsid w:val="31957973"/>
    <w:rsid w:val="327370E1"/>
    <w:rsid w:val="360A5F46"/>
    <w:rsid w:val="37BC000F"/>
    <w:rsid w:val="37CD5E52"/>
    <w:rsid w:val="38A22A90"/>
    <w:rsid w:val="3BFA3A53"/>
    <w:rsid w:val="3DBC5C9B"/>
    <w:rsid w:val="3E4F117E"/>
    <w:rsid w:val="3E5F5F30"/>
    <w:rsid w:val="3EB47508"/>
    <w:rsid w:val="3F2E4762"/>
    <w:rsid w:val="40271F5C"/>
    <w:rsid w:val="40B553F2"/>
    <w:rsid w:val="429E2002"/>
    <w:rsid w:val="42A81F43"/>
    <w:rsid w:val="4705742D"/>
    <w:rsid w:val="48D557F9"/>
    <w:rsid w:val="49406236"/>
    <w:rsid w:val="49C117CE"/>
    <w:rsid w:val="4C4E5158"/>
    <w:rsid w:val="4D3A1B62"/>
    <w:rsid w:val="4D3D7B89"/>
    <w:rsid w:val="50C80BE8"/>
    <w:rsid w:val="51FB0341"/>
    <w:rsid w:val="55A35789"/>
    <w:rsid w:val="5A81677C"/>
    <w:rsid w:val="5AAA24A8"/>
    <w:rsid w:val="5AC10EFD"/>
    <w:rsid w:val="5C1B42CB"/>
    <w:rsid w:val="5FB745F7"/>
    <w:rsid w:val="5FFE5638"/>
    <w:rsid w:val="60F10881"/>
    <w:rsid w:val="61911185"/>
    <w:rsid w:val="62D857F5"/>
    <w:rsid w:val="6397611F"/>
    <w:rsid w:val="65FE31D0"/>
    <w:rsid w:val="663339B9"/>
    <w:rsid w:val="6C133210"/>
    <w:rsid w:val="6CA535F4"/>
    <w:rsid w:val="6E703A46"/>
    <w:rsid w:val="764653A6"/>
    <w:rsid w:val="76AE1A72"/>
    <w:rsid w:val="780848AE"/>
    <w:rsid w:val="7D8F3DB3"/>
    <w:rsid w:val="7E7F64E4"/>
    <w:rsid w:val="7F6578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5">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Default"/>
    <w:qFormat/>
    <w:uiPriority w:val="0"/>
    <w:pPr>
      <w:widowControl w:val="0"/>
      <w:autoSpaceDE w:val="0"/>
      <w:autoSpaceDN w:val="0"/>
      <w:adjustRightInd w:val="0"/>
    </w:pPr>
    <w:rPr>
      <w:rFonts w:ascii="方正小标宋简体" w:hAnsi="Calibri" w:eastAsia="方正小标宋简体" w:cs="方正小标宋简体"/>
      <w:color w:val="000000"/>
      <w:sz w:val="24"/>
      <w:szCs w:val="24"/>
      <w:lang w:val="en-US" w:eastAsia="zh-CN" w:bidi="ar-SA"/>
    </w:rPr>
  </w:style>
  <w:style w:type="paragraph" w:styleId="7">
    <w:name w:val="List Paragraph"/>
    <w:basedOn w:val="1"/>
    <w:qFormat/>
    <w:uiPriority w:val="1"/>
    <w:pPr>
      <w:ind w:left="109" w:firstLine="480"/>
    </w:pPr>
    <w:rPr>
      <w:rFonts w:ascii="宋体" w:hAnsi="宋体" w:eastAsia="宋体" w:cs="宋体"/>
      <w:lang w:val="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1515</Words>
  <Characters>1595</Characters>
  <Lines>11</Lines>
  <Paragraphs>3</Paragraphs>
  <TotalTime>15</TotalTime>
  <ScaleCrop>false</ScaleCrop>
  <LinksUpToDate>false</LinksUpToDate>
  <CharactersWithSpaces>1641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2022-09-13T00:08:00Z</dcterms:created>
  <dc:creator>Administrator</dc:creator>
  <cp:lastModifiedBy>刘汉香</cp:lastModifiedBy>
  <cp:lastPrinted>2025-09-10T11:08:02Z</cp:lastPrinted>
  <dcterms:modified xsi:type="dcterms:W3CDTF">2025-09-10T11:18:58Z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59B709FC3BDB473D99BB0393A81A4BAD_13</vt:lpwstr>
  </property>
  <property fmtid="{D5CDD505-2E9C-101B-9397-08002B2CF9AE}" pid="4" name="KSOTemplateDocerSaveRecord">
    <vt:lpwstr>eyJoZGlkIjoiMTZmZTc2Y2JlYThjNDAwYzQwOTRjOTFiODAyNzNjOWMiLCJ1c2VySWQiOiI0MDg1Mjk1NzYifQ==</vt:lpwstr>
  </property>
</Properties>
</file>