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65286">
      <w:pPr>
        <w:snapToGrid w:val="0"/>
        <w:spacing w:line="400" w:lineRule="exact"/>
        <w:rPr>
          <w:rFonts w:hint="eastAsia" w:ascii="仿宋" w:hAnsi="仿宋" w:eastAsia="仿宋" w:cs="黑体"/>
          <w:bCs/>
          <w:color w:val="000000"/>
          <w:sz w:val="32"/>
          <w:szCs w:val="32"/>
        </w:rPr>
      </w:pPr>
      <w:r>
        <w:rPr>
          <w:rFonts w:hint="eastAsia" w:ascii="仿宋" w:hAnsi="仿宋" w:eastAsia="仿宋" w:cs="黑体"/>
          <w:bCs/>
          <w:color w:val="000000"/>
          <w:sz w:val="32"/>
          <w:szCs w:val="32"/>
        </w:rPr>
        <w:t>附件1</w:t>
      </w:r>
    </w:p>
    <w:p w14:paraId="787145B8">
      <w:pPr>
        <w:snapToGrid w:val="0"/>
        <w:spacing w:before="156" w:beforeLines="50" w:line="360" w:lineRule="auto"/>
        <w:jc w:val="center"/>
        <w:rPr>
          <w:rFonts w:hint="eastAsia" w:ascii="黑体" w:hAnsi="黑体" w:eastAsia="黑体" w:cs="华文中宋"/>
          <w:bCs/>
          <w:color w:val="000000"/>
          <w:sz w:val="32"/>
          <w:szCs w:val="32"/>
        </w:rPr>
      </w:pPr>
      <w:r>
        <w:rPr>
          <w:rFonts w:ascii="黑体" w:hAnsi="黑体" w:eastAsia="黑体" w:cs="华文中宋"/>
          <w:bCs/>
          <w:color w:val="000000"/>
          <w:sz w:val="32"/>
          <w:szCs w:val="32"/>
        </w:rPr>
        <w:t>综合素质测评模块</w:t>
      </w:r>
      <w:r>
        <w:rPr>
          <w:rFonts w:hint="eastAsia" w:ascii="黑体" w:hAnsi="黑体" w:eastAsia="黑体" w:cs="华文中宋"/>
          <w:bCs/>
          <w:color w:val="000000"/>
          <w:sz w:val="32"/>
          <w:szCs w:val="32"/>
        </w:rPr>
        <w:t>加分标准</w:t>
      </w:r>
    </w:p>
    <w:p w14:paraId="6FC3928A">
      <w:pPr>
        <w:snapToGrid w:val="0"/>
        <w:spacing w:line="560" w:lineRule="exact"/>
        <w:ind w:firstLine="635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综合素质测评模块主要包括本科生在校期间的科研成果、学科竞赛、发明创造、社会服务与社团活动、参军入伍服兵役、到国际组织实习情况等。综合素质测评模块加分累计最高不超过15分。</w:t>
      </w:r>
    </w:p>
    <w:p w14:paraId="3CE463EF">
      <w:pPr>
        <w:snapToGrid w:val="0"/>
        <w:spacing w:before="156" w:beforeLines="50" w:line="460" w:lineRule="exact"/>
        <w:ind w:firstLine="635"/>
        <w:rPr>
          <w:rFonts w:ascii="仿宋" w:hAnsi="仿宋" w:eastAsia="仿宋"/>
          <w:b/>
          <w:bCs/>
          <w:color w:val="000000"/>
          <w:sz w:val="28"/>
          <w:szCs w:val="28"/>
        </w:rPr>
      </w:pPr>
      <w:r>
        <w:rPr>
          <w:rFonts w:ascii="仿宋" w:hAnsi="仿宋" w:eastAsia="仿宋"/>
          <w:b/>
          <w:bCs/>
          <w:color w:val="000000"/>
          <w:sz w:val="28"/>
          <w:szCs w:val="28"/>
        </w:rPr>
        <w:t>1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.科研成果（4</w:t>
      </w:r>
      <w:r>
        <w:rPr>
          <w:rFonts w:ascii="仿宋" w:hAnsi="仿宋" w:eastAsia="仿宋"/>
          <w:b/>
          <w:bCs/>
          <w:color w:val="000000"/>
          <w:sz w:val="28"/>
          <w:szCs w:val="28"/>
        </w:rPr>
        <w:t>.5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分）</w:t>
      </w:r>
    </w:p>
    <w:p w14:paraId="088D7B0F">
      <w:pPr>
        <w:snapToGrid w:val="0"/>
        <w:spacing w:line="560" w:lineRule="exact"/>
        <w:ind w:firstLine="635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以学生第一作者身份（或指导教师第一，其第二）发表论文（第一署名单位为西安电子科技大学），1类贡献度论文计</w:t>
      </w:r>
      <w:r>
        <w:rPr>
          <w:rFonts w:ascii="仿宋_GB2312" w:hAnsi="Helvetica" w:eastAsia="仿宋_GB2312" w:cs="Helvetica"/>
          <w:kern w:val="0"/>
          <w:sz w:val="30"/>
          <w:szCs w:val="30"/>
        </w:rPr>
        <w:t>4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分，2类贡献度论文计</w:t>
      </w:r>
      <w:r>
        <w:rPr>
          <w:rFonts w:ascii="仿宋_GB2312" w:hAnsi="Helvetica" w:eastAsia="仿宋_GB2312" w:cs="Helvetica"/>
          <w:kern w:val="0"/>
          <w:sz w:val="30"/>
          <w:szCs w:val="30"/>
        </w:rPr>
        <w:t>3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分，其它被SCI检索或被顶级会议收录（学院认定）计2分，被EI检索计1分；发表在《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fldChar w:fldCharType="begin"/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instrText xml:space="preserve"> HYPERLINK "https://gr.xidian.edu.cn/system/_content/download.jsp?urltype=news.DownloadAttachUrl&amp;owner=1281831001&amp;wbfileid=1394812" \t "_blank" </w:instrTex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fldChar w:fldCharType="separate"/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西安电子科技大学研究生发表学术论文参考目录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fldChar w:fldCharType="end"/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》规定的非SCI、EI检索的论文计0.8分。同一成果不重复计分，按照最高级别加分。本项累计不超过4.5分。发表（录用）时间截止推免当年8月31日。</w:t>
      </w:r>
    </w:p>
    <w:p w14:paraId="16052A6B">
      <w:pPr>
        <w:snapToGrid w:val="0"/>
        <w:spacing w:before="156" w:beforeLines="50" w:line="460" w:lineRule="exact"/>
        <w:ind w:firstLine="635"/>
        <w:rPr>
          <w:rFonts w:ascii="仿宋" w:hAnsi="仿宋" w:eastAsia="仿宋"/>
          <w:b/>
          <w:bCs/>
          <w:color w:val="000000"/>
          <w:sz w:val="28"/>
          <w:szCs w:val="28"/>
        </w:rPr>
      </w:pPr>
      <w:r>
        <w:rPr>
          <w:rFonts w:ascii="仿宋" w:hAnsi="仿宋" w:eastAsia="仿宋"/>
          <w:b/>
          <w:bCs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.发明创造（</w:t>
      </w:r>
      <w:r>
        <w:rPr>
          <w:rFonts w:ascii="仿宋" w:hAnsi="仿宋" w:eastAsia="仿宋"/>
          <w:b/>
          <w:bCs/>
          <w:color w:val="000000"/>
          <w:sz w:val="28"/>
          <w:szCs w:val="28"/>
        </w:rPr>
        <w:t>3.5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分）</w:t>
      </w:r>
    </w:p>
    <w:p w14:paraId="3789C7AD">
      <w:pPr>
        <w:snapToGrid w:val="0"/>
        <w:spacing w:line="560" w:lineRule="exact"/>
        <w:ind w:firstLine="635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以第一作者身份获得国家发明专利授权每件计</w:t>
      </w:r>
      <w:r>
        <w:rPr>
          <w:rFonts w:ascii="仿宋_GB2312" w:hAnsi="Helvetica" w:eastAsia="仿宋_GB2312" w:cs="Helvetica"/>
          <w:kern w:val="0"/>
          <w:sz w:val="30"/>
          <w:szCs w:val="30"/>
        </w:rPr>
        <w:t>2.5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分(</w:t>
      </w:r>
      <w:r>
        <w:rPr>
          <w:rFonts w:hint="eastAsia" w:ascii="仿宋_GB2312" w:hAnsi="Helvetica" w:eastAsia="仿宋_GB2312" w:cs="Helvetica"/>
          <w:color w:val="000000"/>
          <w:kern w:val="0"/>
          <w:sz w:val="30"/>
          <w:szCs w:val="30"/>
        </w:rPr>
        <w:t>第二、第三作者分别加0</w:t>
      </w:r>
      <w:r>
        <w:rPr>
          <w:rFonts w:ascii="仿宋_GB2312" w:hAnsi="Helvetica" w:eastAsia="仿宋_GB2312" w:cs="Helvetica"/>
          <w:color w:val="000000"/>
          <w:kern w:val="0"/>
          <w:sz w:val="30"/>
          <w:szCs w:val="30"/>
        </w:rPr>
        <w:t>.5</w:t>
      </w:r>
      <w:r>
        <w:rPr>
          <w:rFonts w:hint="eastAsia" w:ascii="仿宋_GB2312" w:hAnsi="Helvetica" w:eastAsia="仿宋_GB2312" w:cs="Helvetica"/>
          <w:color w:val="000000"/>
          <w:kern w:val="0"/>
          <w:sz w:val="30"/>
          <w:szCs w:val="30"/>
        </w:rPr>
        <w:t>分，0</w:t>
      </w:r>
      <w:r>
        <w:rPr>
          <w:rFonts w:ascii="仿宋_GB2312" w:hAnsi="Helvetica" w:eastAsia="仿宋_GB2312" w:cs="Helvetica"/>
          <w:color w:val="000000"/>
          <w:kern w:val="0"/>
          <w:sz w:val="30"/>
          <w:szCs w:val="30"/>
        </w:rPr>
        <w:t>.3</w:t>
      </w:r>
      <w:r>
        <w:rPr>
          <w:rFonts w:hint="eastAsia" w:ascii="仿宋_GB2312" w:hAnsi="Helvetica" w:eastAsia="仿宋_GB2312" w:cs="Helvetica"/>
          <w:color w:val="000000"/>
          <w:kern w:val="0"/>
          <w:sz w:val="30"/>
          <w:szCs w:val="30"/>
        </w:rPr>
        <w:t>分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)，获得实用新型专利授权每件计0.5分，获得软件著作权授权每件计0.</w:t>
      </w:r>
      <w:r>
        <w:rPr>
          <w:rFonts w:ascii="仿宋_GB2312" w:hAnsi="Helvetica" w:eastAsia="仿宋_GB2312" w:cs="Helvetica"/>
          <w:kern w:val="0"/>
          <w:sz w:val="30"/>
          <w:szCs w:val="30"/>
        </w:rPr>
        <w:t>3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分。同一发明创造不重复计分。本项累计不超过3</w:t>
      </w:r>
      <w:r>
        <w:rPr>
          <w:rFonts w:ascii="仿宋_GB2312" w:hAnsi="Helvetica" w:eastAsia="仿宋_GB2312" w:cs="Helvetica"/>
          <w:kern w:val="0"/>
          <w:sz w:val="30"/>
          <w:szCs w:val="30"/>
        </w:rPr>
        <w:t>.5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分，其中实用新型专利和软件著作权两者累计共不超过2分。授权时间截止推免当年8月31日。</w:t>
      </w:r>
    </w:p>
    <w:p w14:paraId="611E767E">
      <w:pPr>
        <w:snapToGrid w:val="0"/>
        <w:spacing w:before="156" w:beforeLines="50" w:line="460" w:lineRule="exact"/>
        <w:ind w:firstLine="635"/>
        <w:rPr>
          <w:rFonts w:ascii="仿宋" w:hAnsi="仿宋" w:eastAsia="仿宋"/>
          <w:b/>
          <w:bCs/>
          <w:color w:val="000000"/>
          <w:sz w:val="28"/>
          <w:szCs w:val="28"/>
        </w:rPr>
      </w:pPr>
      <w:r>
        <w:rPr>
          <w:rFonts w:ascii="仿宋" w:hAnsi="仿宋" w:eastAsia="仿宋"/>
          <w:b/>
          <w:bCs/>
          <w:color w:val="000000"/>
          <w:sz w:val="28"/>
          <w:szCs w:val="28"/>
        </w:rPr>
        <w:t>3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.学科竞赛（</w:t>
      </w:r>
      <w:r>
        <w:rPr>
          <w:rFonts w:ascii="仿宋" w:hAnsi="仿宋" w:eastAsia="仿宋"/>
          <w:b/>
          <w:bCs/>
          <w:color w:val="000000"/>
          <w:sz w:val="28"/>
          <w:szCs w:val="28"/>
        </w:rPr>
        <w:t>4.5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分）</w:t>
      </w:r>
    </w:p>
    <w:p w14:paraId="07AE6968">
      <w:pPr>
        <w:snapToGrid w:val="0"/>
        <w:spacing w:line="460" w:lineRule="exact"/>
        <w:ind w:firstLine="634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学科竞赛包含竞赛项目参见附件2，各级竞赛加分标准为：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708"/>
        <w:gridCol w:w="851"/>
        <w:gridCol w:w="850"/>
        <w:gridCol w:w="851"/>
        <w:gridCol w:w="850"/>
        <w:gridCol w:w="786"/>
        <w:gridCol w:w="810"/>
        <w:gridCol w:w="795"/>
        <w:gridCol w:w="750"/>
        <w:gridCol w:w="687"/>
        <w:gridCol w:w="708"/>
        <w:gridCol w:w="709"/>
      </w:tblGrid>
      <w:tr w14:paraId="063B0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vMerge w:val="restart"/>
            <w:noWrap w:val="0"/>
            <w:vAlign w:val="center"/>
          </w:tcPr>
          <w:p w14:paraId="4978DACB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奖项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 w14:paraId="484A2BF9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国际级</w:t>
            </w:r>
          </w:p>
        </w:tc>
        <w:tc>
          <w:tcPr>
            <w:tcW w:w="3241" w:type="dxa"/>
            <w:gridSpan w:val="4"/>
            <w:noWrap w:val="0"/>
            <w:vAlign w:val="center"/>
          </w:tcPr>
          <w:p w14:paraId="2D49CF8B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国家级</w:t>
            </w:r>
          </w:p>
        </w:tc>
        <w:tc>
          <w:tcPr>
            <w:tcW w:w="2854" w:type="dxa"/>
            <w:gridSpan w:val="4"/>
            <w:noWrap w:val="0"/>
            <w:vAlign w:val="center"/>
          </w:tcPr>
          <w:p w14:paraId="7B673DF8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省级</w:t>
            </w:r>
          </w:p>
        </w:tc>
      </w:tr>
      <w:tr w14:paraId="376A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52" w:type="dxa"/>
            <w:vMerge w:val="continue"/>
            <w:noWrap w:val="0"/>
            <w:vAlign w:val="center"/>
          </w:tcPr>
          <w:p w14:paraId="65B56C80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DBCE1D5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特等</w:t>
            </w:r>
          </w:p>
        </w:tc>
        <w:tc>
          <w:tcPr>
            <w:tcW w:w="851" w:type="dxa"/>
            <w:noWrap w:val="0"/>
            <w:vAlign w:val="center"/>
          </w:tcPr>
          <w:p w14:paraId="68E240B1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一等</w:t>
            </w:r>
          </w:p>
        </w:tc>
        <w:tc>
          <w:tcPr>
            <w:tcW w:w="850" w:type="dxa"/>
            <w:noWrap w:val="0"/>
            <w:vAlign w:val="center"/>
          </w:tcPr>
          <w:p w14:paraId="7C923D16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二等</w:t>
            </w:r>
          </w:p>
        </w:tc>
        <w:tc>
          <w:tcPr>
            <w:tcW w:w="851" w:type="dxa"/>
            <w:noWrap w:val="0"/>
            <w:vAlign w:val="center"/>
          </w:tcPr>
          <w:p w14:paraId="0DED7996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三等</w:t>
            </w:r>
          </w:p>
        </w:tc>
        <w:tc>
          <w:tcPr>
            <w:tcW w:w="850" w:type="dxa"/>
            <w:noWrap w:val="0"/>
            <w:vAlign w:val="center"/>
          </w:tcPr>
          <w:p w14:paraId="7B600B0B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特等</w:t>
            </w:r>
          </w:p>
        </w:tc>
        <w:tc>
          <w:tcPr>
            <w:tcW w:w="786" w:type="dxa"/>
            <w:noWrap w:val="0"/>
            <w:vAlign w:val="center"/>
          </w:tcPr>
          <w:p w14:paraId="530B2419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一等</w:t>
            </w:r>
          </w:p>
        </w:tc>
        <w:tc>
          <w:tcPr>
            <w:tcW w:w="810" w:type="dxa"/>
            <w:noWrap w:val="0"/>
            <w:vAlign w:val="center"/>
          </w:tcPr>
          <w:p w14:paraId="5EC3F2AA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二等</w:t>
            </w:r>
          </w:p>
        </w:tc>
        <w:tc>
          <w:tcPr>
            <w:tcW w:w="795" w:type="dxa"/>
            <w:noWrap w:val="0"/>
            <w:vAlign w:val="center"/>
          </w:tcPr>
          <w:p w14:paraId="2A238FB5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三等</w:t>
            </w:r>
          </w:p>
        </w:tc>
        <w:tc>
          <w:tcPr>
            <w:tcW w:w="750" w:type="dxa"/>
            <w:noWrap w:val="0"/>
            <w:vAlign w:val="center"/>
          </w:tcPr>
          <w:p w14:paraId="57E76E99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特等</w:t>
            </w:r>
          </w:p>
        </w:tc>
        <w:tc>
          <w:tcPr>
            <w:tcW w:w="687" w:type="dxa"/>
            <w:noWrap w:val="0"/>
            <w:vAlign w:val="center"/>
          </w:tcPr>
          <w:p w14:paraId="105DC9C8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一等</w:t>
            </w:r>
          </w:p>
        </w:tc>
        <w:tc>
          <w:tcPr>
            <w:tcW w:w="708" w:type="dxa"/>
            <w:noWrap w:val="0"/>
            <w:vAlign w:val="center"/>
          </w:tcPr>
          <w:p w14:paraId="501B26BE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二等</w:t>
            </w:r>
          </w:p>
        </w:tc>
        <w:tc>
          <w:tcPr>
            <w:tcW w:w="709" w:type="dxa"/>
            <w:noWrap w:val="0"/>
            <w:vAlign w:val="center"/>
          </w:tcPr>
          <w:p w14:paraId="2909A48E">
            <w:pPr>
              <w:spacing w:line="460" w:lineRule="exact"/>
              <w:ind w:left="-84" w:leftChars="-40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三等</w:t>
            </w:r>
          </w:p>
        </w:tc>
      </w:tr>
      <w:tr w14:paraId="4291B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noWrap w:val="0"/>
            <w:vAlign w:val="center"/>
          </w:tcPr>
          <w:p w14:paraId="1E18BEDD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分值</w:t>
            </w:r>
          </w:p>
        </w:tc>
        <w:tc>
          <w:tcPr>
            <w:tcW w:w="708" w:type="dxa"/>
            <w:noWrap w:val="0"/>
            <w:vAlign w:val="center"/>
          </w:tcPr>
          <w:p w14:paraId="0D91187E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noWrap w:val="0"/>
            <w:vAlign w:val="center"/>
          </w:tcPr>
          <w:p w14:paraId="785F9CB7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850" w:type="dxa"/>
            <w:noWrap w:val="0"/>
            <w:vAlign w:val="center"/>
          </w:tcPr>
          <w:p w14:paraId="216B7A55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0.9</w:t>
            </w:r>
          </w:p>
        </w:tc>
        <w:tc>
          <w:tcPr>
            <w:tcW w:w="851" w:type="dxa"/>
            <w:noWrap w:val="0"/>
            <w:vAlign w:val="center"/>
          </w:tcPr>
          <w:p w14:paraId="61CB5425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0" w:type="dxa"/>
            <w:noWrap w:val="0"/>
            <w:vAlign w:val="center"/>
          </w:tcPr>
          <w:p w14:paraId="6A30571A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.8</w:t>
            </w:r>
          </w:p>
        </w:tc>
        <w:tc>
          <w:tcPr>
            <w:tcW w:w="786" w:type="dxa"/>
            <w:noWrap w:val="0"/>
            <w:vAlign w:val="center"/>
          </w:tcPr>
          <w:p w14:paraId="0FE724B9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810" w:type="dxa"/>
            <w:noWrap w:val="0"/>
            <w:vAlign w:val="center"/>
          </w:tcPr>
          <w:p w14:paraId="700E79E9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0.9</w:t>
            </w:r>
          </w:p>
        </w:tc>
        <w:tc>
          <w:tcPr>
            <w:tcW w:w="795" w:type="dxa"/>
            <w:noWrap w:val="0"/>
            <w:vAlign w:val="center"/>
          </w:tcPr>
          <w:p w14:paraId="7A93814F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0.5</w:t>
            </w:r>
          </w:p>
        </w:tc>
        <w:tc>
          <w:tcPr>
            <w:tcW w:w="750" w:type="dxa"/>
            <w:noWrap w:val="0"/>
            <w:vAlign w:val="center"/>
          </w:tcPr>
          <w:p w14:paraId="46ACBB40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687" w:type="dxa"/>
            <w:noWrap w:val="0"/>
            <w:vAlign w:val="center"/>
          </w:tcPr>
          <w:p w14:paraId="4B813027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8" w:type="dxa"/>
            <w:noWrap w:val="0"/>
            <w:vAlign w:val="center"/>
          </w:tcPr>
          <w:p w14:paraId="7C1734E6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noWrap w:val="0"/>
            <w:vAlign w:val="center"/>
          </w:tcPr>
          <w:p w14:paraId="5AFFDFBF">
            <w:pPr>
              <w:snapToGrid w:val="0"/>
              <w:spacing w:line="460" w:lineRule="exact"/>
              <w:ind w:left="-97" w:leftChars="-46" w:right="-122" w:rightChars="-58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</w:tr>
    </w:tbl>
    <w:p w14:paraId="2C9E3D41">
      <w:pPr>
        <w:snapToGrid w:val="0"/>
        <w:spacing w:line="460" w:lineRule="exact"/>
        <w:ind w:firstLine="634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以上团体获奖成员均获得该级别计分。同一项目不重复计分，按照最高级别加分。本项累计不超过</w:t>
      </w:r>
      <w:r>
        <w:rPr>
          <w:rFonts w:ascii="仿宋_GB2312" w:hAnsi="Helvetica" w:eastAsia="仿宋_GB2312" w:cs="Helvetica"/>
          <w:kern w:val="0"/>
          <w:sz w:val="30"/>
          <w:szCs w:val="30"/>
        </w:rPr>
        <w:t>4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.5分。获奖时间截止推免当年8月31日。</w:t>
      </w:r>
    </w:p>
    <w:p w14:paraId="6BF6C8E7">
      <w:pPr>
        <w:snapToGrid w:val="0"/>
        <w:spacing w:line="460" w:lineRule="exact"/>
        <w:ind w:firstLine="634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特别说明：（1）附件2的中国“互联网+”大学生创新创业大赛金奖对应国家级特等奖，银奖对应国家级一等奖，铜奖对应国家级二等奖；（2）附件2中其他竞赛金奖对应一等奖，银奖对应二等奖，铜奖对应三等奖；大学生创新创业项目结题验收，“国家级优秀”对应国家级一等，“国家级合格”对应国家级三等，“省级优秀”对应省一等，“省级合格”对应省级三等；（3）由我校推荐代表我校参加全国体育、文艺等比赛获奖，省级前三名加0.</w:t>
      </w:r>
      <w:r>
        <w:rPr>
          <w:rFonts w:ascii="仿宋_GB2312" w:hAnsi="Helvetica" w:eastAsia="仿宋_GB2312" w:cs="Helvetica"/>
          <w:kern w:val="0"/>
          <w:sz w:val="30"/>
          <w:szCs w:val="30"/>
        </w:rPr>
        <w:t>4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分/项；国家级前三名加</w:t>
      </w:r>
      <w:r>
        <w:rPr>
          <w:rFonts w:ascii="仿宋_GB2312" w:hAnsi="Helvetica" w:eastAsia="仿宋_GB2312" w:cs="Helvetica"/>
          <w:kern w:val="0"/>
          <w:sz w:val="30"/>
          <w:szCs w:val="30"/>
        </w:rPr>
        <w:t>0.8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分/项。</w:t>
      </w:r>
    </w:p>
    <w:p w14:paraId="59BE6AFC">
      <w:pPr>
        <w:snapToGrid w:val="0"/>
        <w:spacing w:before="156" w:beforeLines="50" w:line="460" w:lineRule="exact"/>
        <w:ind w:firstLine="635"/>
        <w:rPr>
          <w:rFonts w:hint="eastAsia" w:ascii="仿宋" w:hAnsi="仿宋" w:eastAsia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4.社会服务和社团活动（</w:t>
      </w:r>
      <w:r>
        <w:rPr>
          <w:rFonts w:ascii="仿宋" w:hAnsi="仿宋" w:eastAsia="仿宋"/>
          <w:b/>
          <w:bCs/>
          <w:color w:val="000000"/>
          <w:sz w:val="28"/>
          <w:szCs w:val="28"/>
        </w:rPr>
        <w:t>2.5</w:t>
      </w: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分）</w:t>
      </w:r>
    </w:p>
    <w:p w14:paraId="40481054">
      <w:pPr>
        <w:snapToGrid w:val="0"/>
        <w:spacing w:line="460" w:lineRule="exact"/>
        <w:ind w:firstLine="634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在社会服务及社团活动中，个人项目被相关教育部门授予国家级奖励（包括优秀学生、优秀学生干部、优秀共产党员、最美大学生、大学生自强之星等，下同）计</w:t>
      </w:r>
      <w:r>
        <w:rPr>
          <w:rFonts w:ascii="仿宋_GB2312" w:hAnsi="Helvetica" w:eastAsia="仿宋_GB2312" w:cs="Helvetica"/>
          <w:kern w:val="0"/>
          <w:sz w:val="30"/>
          <w:szCs w:val="30"/>
        </w:rPr>
        <w:t>2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分，授予省部级奖励计</w:t>
      </w:r>
      <w:r>
        <w:rPr>
          <w:rFonts w:ascii="仿宋_GB2312" w:hAnsi="Helvetica" w:eastAsia="仿宋_GB2312" w:cs="Helvetica"/>
          <w:kern w:val="0"/>
          <w:sz w:val="30"/>
          <w:szCs w:val="30"/>
        </w:rPr>
        <w:t>1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分，授予校级奖励(包括优秀学生标兵、优秀共产党员、优秀共青团员标兵、优秀共青团干部标兵、十佳团支部书记等)计</w:t>
      </w:r>
      <w:r>
        <w:rPr>
          <w:rFonts w:ascii="仿宋_GB2312" w:hAnsi="Helvetica" w:eastAsia="仿宋_GB2312" w:cs="Helvetica"/>
          <w:kern w:val="0"/>
          <w:sz w:val="30"/>
          <w:szCs w:val="30"/>
        </w:rPr>
        <w:t>0.5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分。同一类项目不重复计分，按照最高级别加分。本项累计不超过</w:t>
      </w:r>
      <w:r>
        <w:rPr>
          <w:rFonts w:ascii="仿宋_GB2312" w:hAnsi="Helvetica" w:eastAsia="仿宋_GB2312" w:cs="Helvetica"/>
          <w:kern w:val="0"/>
          <w:sz w:val="30"/>
          <w:szCs w:val="30"/>
        </w:rPr>
        <w:t>2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.5分。获奖时间截止推免当年8月31日。</w:t>
      </w:r>
    </w:p>
    <w:p w14:paraId="7C9B2B71">
      <w:pPr>
        <w:snapToGrid w:val="0"/>
        <w:spacing w:before="156" w:beforeLines="50" w:line="460" w:lineRule="exact"/>
        <w:ind w:firstLine="635"/>
        <w:rPr>
          <w:rFonts w:hint="eastAsia" w:ascii="仿宋" w:hAnsi="仿宋" w:eastAsia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sz w:val="28"/>
          <w:szCs w:val="28"/>
        </w:rPr>
        <w:t>5.在校期间参军入伍服兵役情况（3分）</w:t>
      </w:r>
    </w:p>
    <w:p w14:paraId="55C587B8">
      <w:pPr>
        <w:snapToGrid w:val="0"/>
        <w:spacing w:line="460" w:lineRule="exact"/>
        <w:ind w:firstLine="634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在校期间参军入伍服兵役计3分；同一项目不重复计分，本项累计不超过3分。截止时间为推免当年8月31日。</w:t>
      </w:r>
    </w:p>
    <w:p w14:paraId="7F19F25F">
      <w:pPr>
        <w:snapToGrid w:val="0"/>
        <w:spacing w:line="460" w:lineRule="exact"/>
        <w:ind w:firstLine="600" w:firstLineChars="200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注：（1）</w:t>
      </w:r>
      <w:r>
        <w:rPr>
          <w:rFonts w:ascii="仿宋_GB2312" w:hAnsi="Helvetica" w:eastAsia="仿宋_GB2312" w:cs="Helvetica"/>
          <w:kern w:val="0"/>
          <w:sz w:val="30"/>
          <w:szCs w:val="30"/>
        </w:rPr>
        <w:t>学生与直系亲属或学历、职称、职务明显高于本人者</w:t>
      </w:r>
      <w:r>
        <w:rPr>
          <w:rFonts w:hint="eastAsia" w:ascii="仿宋_GB2312" w:hAnsi="Helvetica" w:eastAsia="仿宋_GB2312" w:cs="Helvetica"/>
          <w:kern w:val="0"/>
          <w:sz w:val="30"/>
          <w:szCs w:val="30"/>
        </w:rPr>
        <w:t>（除指导教师1人之外）</w:t>
      </w:r>
      <w:r>
        <w:rPr>
          <w:rFonts w:ascii="仿宋_GB2312" w:hAnsi="Helvetica" w:eastAsia="仿宋_GB2312" w:cs="Helvetica"/>
          <w:kern w:val="0"/>
          <w:sz w:val="30"/>
          <w:szCs w:val="30"/>
        </w:rPr>
        <w:t>合作的科研成果、竞赛奖项等仅作为参考，不纳入学生本人推免综合素质能力评定的指标体系，同等条件下可优先考虑。</w:t>
      </w:r>
    </w:p>
    <w:p w14:paraId="55CABB0C">
      <w:pPr>
        <w:snapToGrid w:val="0"/>
        <w:spacing w:line="460" w:lineRule="exact"/>
        <w:ind w:firstLine="634"/>
        <w:rPr>
          <w:rFonts w:hint="eastAsia"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（2）1类贡献度论文和2类贡献度论文的范围参见《西安电子科技大学高水平期刊目录（2021年）》</w:t>
      </w:r>
    </w:p>
    <w:p w14:paraId="17FBB42D">
      <w:pPr>
        <w:snapToGrid w:val="0"/>
        <w:spacing w:line="460" w:lineRule="exact"/>
        <w:ind w:firstLine="634"/>
        <w:rPr>
          <w:rFonts w:ascii="仿宋_GB2312" w:hAnsi="Helvetica" w:eastAsia="仿宋_GB2312" w:cs="Helvetica"/>
          <w:kern w:val="0"/>
          <w:sz w:val="30"/>
          <w:szCs w:val="30"/>
        </w:rPr>
      </w:pPr>
      <w:r>
        <w:rPr>
          <w:rFonts w:hint="eastAsia" w:ascii="仿宋_GB2312" w:hAnsi="Helvetica" w:eastAsia="仿宋_GB2312" w:cs="Helvetica"/>
          <w:kern w:val="0"/>
          <w:sz w:val="30"/>
          <w:szCs w:val="30"/>
        </w:rPr>
        <w:t>（3）指导教师为第一作者，学生为第二作者的论文，如果指导教师为本校教师，则需提供该指导教师签字的证明（需说清该生的贡献），并盖所在二级单位的公章；如果指导教师为外单位的，则需要提供该指导教师签字的证明（需说清该生的贡献），并盖该单位的公章或学术委员会公章。</w:t>
      </w:r>
    </w:p>
    <w:p w14:paraId="46D2BE2A">
      <w:bookmarkStart w:id="0" w:name="_GoBack"/>
      <w:bookmarkEnd w:id="0"/>
    </w:p>
    <w:sectPr>
      <w:pgSz w:w="11906" w:h="16838"/>
      <w:pgMar w:top="1191" w:right="1304" w:bottom="1191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lZTQxMTUzYzhlNWQzOTEwOTUyYWZjZjg4NGE2ZjIifQ=="/>
  </w:docVars>
  <w:rsids>
    <w:rsidRoot w:val="00000000"/>
    <w:rsid w:val="07732563"/>
    <w:rsid w:val="7BCD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2371</Words>
  <Characters>2610</Characters>
  <Lines>0</Lines>
  <Paragraphs>0</Paragraphs>
  <TotalTime>0</TotalTime>
  <ScaleCrop>false</ScaleCrop>
  <LinksUpToDate>false</LinksUpToDate>
  <CharactersWithSpaces>2671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2024-09-03T06:24:00Z</dcterms:created>
  <dc:creator>windows</dc:creator>
  <cp:lastModifiedBy>GL</cp:lastModifiedBy>
  <dcterms:modified xsi:type="dcterms:W3CDTF">2024-09-03T06:26:37Z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4652A0DF0E4C46B08C9261460B4E18FC_12</vt:lpwstr>
  </property>
</Properties>
</file>