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169F3E">
      <w:pPr>
        <w:snapToGrid w:val="0"/>
        <w:spacing w:line="400" w:lineRule="exact"/>
        <w:rPr>
          <w:rFonts w:hint="eastAsia" w:ascii="黑体" w:hAnsi="黑体" w:eastAsia="黑体" w:cs="黑体"/>
          <w:bCs/>
          <w:sz w:val="32"/>
          <w:szCs w:val="32"/>
        </w:rPr>
      </w:pPr>
      <w:r>
        <w:rPr>
          <w:rFonts w:hint="eastAsia" w:ascii="黑体" w:hAnsi="黑体" w:eastAsia="黑体" w:cs="黑体"/>
          <w:bCs/>
          <w:sz w:val="32"/>
          <w:szCs w:val="32"/>
        </w:rPr>
        <w:t>附件1</w:t>
      </w:r>
    </w:p>
    <w:p w14:paraId="55DB08BF">
      <w:pPr>
        <w:snapToGrid w:val="0"/>
        <w:spacing w:before="156" w:beforeLines="50" w:line="360" w:lineRule="auto"/>
        <w:jc w:val="center"/>
        <w:rPr>
          <w:rFonts w:hint="eastAsia" w:ascii="黑体" w:hAnsi="黑体" w:eastAsia="黑体" w:cs="华文中宋"/>
          <w:bCs/>
          <w:sz w:val="32"/>
          <w:szCs w:val="32"/>
        </w:rPr>
      </w:pPr>
      <w:bookmarkStart w:id="0" w:name="_GoBack"/>
      <w:r>
        <w:rPr>
          <w:rFonts w:hint="eastAsia" w:ascii="黑体" w:hAnsi="黑体" w:eastAsia="黑体" w:cs="华文中宋"/>
          <w:bCs/>
          <w:sz w:val="32"/>
          <w:szCs w:val="32"/>
        </w:rPr>
        <w:t>综合素质能力认定标准</w:t>
      </w:r>
    </w:p>
    <w:bookmarkEnd w:id="0"/>
    <w:p w14:paraId="69DB6F3D">
      <w:pPr>
        <w:snapToGrid w:val="0"/>
        <w:spacing w:line="560" w:lineRule="exact"/>
        <w:ind w:firstLine="560" w:firstLineChars="200"/>
        <w:rPr>
          <w:rFonts w:hint="eastAsia" w:ascii="仿宋" w:hAnsi="仿宋" w:eastAsia="仿宋" w:cs="仿宋"/>
          <w:sz w:val="28"/>
          <w:szCs w:val="28"/>
        </w:rPr>
      </w:pPr>
      <w:r>
        <w:rPr>
          <w:rFonts w:hint="eastAsia" w:ascii="仿宋" w:hAnsi="仿宋" w:eastAsia="仿宋" w:cs="仿宋"/>
          <w:bCs/>
          <w:color w:val="000000"/>
          <w:sz w:val="28"/>
          <w:szCs w:val="28"/>
        </w:rPr>
        <w:t>综合素质能力认定</w:t>
      </w:r>
      <w:r>
        <w:rPr>
          <w:rFonts w:hint="eastAsia" w:ascii="仿宋" w:hAnsi="仿宋" w:eastAsia="仿宋" w:cs="仿宋"/>
          <w:sz w:val="28"/>
          <w:szCs w:val="28"/>
        </w:rPr>
        <w:t>主要包括本科生在校期间的科研成果、</w:t>
      </w:r>
      <w:r>
        <w:rPr>
          <w:rFonts w:hint="eastAsia" w:ascii="仿宋" w:hAnsi="仿宋" w:eastAsia="仿宋"/>
          <w:sz w:val="28"/>
          <w:szCs w:val="28"/>
        </w:rPr>
        <w:t>增强型课程、</w:t>
      </w:r>
      <w:r>
        <w:rPr>
          <w:rFonts w:hint="eastAsia" w:ascii="仿宋" w:hAnsi="仿宋" w:eastAsia="仿宋" w:cs="仿宋"/>
          <w:sz w:val="28"/>
          <w:szCs w:val="28"/>
        </w:rPr>
        <w:t>学科竞赛、发明创造、班级服务与社团活动、参军入伍服兵役、到国际组织实习情况等。学术成果评定以检索证明为准，发明创造评定以专利授权证书为准，奖项和荣誉评定以获奖文件或荣誉证书为准。</w:t>
      </w:r>
    </w:p>
    <w:p w14:paraId="1149805D">
      <w:pPr>
        <w:snapToGrid w:val="0"/>
        <w:spacing w:line="560" w:lineRule="exact"/>
        <w:ind w:firstLine="635"/>
        <w:rPr>
          <w:rFonts w:hint="eastAsia" w:ascii="仿宋" w:hAnsi="仿宋" w:eastAsia="仿宋" w:cs="仿宋"/>
          <w:sz w:val="28"/>
          <w:szCs w:val="28"/>
        </w:rPr>
      </w:pPr>
      <w:r>
        <w:rPr>
          <w:rFonts w:hint="eastAsia" w:ascii="仿宋" w:hAnsi="仿宋" w:eastAsia="仿宋" w:cs="仿宋"/>
          <w:bCs/>
          <w:color w:val="000000"/>
          <w:sz w:val="28"/>
          <w:szCs w:val="28"/>
        </w:rPr>
        <w:t>综合素质能力认定</w:t>
      </w:r>
      <w:r>
        <w:rPr>
          <w:rFonts w:hint="eastAsia" w:ascii="仿宋" w:hAnsi="仿宋" w:eastAsia="仿宋" w:cs="仿宋"/>
          <w:sz w:val="28"/>
          <w:szCs w:val="28"/>
        </w:rPr>
        <w:t>累计最高不超过15分。</w:t>
      </w:r>
    </w:p>
    <w:p w14:paraId="778AEE1D">
      <w:pPr>
        <w:snapToGrid w:val="0"/>
        <w:spacing w:before="156" w:beforeLines="50" w:line="460" w:lineRule="exact"/>
        <w:ind w:firstLine="635"/>
        <w:rPr>
          <w:rFonts w:hint="eastAsia" w:ascii="仿宋" w:hAnsi="仿宋" w:eastAsia="仿宋" w:cs="仿宋"/>
          <w:b/>
          <w:bCs/>
          <w:sz w:val="28"/>
          <w:szCs w:val="28"/>
        </w:rPr>
      </w:pPr>
      <w:r>
        <w:rPr>
          <w:rFonts w:hint="eastAsia" w:ascii="仿宋" w:hAnsi="仿宋" w:eastAsia="仿宋" w:cs="仿宋"/>
          <w:b/>
          <w:bCs/>
          <w:sz w:val="28"/>
          <w:szCs w:val="28"/>
        </w:rPr>
        <w:t>1.科研成果（4分）</w:t>
      </w:r>
    </w:p>
    <w:p w14:paraId="22169A7B">
      <w:pPr>
        <w:snapToGri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以学生第一作者身份（或指导教师第一，其第二）发表论文，1类贡献度论文计3分，2类贡献度论文计2.5分，其它被SCI检索或被顶级会议收录（学院认定）计2分，被EI检索计1分；发表在《</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"https://gr.xidian.edu.cn/system/_content/download.jsp?urltype=news.DownloadAttachUrl&amp;owner=1281831001&amp;wbfileid=1394812" \t "_blank" </w:instrText>
      </w:r>
      <w:r>
        <w:rPr>
          <w:rFonts w:hint="eastAsia" w:ascii="仿宋" w:hAnsi="仿宋" w:eastAsia="仿宋" w:cs="仿宋"/>
          <w:sz w:val="28"/>
          <w:szCs w:val="28"/>
        </w:rPr>
        <w:fldChar w:fldCharType="separate"/>
      </w:r>
      <w:r>
        <w:rPr>
          <w:rFonts w:hint="eastAsia" w:ascii="仿宋" w:hAnsi="仿宋" w:eastAsia="仿宋" w:cs="仿宋"/>
          <w:sz w:val="28"/>
          <w:szCs w:val="28"/>
        </w:rPr>
        <w:t>西安电子科技大学研究生发表学术论文参考目录</w:t>
      </w:r>
      <w:r>
        <w:rPr>
          <w:rFonts w:hint="eastAsia" w:ascii="仿宋" w:hAnsi="仿宋" w:eastAsia="仿宋" w:cs="仿宋"/>
          <w:sz w:val="28"/>
          <w:szCs w:val="28"/>
        </w:rPr>
        <w:fldChar w:fldCharType="end"/>
      </w:r>
      <w:r>
        <w:rPr>
          <w:rFonts w:hint="eastAsia" w:ascii="仿宋" w:hAnsi="仿宋" w:eastAsia="仿宋" w:cs="仿宋"/>
          <w:sz w:val="28"/>
          <w:szCs w:val="28"/>
        </w:rPr>
        <w:t>》规定的非SCI、EI检索的论文计0.8分。同一成果不重复计分，按照最高级别加分。本项累计不超过4分。发表（录用）时间截止推免当年8月31日。</w:t>
      </w:r>
    </w:p>
    <w:p w14:paraId="4C0B47AC">
      <w:pPr>
        <w:snapToGrid w:val="0"/>
        <w:spacing w:before="156" w:beforeLines="50" w:line="460" w:lineRule="exact"/>
        <w:ind w:firstLine="635"/>
        <w:rPr>
          <w:rFonts w:hint="eastAsia" w:ascii="仿宋" w:hAnsi="仿宋" w:eastAsia="仿宋" w:cs="仿宋"/>
          <w:b/>
          <w:bCs/>
          <w:sz w:val="28"/>
          <w:szCs w:val="28"/>
        </w:rPr>
      </w:pPr>
      <w:r>
        <w:rPr>
          <w:rFonts w:hint="eastAsia" w:ascii="仿宋" w:hAnsi="仿宋" w:eastAsia="仿宋" w:cs="仿宋"/>
          <w:b/>
          <w:bCs/>
          <w:sz w:val="28"/>
          <w:szCs w:val="28"/>
        </w:rPr>
        <w:t>2.发明创造（3分）</w:t>
      </w:r>
    </w:p>
    <w:p w14:paraId="69905662">
      <w:pPr>
        <w:snapToGri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以第一作者身份获得国家发明专利授权计2分，获得实用新型专利授权计0.5分，获得软件著作权授权计0.5分。同一发明创造不重复计分。本项累计不超过3分，其中实用新型专利和软件著作权分别又累计不超过2分。授权时间截止推免当年8月31日。</w:t>
      </w:r>
    </w:p>
    <w:p w14:paraId="2CEC0E5F">
      <w:pPr>
        <w:snapToGrid w:val="0"/>
        <w:spacing w:before="156" w:beforeLines="50" w:line="460" w:lineRule="exact"/>
        <w:ind w:firstLine="635"/>
        <w:rPr>
          <w:rFonts w:hint="eastAsia" w:ascii="仿宋" w:hAnsi="仿宋" w:eastAsia="仿宋" w:cs="仿宋"/>
          <w:b/>
          <w:bCs/>
          <w:sz w:val="28"/>
          <w:szCs w:val="28"/>
        </w:rPr>
      </w:pPr>
      <w:r>
        <w:rPr>
          <w:rFonts w:hint="eastAsia" w:ascii="仿宋" w:hAnsi="仿宋" w:eastAsia="仿宋" w:cs="仿宋"/>
          <w:b/>
          <w:bCs/>
          <w:sz w:val="28"/>
          <w:szCs w:val="28"/>
        </w:rPr>
        <w:t>3.学科竞赛（3.5分）</w:t>
      </w:r>
    </w:p>
    <w:p w14:paraId="1219D24A">
      <w:pPr>
        <w:snapToGrid w:val="0"/>
        <w:spacing w:line="460" w:lineRule="exact"/>
        <w:ind w:firstLine="634"/>
        <w:rPr>
          <w:rFonts w:hint="eastAsia" w:ascii="仿宋" w:hAnsi="仿宋" w:eastAsia="仿宋" w:cs="仿宋"/>
          <w:sz w:val="28"/>
          <w:szCs w:val="28"/>
        </w:rPr>
      </w:pPr>
      <w:r>
        <w:rPr>
          <w:rFonts w:hint="eastAsia" w:ascii="仿宋" w:hAnsi="仿宋" w:eastAsia="仿宋" w:cs="仿宋"/>
          <w:sz w:val="28"/>
          <w:szCs w:val="28"/>
        </w:rPr>
        <w:t>学科竞赛包含竞赛项目参见附件2，各级竞赛加分标准为：</w:t>
      </w:r>
    </w:p>
    <w:tbl>
      <w:tblPr>
        <w:tblStyle w:val="8"/>
        <w:tblW w:w="1020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708"/>
        <w:gridCol w:w="851"/>
        <w:gridCol w:w="850"/>
        <w:gridCol w:w="851"/>
        <w:gridCol w:w="850"/>
        <w:gridCol w:w="786"/>
        <w:gridCol w:w="810"/>
        <w:gridCol w:w="795"/>
        <w:gridCol w:w="750"/>
        <w:gridCol w:w="687"/>
        <w:gridCol w:w="708"/>
        <w:gridCol w:w="709"/>
      </w:tblGrid>
      <w:tr w14:paraId="63EFA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852" w:type="dxa"/>
            <w:vMerge w:val="restart"/>
            <w:noWrap w:val="0"/>
            <w:vAlign w:val="center"/>
          </w:tcPr>
          <w:p w14:paraId="02455FD9">
            <w:pPr>
              <w:snapToGrid w:val="0"/>
              <w:spacing w:line="460" w:lineRule="exact"/>
              <w:jc w:val="center"/>
              <w:rPr>
                <w:rFonts w:hint="eastAsia" w:ascii="仿宋" w:hAnsi="仿宋" w:eastAsia="仿宋" w:cs="仿宋"/>
                <w:sz w:val="28"/>
                <w:szCs w:val="28"/>
              </w:rPr>
            </w:pPr>
            <w:r>
              <w:rPr>
                <w:rFonts w:hint="eastAsia" w:ascii="仿宋" w:hAnsi="仿宋" w:eastAsia="仿宋" w:cs="仿宋"/>
                <w:sz w:val="28"/>
                <w:szCs w:val="28"/>
              </w:rPr>
              <w:t>奖项</w:t>
            </w:r>
          </w:p>
        </w:tc>
        <w:tc>
          <w:tcPr>
            <w:tcW w:w="3260" w:type="dxa"/>
            <w:gridSpan w:val="4"/>
            <w:noWrap w:val="0"/>
            <w:vAlign w:val="center"/>
          </w:tcPr>
          <w:p w14:paraId="2E59D21C">
            <w:pPr>
              <w:snapToGrid w:val="0"/>
              <w:spacing w:line="460" w:lineRule="exact"/>
              <w:jc w:val="center"/>
              <w:rPr>
                <w:rFonts w:hint="eastAsia" w:ascii="仿宋" w:hAnsi="仿宋" w:eastAsia="仿宋" w:cs="仿宋"/>
                <w:b/>
                <w:sz w:val="28"/>
                <w:szCs w:val="28"/>
              </w:rPr>
            </w:pPr>
            <w:r>
              <w:rPr>
                <w:rFonts w:hint="eastAsia" w:ascii="仿宋" w:hAnsi="仿宋" w:eastAsia="仿宋" w:cs="仿宋"/>
                <w:b/>
                <w:sz w:val="28"/>
                <w:szCs w:val="28"/>
              </w:rPr>
              <w:t>国际级</w:t>
            </w:r>
          </w:p>
        </w:tc>
        <w:tc>
          <w:tcPr>
            <w:tcW w:w="3241" w:type="dxa"/>
            <w:gridSpan w:val="4"/>
            <w:noWrap w:val="0"/>
            <w:vAlign w:val="center"/>
          </w:tcPr>
          <w:p w14:paraId="6902FDF5">
            <w:pPr>
              <w:snapToGrid w:val="0"/>
              <w:spacing w:line="460" w:lineRule="exact"/>
              <w:jc w:val="center"/>
              <w:rPr>
                <w:rFonts w:hint="eastAsia" w:ascii="仿宋" w:hAnsi="仿宋" w:eastAsia="仿宋" w:cs="仿宋"/>
                <w:b/>
                <w:sz w:val="28"/>
                <w:szCs w:val="28"/>
              </w:rPr>
            </w:pPr>
            <w:r>
              <w:rPr>
                <w:rFonts w:hint="eastAsia" w:ascii="仿宋" w:hAnsi="仿宋" w:eastAsia="仿宋" w:cs="仿宋"/>
                <w:b/>
                <w:sz w:val="28"/>
                <w:szCs w:val="28"/>
              </w:rPr>
              <w:t>国家级</w:t>
            </w:r>
          </w:p>
        </w:tc>
        <w:tc>
          <w:tcPr>
            <w:tcW w:w="2854" w:type="dxa"/>
            <w:gridSpan w:val="4"/>
            <w:noWrap w:val="0"/>
            <w:vAlign w:val="center"/>
          </w:tcPr>
          <w:p w14:paraId="528716A7">
            <w:pPr>
              <w:snapToGrid w:val="0"/>
              <w:spacing w:line="460" w:lineRule="exact"/>
              <w:jc w:val="center"/>
              <w:rPr>
                <w:rFonts w:hint="eastAsia" w:ascii="仿宋" w:hAnsi="仿宋" w:eastAsia="仿宋" w:cs="仿宋"/>
                <w:b/>
                <w:sz w:val="28"/>
                <w:szCs w:val="28"/>
              </w:rPr>
            </w:pPr>
            <w:r>
              <w:rPr>
                <w:rFonts w:hint="eastAsia" w:ascii="仿宋" w:hAnsi="仿宋" w:eastAsia="仿宋" w:cs="仿宋"/>
                <w:b/>
                <w:sz w:val="28"/>
                <w:szCs w:val="28"/>
              </w:rPr>
              <w:t>省级</w:t>
            </w:r>
          </w:p>
        </w:tc>
      </w:tr>
      <w:tr w14:paraId="0E97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35" w:hRule="atLeast"/>
        </w:trPr>
        <w:tc>
          <w:tcPr>
            <w:tcW w:w="852" w:type="dxa"/>
            <w:vMerge w:val="continue"/>
            <w:noWrap w:val="0"/>
            <w:vAlign w:val="center"/>
          </w:tcPr>
          <w:p w14:paraId="77A38E92">
            <w:pPr>
              <w:snapToGrid w:val="0"/>
              <w:spacing w:line="460" w:lineRule="exact"/>
              <w:jc w:val="center"/>
              <w:rPr>
                <w:rFonts w:hint="eastAsia" w:ascii="仿宋" w:hAnsi="仿宋" w:eastAsia="仿宋" w:cs="仿宋"/>
                <w:sz w:val="28"/>
                <w:szCs w:val="28"/>
              </w:rPr>
            </w:pPr>
          </w:p>
        </w:tc>
        <w:tc>
          <w:tcPr>
            <w:tcW w:w="708" w:type="dxa"/>
            <w:noWrap w:val="0"/>
            <w:vAlign w:val="center"/>
          </w:tcPr>
          <w:p w14:paraId="2EE46B5E">
            <w:pPr>
              <w:spacing w:line="460" w:lineRule="exact"/>
              <w:ind w:left="-84" w:leftChars="-40" w:right="-122" w:rightChars="-58"/>
              <w:jc w:val="center"/>
              <w:rPr>
                <w:rFonts w:hint="eastAsia" w:ascii="仿宋" w:hAnsi="仿宋" w:eastAsia="仿宋" w:cs="仿宋"/>
                <w:sz w:val="28"/>
                <w:szCs w:val="28"/>
              </w:rPr>
            </w:pPr>
            <w:r>
              <w:rPr>
                <w:rFonts w:hint="eastAsia" w:ascii="仿宋" w:hAnsi="仿宋" w:eastAsia="仿宋" w:cs="仿宋"/>
                <w:sz w:val="28"/>
                <w:szCs w:val="28"/>
              </w:rPr>
              <w:t>特等</w:t>
            </w:r>
          </w:p>
        </w:tc>
        <w:tc>
          <w:tcPr>
            <w:tcW w:w="851" w:type="dxa"/>
            <w:noWrap w:val="0"/>
            <w:vAlign w:val="center"/>
          </w:tcPr>
          <w:p w14:paraId="290CEBE9">
            <w:pPr>
              <w:spacing w:line="460" w:lineRule="exact"/>
              <w:ind w:left="-84" w:leftChars="-40" w:right="-122" w:rightChars="-58"/>
              <w:jc w:val="center"/>
              <w:rPr>
                <w:rFonts w:hint="eastAsia" w:ascii="仿宋" w:hAnsi="仿宋" w:eastAsia="仿宋" w:cs="仿宋"/>
                <w:sz w:val="28"/>
                <w:szCs w:val="28"/>
              </w:rPr>
            </w:pPr>
            <w:r>
              <w:rPr>
                <w:rFonts w:hint="eastAsia" w:ascii="仿宋" w:hAnsi="仿宋" w:eastAsia="仿宋" w:cs="仿宋"/>
                <w:sz w:val="28"/>
                <w:szCs w:val="28"/>
              </w:rPr>
              <w:t>一等</w:t>
            </w:r>
          </w:p>
        </w:tc>
        <w:tc>
          <w:tcPr>
            <w:tcW w:w="850" w:type="dxa"/>
            <w:noWrap w:val="0"/>
            <w:vAlign w:val="center"/>
          </w:tcPr>
          <w:p w14:paraId="68075932">
            <w:pPr>
              <w:spacing w:line="460" w:lineRule="exact"/>
              <w:ind w:left="-84" w:leftChars="-40" w:right="-122" w:rightChars="-58"/>
              <w:jc w:val="center"/>
              <w:rPr>
                <w:rFonts w:hint="eastAsia" w:ascii="仿宋" w:hAnsi="仿宋" w:eastAsia="仿宋" w:cs="仿宋"/>
                <w:sz w:val="28"/>
                <w:szCs w:val="28"/>
              </w:rPr>
            </w:pPr>
            <w:r>
              <w:rPr>
                <w:rFonts w:hint="eastAsia" w:ascii="仿宋" w:hAnsi="仿宋" w:eastAsia="仿宋" w:cs="仿宋"/>
                <w:sz w:val="28"/>
                <w:szCs w:val="28"/>
              </w:rPr>
              <w:t>二等</w:t>
            </w:r>
          </w:p>
        </w:tc>
        <w:tc>
          <w:tcPr>
            <w:tcW w:w="851" w:type="dxa"/>
            <w:noWrap w:val="0"/>
            <w:vAlign w:val="center"/>
          </w:tcPr>
          <w:p w14:paraId="0DBCFBC7">
            <w:pPr>
              <w:spacing w:line="460" w:lineRule="exact"/>
              <w:ind w:left="-84" w:leftChars="-40" w:right="-122" w:rightChars="-58"/>
              <w:jc w:val="center"/>
              <w:rPr>
                <w:rFonts w:hint="eastAsia" w:ascii="仿宋" w:hAnsi="仿宋" w:eastAsia="仿宋" w:cs="仿宋"/>
                <w:sz w:val="28"/>
                <w:szCs w:val="28"/>
              </w:rPr>
            </w:pPr>
            <w:r>
              <w:rPr>
                <w:rFonts w:hint="eastAsia" w:ascii="仿宋" w:hAnsi="仿宋" w:eastAsia="仿宋" w:cs="仿宋"/>
                <w:sz w:val="28"/>
                <w:szCs w:val="28"/>
              </w:rPr>
              <w:t>三等</w:t>
            </w:r>
          </w:p>
        </w:tc>
        <w:tc>
          <w:tcPr>
            <w:tcW w:w="850" w:type="dxa"/>
            <w:noWrap w:val="0"/>
            <w:vAlign w:val="center"/>
          </w:tcPr>
          <w:p w14:paraId="7EA53982">
            <w:pPr>
              <w:spacing w:line="460" w:lineRule="exact"/>
              <w:ind w:left="-84" w:leftChars="-40" w:right="-122" w:rightChars="-58"/>
              <w:jc w:val="center"/>
              <w:rPr>
                <w:rFonts w:hint="eastAsia" w:ascii="仿宋" w:hAnsi="仿宋" w:eastAsia="仿宋" w:cs="仿宋"/>
                <w:sz w:val="28"/>
                <w:szCs w:val="28"/>
              </w:rPr>
            </w:pPr>
            <w:r>
              <w:rPr>
                <w:rFonts w:hint="eastAsia" w:ascii="仿宋" w:hAnsi="仿宋" w:eastAsia="仿宋" w:cs="仿宋"/>
                <w:sz w:val="28"/>
                <w:szCs w:val="28"/>
              </w:rPr>
              <w:t>特等</w:t>
            </w:r>
          </w:p>
        </w:tc>
        <w:tc>
          <w:tcPr>
            <w:tcW w:w="786" w:type="dxa"/>
            <w:noWrap w:val="0"/>
            <w:vAlign w:val="center"/>
          </w:tcPr>
          <w:p w14:paraId="779A3697">
            <w:pPr>
              <w:spacing w:line="460" w:lineRule="exact"/>
              <w:ind w:left="-84" w:leftChars="-40" w:right="-122" w:rightChars="-58"/>
              <w:jc w:val="center"/>
              <w:rPr>
                <w:rFonts w:hint="eastAsia" w:ascii="仿宋" w:hAnsi="仿宋" w:eastAsia="仿宋" w:cs="仿宋"/>
                <w:sz w:val="28"/>
                <w:szCs w:val="28"/>
              </w:rPr>
            </w:pPr>
            <w:r>
              <w:rPr>
                <w:rFonts w:hint="eastAsia" w:ascii="仿宋" w:hAnsi="仿宋" w:eastAsia="仿宋" w:cs="仿宋"/>
                <w:sz w:val="28"/>
                <w:szCs w:val="28"/>
              </w:rPr>
              <w:t>一等</w:t>
            </w:r>
          </w:p>
        </w:tc>
        <w:tc>
          <w:tcPr>
            <w:tcW w:w="810" w:type="dxa"/>
            <w:noWrap w:val="0"/>
            <w:vAlign w:val="center"/>
          </w:tcPr>
          <w:p w14:paraId="0778B033">
            <w:pPr>
              <w:spacing w:line="460" w:lineRule="exact"/>
              <w:ind w:left="-84" w:leftChars="-40" w:right="-122" w:rightChars="-58"/>
              <w:jc w:val="center"/>
              <w:rPr>
                <w:rFonts w:hint="eastAsia" w:ascii="仿宋" w:hAnsi="仿宋" w:eastAsia="仿宋" w:cs="仿宋"/>
                <w:sz w:val="28"/>
                <w:szCs w:val="28"/>
              </w:rPr>
            </w:pPr>
            <w:r>
              <w:rPr>
                <w:rFonts w:hint="eastAsia" w:ascii="仿宋" w:hAnsi="仿宋" w:eastAsia="仿宋" w:cs="仿宋"/>
                <w:sz w:val="28"/>
                <w:szCs w:val="28"/>
              </w:rPr>
              <w:t>二等</w:t>
            </w:r>
          </w:p>
        </w:tc>
        <w:tc>
          <w:tcPr>
            <w:tcW w:w="795" w:type="dxa"/>
            <w:noWrap w:val="0"/>
            <w:vAlign w:val="center"/>
          </w:tcPr>
          <w:p w14:paraId="5929ADC7">
            <w:pPr>
              <w:spacing w:line="460" w:lineRule="exact"/>
              <w:ind w:left="-84" w:leftChars="-40" w:right="-122" w:rightChars="-58"/>
              <w:jc w:val="center"/>
              <w:rPr>
                <w:rFonts w:hint="eastAsia" w:ascii="仿宋" w:hAnsi="仿宋" w:eastAsia="仿宋" w:cs="仿宋"/>
                <w:sz w:val="28"/>
                <w:szCs w:val="28"/>
              </w:rPr>
            </w:pPr>
            <w:r>
              <w:rPr>
                <w:rFonts w:hint="eastAsia" w:ascii="仿宋" w:hAnsi="仿宋" w:eastAsia="仿宋" w:cs="仿宋"/>
                <w:sz w:val="28"/>
                <w:szCs w:val="28"/>
              </w:rPr>
              <w:t>三等</w:t>
            </w:r>
          </w:p>
        </w:tc>
        <w:tc>
          <w:tcPr>
            <w:tcW w:w="750" w:type="dxa"/>
            <w:noWrap w:val="0"/>
            <w:vAlign w:val="center"/>
          </w:tcPr>
          <w:p w14:paraId="78F3A2D5">
            <w:pPr>
              <w:spacing w:line="460" w:lineRule="exact"/>
              <w:ind w:left="-84" w:leftChars="-40" w:right="-122" w:rightChars="-58"/>
              <w:jc w:val="center"/>
              <w:rPr>
                <w:rFonts w:hint="eastAsia" w:ascii="仿宋" w:hAnsi="仿宋" w:eastAsia="仿宋" w:cs="仿宋"/>
                <w:sz w:val="28"/>
                <w:szCs w:val="28"/>
              </w:rPr>
            </w:pPr>
            <w:r>
              <w:rPr>
                <w:rFonts w:hint="eastAsia" w:ascii="仿宋" w:hAnsi="仿宋" w:eastAsia="仿宋" w:cs="仿宋"/>
                <w:sz w:val="28"/>
                <w:szCs w:val="28"/>
              </w:rPr>
              <w:t>特等</w:t>
            </w:r>
          </w:p>
        </w:tc>
        <w:tc>
          <w:tcPr>
            <w:tcW w:w="687" w:type="dxa"/>
            <w:noWrap w:val="0"/>
            <w:vAlign w:val="center"/>
          </w:tcPr>
          <w:p w14:paraId="526B7061">
            <w:pPr>
              <w:spacing w:line="460" w:lineRule="exact"/>
              <w:ind w:left="-84" w:leftChars="-40" w:right="-122" w:rightChars="-58"/>
              <w:jc w:val="center"/>
              <w:rPr>
                <w:rFonts w:hint="eastAsia" w:ascii="仿宋" w:hAnsi="仿宋" w:eastAsia="仿宋" w:cs="仿宋"/>
                <w:sz w:val="28"/>
                <w:szCs w:val="28"/>
              </w:rPr>
            </w:pPr>
            <w:r>
              <w:rPr>
                <w:rFonts w:hint="eastAsia" w:ascii="仿宋" w:hAnsi="仿宋" w:eastAsia="仿宋" w:cs="仿宋"/>
                <w:sz w:val="28"/>
                <w:szCs w:val="28"/>
              </w:rPr>
              <w:t>一等</w:t>
            </w:r>
          </w:p>
        </w:tc>
        <w:tc>
          <w:tcPr>
            <w:tcW w:w="708" w:type="dxa"/>
            <w:noWrap w:val="0"/>
            <w:vAlign w:val="center"/>
          </w:tcPr>
          <w:p w14:paraId="4CD1E6F3">
            <w:pPr>
              <w:spacing w:line="460" w:lineRule="exact"/>
              <w:ind w:left="-84" w:leftChars="-40" w:right="-122" w:rightChars="-58"/>
              <w:jc w:val="center"/>
              <w:rPr>
                <w:rFonts w:hint="eastAsia" w:ascii="仿宋" w:hAnsi="仿宋" w:eastAsia="仿宋" w:cs="仿宋"/>
                <w:sz w:val="28"/>
                <w:szCs w:val="28"/>
              </w:rPr>
            </w:pPr>
            <w:r>
              <w:rPr>
                <w:rFonts w:hint="eastAsia" w:ascii="仿宋" w:hAnsi="仿宋" w:eastAsia="仿宋" w:cs="仿宋"/>
                <w:sz w:val="28"/>
                <w:szCs w:val="28"/>
              </w:rPr>
              <w:t>二等</w:t>
            </w:r>
          </w:p>
        </w:tc>
        <w:tc>
          <w:tcPr>
            <w:tcW w:w="709" w:type="dxa"/>
            <w:noWrap w:val="0"/>
            <w:vAlign w:val="center"/>
          </w:tcPr>
          <w:p w14:paraId="10974E06">
            <w:pPr>
              <w:spacing w:line="460" w:lineRule="exact"/>
              <w:ind w:left="-84" w:leftChars="-40" w:right="-122" w:rightChars="-58"/>
              <w:jc w:val="center"/>
              <w:rPr>
                <w:rFonts w:hint="eastAsia" w:ascii="仿宋" w:hAnsi="仿宋" w:eastAsia="仿宋" w:cs="仿宋"/>
                <w:sz w:val="28"/>
                <w:szCs w:val="28"/>
              </w:rPr>
            </w:pPr>
            <w:r>
              <w:rPr>
                <w:rFonts w:hint="eastAsia" w:ascii="仿宋" w:hAnsi="仿宋" w:eastAsia="仿宋" w:cs="仿宋"/>
                <w:sz w:val="28"/>
                <w:szCs w:val="28"/>
              </w:rPr>
              <w:t>三等</w:t>
            </w:r>
          </w:p>
        </w:tc>
      </w:tr>
      <w:tr w14:paraId="7C1FC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852" w:type="dxa"/>
            <w:noWrap w:val="0"/>
            <w:vAlign w:val="center"/>
          </w:tcPr>
          <w:p w14:paraId="476A1843">
            <w:pPr>
              <w:snapToGrid w:val="0"/>
              <w:spacing w:line="460" w:lineRule="exact"/>
              <w:jc w:val="center"/>
              <w:rPr>
                <w:rFonts w:hint="eastAsia" w:ascii="仿宋" w:hAnsi="仿宋" w:eastAsia="仿宋" w:cs="仿宋"/>
                <w:sz w:val="28"/>
                <w:szCs w:val="28"/>
              </w:rPr>
            </w:pPr>
            <w:r>
              <w:rPr>
                <w:rFonts w:hint="eastAsia" w:ascii="仿宋" w:hAnsi="仿宋" w:eastAsia="仿宋" w:cs="仿宋"/>
                <w:sz w:val="28"/>
                <w:szCs w:val="28"/>
              </w:rPr>
              <w:t>分值</w:t>
            </w:r>
          </w:p>
        </w:tc>
        <w:tc>
          <w:tcPr>
            <w:tcW w:w="708" w:type="dxa"/>
            <w:noWrap w:val="0"/>
            <w:vAlign w:val="center"/>
          </w:tcPr>
          <w:p w14:paraId="63571713">
            <w:pPr>
              <w:snapToGrid w:val="0"/>
              <w:spacing w:line="460" w:lineRule="exact"/>
              <w:ind w:left="-97" w:leftChars="-46" w:right="-122" w:rightChars="-58"/>
              <w:jc w:val="center"/>
              <w:rPr>
                <w:rFonts w:hint="eastAsia" w:ascii="仿宋" w:hAnsi="仿宋" w:eastAsia="仿宋" w:cs="仿宋"/>
                <w:sz w:val="28"/>
                <w:szCs w:val="28"/>
              </w:rPr>
            </w:pPr>
            <w:r>
              <w:rPr>
                <w:rFonts w:hint="eastAsia" w:ascii="仿宋" w:hAnsi="仿宋" w:eastAsia="仿宋" w:cs="仿宋"/>
                <w:sz w:val="28"/>
                <w:szCs w:val="28"/>
              </w:rPr>
              <w:t>2</w:t>
            </w:r>
          </w:p>
        </w:tc>
        <w:tc>
          <w:tcPr>
            <w:tcW w:w="851" w:type="dxa"/>
            <w:noWrap w:val="0"/>
            <w:vAlign w:val="center"/>
          </w:tcPr>
          <w:p w14:paraId="5F39F036">
            <w:pPr>
              <w:snapToGrid w:val="0"/>
              <w:spacing w:line="460" w:lineRule="exact"/>
              <w:ind w:left="-97" w:leftChars="-46" w:right="-122" w:rightChars="-58"/>
              <w:jc w:val="center"/>
              <w:rPr>
                <w:rFonts w:hint="eastAsia" w:ascii="仿宋" w:hAnsi="仿宋" w:eastAsia="仿宋" w:cs="仿宋"/>
                <w:sz w:val="28"/>
                <w:szCs w:val="28"/>
              </w:rPr>
            </w:pPr>
            <w:r>
              <w:rPr>
                <w:rFonts w:hint="eastAsia" w:ascii="仿宋" w:hAnsi="仿宋" w:eastAsia="仿宋" w:cs="仿宋"/>
                <w:sz w:val="28"/>
                <w:szCs w:val="28"/>
              </w:rPr>
              <w:t>1.4</w:t>
            </w:r>
          </w:p>
        </w:tc>
        <w:tc>
          <w:tcPr>
            <w:tcW w:w="850" w:type="dxa"/>
            <w:noWrap w:val="0"/>
            <w:vAlign w:val="center"/>
          </w:tcPr>
          <w:p w14:paraId="2D591261">
            <w:pPr>
              <w:snapToGrid w:val="0"/>
              <w:spacing w:line="460" w:lineRule="exact"/>
              <w:ind w:left="-97" w:leftChars="-46" w:right="-122" w:rightChars="-58"/>
              <w:jc w:val="center"/>
              <w:rPr>
                <w:rFonts w:hint="eastAsia" w:ascii="仿宋" w:hAnsi="仿宋" w:eastAsia="仿宋" w:cs="仿宋"/>
                <w:sz w:val="28"/>
                <w:szCs w:val="28"/>
              </w:rPr>
            </w:pPr>
            <w:r>
              <w:rPr>
                <w:rFonts w:hint="eastAsia" w:ascii="仿宋" w:hAnsi="仿宋" w:eastAsia="仿宋" w:cs="仿宋"/>
                <w:sz w:val="28"/>
                <w:szCs w:val="28"/>
              </w:rPr>
              <w:t>0.9</w:t>
            </w:r>
          </w:p>
        </w:tc>
        <w:tc>
          <w:tcPr>
            <w:tcW w:w="851" w:type="dxa"/>
            <w:noWrap w:val="0"/>
            <w:vAlign w:val="center"/>
          </w:tcPr>
          <w:p w14:paraId="558DAEDE">
            <w:pPr>
              <w:snapToGrid w:val="0"/>
              <w:spacing w:line="460" w:lineRule="exact"/>
              <w:ind w:left="-97" w:leftChars="-46" w:right="-122" w:rightChars="-58"/>
              <w:jc w:val="center"/>
              <w:rPr>
                <w:rFonts w:hint="eastAsia" w:ascii="仿宋" w:hAnsi="仿宋" w:eastAsia="仿宋" w:cs="仿宋"/>
                <w:sz w:val="28"/>
                <w:szCs w:val="28"/>
              </w:rPr>
            </w:pPr>
            <w:r>
              <w:rPr>
                <w:rFonts w:hint="eastAsia" w:ascii="仿宋" w:hAnsi="仿宋" w:eastAsia="仿宋" w:cs="仿宋"/>
                <w:sz w:val="28"/>
                <w:szCs w:val="28"/>
              </w:rPr>
              <w:t>0.5</w:t>
            </w:r>
          </w:p>
        </w:tc>
        <w:tc>
          <w:tcPr>
            <w:tcW w:w="850" w:type="dxa"/>
            <w:noWrap w:val="0"/>
            <w:vAlign w:val="center"/>
          </w:tcPr>
          <w:p w14:paraId="657A4148">
            <w:pPr>
              <w:snapToGrid w:val="0"/>
              <w:spacing w:line="460" w:lineRule="exact"/>
              <w:ind w:left="-97" w:leftChars="-46" w:right="-122" w:rightChars="-58"/>
              <w:jc w:val="center"/>
              <w:rPr>
                <w:rFonts w:hint="eastAsia" w:ascii="仿宋" w:hAnsi="仿宋" w:eastAsia="仿宋" w:cs="仿宋"/>
                <w:sz w:val="28"/>
                <w:szCs w:val="28"/>
              </w:rPr>
            </w:pPr>
            <w:r>
              <w:rPr>
                <w:rFonts w:hint="eastAsia" w:ascii="仿宋" w:hAnsi="仿宋" w:eastAsia="仿宋" w:cs="仿宋"/>
                <w:sz w:val="28"/>
                <w:szCs w:val="28"/>
              </w:rPr>
              <w:t>1.8</w:t>
            </w:r>
          </w:p>
        </w:tc>
        <w:tc>
          <w:tcPr>
            <w:tcW w:w="786" w:type="dxa"/>
            <w:noWrap w:val="0"/>
            <w:vAlign w:val="center"/>
          </w:tcPr>
          <w:p w14:paraId="6D022372">
            <w:pPr>
              <w:snapToGrid w:val="0"/>
              <w:spacing w:line="460" w:lineRule="exact"/>
              <w:ind w:left="-97" w:leftChars="-46" w:right="-122" w:rightChars="-58"/>
              <w:jc w:val="center"/>
              <w:rPr>
                <w:rFonts w:hint="eastAsia" w:ascii="仿宋" w:hAnsi="仿宋" w:eastAsia="仿宋" w:cs="仿宋"/>
                <w:sz w:val="28"/>
                <w:szCs w:val="28"/>
              </w:rPr>
            </w:pPr>
            <w:r>
              <w:rPr>
                <w:rFonts w:hint="eastAsia" w:ascii="仿宋" w:hAnsi="仿宋" w:eastAsia="仿宋" w:cs="仿宋"/>
                <w:sz w:val="28"/>
                <w:szCs w:val="28"/>
              </w:rPr>
              <w:t>1.4</w:t>
            </w:r>
          </w:p>
        </w:tc>
        <w:tc>
          <w:tcPr>
            <w:tcW w:w="810" w:type="dxa"/>
            <w:noWrap w:val="0"/>
            <w:vAlign w:val="center"/>
          </w:tcPr>
          <w:p w14:paraId="57E4B9BF">
            <w:pPr>
              <w:snapToGrid w:val="0"/>
              <w:spacing w:line="460" w:lineRule="exact"/>
              <w:ind w:left="-97" w:leftChars="-46" w:right="-122" w:rightChars="-58"/>
              <w:jc w:val="center"/>
              <w:rPr>
                <w:rFonts w:hint="eastAsia" w:ascii="仿宋" w:hAnsi="仿宋" w:eastAsia="仿宋" w:cs="仿宋"/>
                <w:sz w:val="28"/>
                <w:szCs w:val="28"/>
              </w:rPr>
            </w:pPr>
            <w:r>
              <w:rPr>
                <w:rFonts w:hint="eastAsia" w:ascii="仿宋" w:hAnsi="仿宋" w:eastAsia="仿宋" w:cs="仿宋"/>
                <w:sz w:val="28"/>
                <w:szCs w:val="28"/>
              </w:rPr>
              <w:t>0.9</w:t>
            </w:r>
          </w:p>
        </w:tc>
        <w:tc>
          <w:tcPr>
            <w:tcW w:w="795" w:type="dxa"/>
            <w:noWrap w:val="0"/>
            <w:vAlign w:val="center"/>
          </w:tcPr>
          <w:p w14:paraId="7E07351F">
            <w:pPr>
              <w:snapToGrid w:val="0"/>
              <w:spacing w:line="460" w:lineRule="exact"/>
              <w:ind w:left="-97" w:leftChars="-46" w:right="-122" w:rightChars="-58"/>
              <w:jc w:val="center"/>
              <w:rPr>
                <w:rFonts w:hint="eastAsia" w:ascii="仿宋" w:hAnsi="仿宋" w:eastAsia="仿宋" w:cs="仿宋"/>
                <w:sz w:val="28"/>
                <w:szCs w:val="28"/>
              </w:rPr>
            </w:pPr>
            <w:r>
              <w:rPr>
                <w:rFonts w:hint="eastAsia" w:ascii="仿宋" w:hAnsi="仿宋" w:eastAsia="仿宋" w:cs="仿宋"/>
                <w:sz w:val="28"/>
                <w:szCs w:val="28"/>
              </w:rPr>
              <w:t>0.5</w:t>
            </w:r>
          </w:p>
        </w:tc>
        <w:tc>
          <w:tcPr>
            <w:tcW w:w="750" w:type="dxa"/>
            <w:noWrap w:val="0"/>
            <w:vAlign w:val="center"/>
          </w:tcPr>
          <w:p w14:paraId="67538034">
            <w:pPr>
              <w:snapToGrid w:val="0"/>
              <w:spacing w:line="460" w:lineRule="exact"/>
              <w:ind w:left="-97" w:leftChars="-46" w:right="-122" w:rightChars="-58"/>
              <w:jc w:val="center"/>
              <w:rPr>
                <w:rFonts w:hint="eastAsia" w:ascii="仿宋" w:hAnsi="仿宋" w:eastAsia="仿宋" w:cs="仿宋"/>
                <w:sz w:val="28"/>
                <w:szCs w:val="28"/>
              </w:rPr>
            </w:pPr>
            <w:r>
              <w:rPr>
                <w:rFonts w:hint="eastAsia" w:ascii="仿宋" w:hAnsi="仿宋" w:eastAsia="仿宋" w:cs="仿宋"/>
                <w:sz w:val="28"/>
                <w:szCs w:val="28"/>
              </w:rPr>
              <w:t>0.7</w:t>
            </w:r>
          </w:p>
        </w:tc>
        <w:tc>
          <w:tcPr>
            <w:tcW w:w="687" w:type="dxa"/>
            <w:noWrap w:val="0"/>
            <w:vAlign w:val="center"/>
          </w:tcPr>
          <w:p w14:paraId="00D89678">
            <w:pPr>
              <w:snapToGrid w:val="0"/>
              <w:spacing w:line="460" w:lineRule="exact"/>
              <w:ind w:left="-97" w:leftChars="-46" w:right="-122" w:rightChars="-58"/>
              <w:jc w:val="center"/>
              <w:rPr>
                <w:rFonts w:hint="eastAsia" w:ascii="仿宋" w:hAnsi="仿宋" w:eastAsia="仿宋" w:cs="仿宋"/>
                <w:sz w:val="28"/>
                <w:szCs w:val="28"/>
              </w:rPr>
            </w:pPr>
            <w:r>
              <w:rPr>
                <w:rFonts w:hint="eastAsia" w:ascii="仿宋" w:hAnsi="仿宋" w:eastAsia="仿宋" w:cs="仿宋"/>
                <w:sz w:val="28"/>
                <w:szCs w:val="28"/>
              </w:rPr>
              <w:t>0.5</w:t>
            </w:r>
          </w:p>
        </w:tc>
        <w:tc>
          <w:tcPr>
            <w:tcW w:w="708" w:type="dxa"/>
            <w:noWrap w:val="0"/>
            <w:vAlign w:val="center"/>
          </w:tcPr>
          <w:p w14:paraId="7CB91388">
            <w:pPr>
              <w:snapToGrid w:val="0"/>
              <w:spacing w:line="460" w:lineRule="exact"/>
              <w:ind w:left="-97" w:leftChars="-46" w:right="-122" w:rightChars="-58"/>
              <w:jc w:val="center"/>
              <w:rPr>
                <w:rFonts w:hint="eastAsia" w:ascii="仿宋" w:hAnsi="仿宋" w:eastAsia="仿宋" w:cs="仿宋"/>
                <w:sz w:val="28"/>
                <w:szCs w:val="28"/>
              </w:rPr>
            </w:pPr>
            <w:r>
              <w:rPr>
                <w:rFonts w:hint="eastAsia" w:ascii="仿宋" w:hAnsi="仿宋" w:eastAsia="仿宋" w:cs="仿宋"/>
                <w:sz w:val="28"/>
                <w:szCs w:val="28"/>
              </w:rPr>
              <w:t>0.3</w:t>
            </w:r>
          </w:p>
        </w:tc>
        <w:tc>
          <w:tcPr>
            <w:tcW w:w="709" w:type="dxa"/>
            <w:noWrap w:val="0"/>
            <w:vAlign w:val="center"/>
          </w:tcPr>
          <w:p w14:paraId="1B2D1D4F">
            <w:pPr>
              <w:snapToGrid w:val="0"/>
              <w:spacing w:line="460" w:lineRule="exact"/>
              <w:ind w:left="-97" w:leftChars="-46" w:right="-122" w:rightChars="-58"/>
              <w:jc w:val="center"/>
              <w:rPr>
                <w:rFonts w:hint="eastAsia" w:ascii="仿宋" w:hAnsi="仿宋" w:eastAsia="仿宋" w:cs="仿宋"/>
                <w:sz w:val="28"/>
                <w:szCs w:val="28"/>
              </w:rPr>
            </w:pPr>
            <w:r>
              <w:rPr>
                <w:rFonts w:hint="eastAsia" w:ascii="仿宋" w:hAnsi="仿宋" w:eastAsia="仿宋" w:cs="仿宋"/>
                <w:sz w:val="28"/>
                <w:szCs w:val="28"/>
              </w:rPr>
              <w:t>0.2</w:t>
            </w:r>
          </w:p>
        </w:tc>
      </w:tr>
    </w:tbl>
    <w:p w14:paraId="28564124">
      <w:pPr>
        <w:snapToGri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以上团体获奖成员均获得该级别计分。同一项目不重复计分，按照最高级别加分。本项累计不超过3.5分。获奖时间截止推免当年8月31日。</w:t>
      </w:r>
    </w:p>
    <w:p w14:paraId="64CCEBBE">
      <w:pPr>
        <w:snapToGri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特别说明：附件2的中国“互联网+”大学生创新创业大赛金奖对应国家级特等奖，银奖对应国家级一等奖，铜奖对应国家级二等奖；附件2中其他竞赛金奖对应一等奖，银奖对应二等奖，铜奖对应三等奖；大学生创新创业项目结题验收，“国家级优秀”对应国家级一等，“国家级合格”对应国家级三等，“省级优秀”对应省一等，“省级合格”对应省级三等。</w:t>
      </w:r>
    </w:p>
    <w:p w14:paraId="03360664">
      <w:pPr>
        <w:snapToGrid w:val="0"/>
        <w:spacing w:before="156" w:beforeLines="50" w:line="460" w:lineRule="exact"/>
        <w:ind w:firstLine="635"/>
        <w:rPr>
          <w:rFonts w:hint="eastAsia" w:ascii="仿宋" w:hAnsi="仿宋" w:eastAsia="仿宋" w:cs="仿宋"/>
          <w:b/>
          <w:bCs/>
          <w:sz w:val="28"/>
          <w:szCs w:val="28"/>
        </w:rPr>
      </w:pPr>
      <w:r>
        <w:rPr>
          <w:rFonts w:hint="eastAsia" w:ascii="仿宋" w:hAnsi="仿宋" w:eastAsia="仿宋" w:cs="仿宋"/>
          <w:b/>
          <w:bCs/>
          <w:sz w:val="28"/>
          <w:szCs w:val="28"/>
        </w:rPr>
        <w:t>4.班级服务和社团活动（1.5分）</w:t>
      </w:r>
    </w:p>
    <w:p w14:paraId="41CC0053">
      <w:pPr>
        <w:snapToGri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在班级服务及社团活动中，个人项目被相关教育部门授予国家级奖励计1分，授予省部级奖励计0.6分。同一项目不重复计分，按照最高级别加分。本项累计不超过1.5分。获奖时间截止推免当年8月31日。</w:t>
      </w:r>
    </w:p>
    <w:p w14:paraId="389D8B72">
      <w:pPr>
        <w:snapToGrid w:val="0"/>
        <w:spacing w:before="156" w:beforeLines="50" w:line="460" w:lineRule="exact"/>
        <w:ind w:firstLine="635"/>
        <w:rPr>
          <w:rFonts w:hint="eastAsia" w:ascii="仿宋" w:hAnsi="仿宋" w:eastAsia="仿宋" w:cs="仿宋"/>
          <w:b/>
          <w:bCs/>
          <w:sz w:val="28"/>
          <w:szCs w:val="28"/>
        </w:rPr>
      </w:pPr>
      <w:r>
        <w:rPr>
          <w:rFonts w:hint="eastAsia" w:ascii="仿宋" w:hAnsi="仿宋" w:eastAsia="仿宋" w:cs="仿宋"/>
          <w:b/>
          <w:bCs/>
          <w:sz w:val="28"/>
          <w:szCs w:val="28"/>
        </w:rPr>
        <w:t>5.在校期间参军入伍服兵役情况（3分）</w:t>
      </w:r>
    </w:p>
    <w:p w14:paraId="596D2A56">
      <w:pPr>
        <w:snapToGri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在校期间参军入伍服兵役计3分；同一项目不重复计分，本项累计不超过3分。截止时间为推免当年8月31日。</w:t>
      </w:r>
    </w:p>
    <w:p w14:paraId="013C977B">
      <w:pPr>
        <w:snapToGrid w:val="0"/>
        <w:spacing w:line="560" w:lineRule="exact"/>
        <w:ind w:firstLine="560" w:firstLineChars="200"/>
        <w:rPr>
          <w:rFonts w:hint="eastAsia" w:ascii="仿宋" w:hAnsi="仿宋" w:eastAsia="仿宋" w:cs="仿宋"/>
          <w:sz w:val="28"/>
          <w:szCs w:val="28"/>
        </w:rPr>
      </w:pPr>
    </w:p>
    <w:p w14:paraId="4ADDD76B">
      <w:pPr>
        <w:snapToGrid w:val="0"/>
        <w:spacing w:line="56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注：</w:t>
      </w:r>
    </w:p>
    <w:p w14:paraId="59B38F82">
      <w:pPr>
        <w:snapToGri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（1）学生与直系亲属或学历、职称、职务明显高于本人者（除指导教师1人之外）合作的科研成果、竞赛奖项等仅作为参考，不纳入学生本人推免综合素质能力</w:t>
      </w:r>
      <w:r>
        <w:rPr>
          <w:rFonts w:hint="eastAsia" w:ascii="仿宋" w:hAnsi="仿宋" w:eastAsia="仿宋" w:cs="仿宋"/>
          <w:bCs/>
          <w:color w:val="000000"/>
          <w:sz w:val="28"/>
          <w:szCs w:val="28"/>
        </w:rPr>
        <w:t>评定</w:t>
      </w:r>
      <w:r>
        <w:rPr>
          <w:rFonts w:hint="eastAsia" w:ascii="仿宋" w:hAnsi="仿宋" w:eastAsia="仿宋" w:cs="仿宋"/>
          <w:sz w:val="28"/>
          <w:szCs w:val="28"/>
        </w:rPr>
        <w:t>的指标体系，同等条件下可优先考虑。</w:t>
      </w:r>
    </w:p>
    <w:p w14:paraId="523A725C">
      <w:pPr>
        <w:snapToGri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（2）1类贡献度论文和2类贡献度论文的范围参见《西安电子科技大学高水平期刊目录》</w:t>
      </w:r>
    </w:p>
    <w:p w14:paraId="38799AFD">
      <w:pPr>
        <w:snapToGrid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指导教师为第一作者，学生为第二作者的论文，如果指导教师为本校教师，则需提供该指导教师签字的证明（需说明该生的贡献），并盖所在二级单位的公章；如果指导教师为外单位的，则需要提供该指导教师签字的证明（需说明该生的贡献），并盖该单位的公章或学术委员会公章。</w:t>
      </w:r>
    </w:p>
    <w:p w14:paraId="0C3B5181">
      <w:pPr>
        <w:snapToGrid w:val="0"/>
        <w:spacing w:line="560" w:lineRule="exact"/>
        <w:ind w:firstLine="560" w:firstLineChars="200"/>
        <w:rPr>
          <w:rFonts w:hint="eastAsia" w:ascii="仿宋" w:hAnsi="仿宋" w:eastAsia="仿宋"/>
          <w:sz w:val="28"/>
          <w:szCs w:val="28"/>
        </w:rPr>
      </w:pPr>
    </w:p>
    <w:p w14:paraId="10E93B73">
      <w:pPr>
        <w:snapToGrid w:val="0"/>
        <w:spacing w:line="560" w:lineRule="exact"/>
        <w:ind w:firstLine="560" w:firstLineChars="200"/>
        <w:rPr>
          <w:rFonts w:hint="eastAsia" w:ascii="仿宋" w:hAnsi="仿宋" w:eastAsia="仿宋"/>
          <w:sz w:val="28"/>
          <w:szCs w:val="28"/>
        </w:rPr>
        <w:sectPr>
          <w:headerReference r:id="rId3" w:type="default"/>
          <w:pgSz w:w="11906" w:h="16838"/>
          <w:pgMar w:top="1304" w:right="1418" w:bottom="1304" w:left="1418" w:header="851" w:footer="992" w:gutter="0"/>
          <w:cols w:space="720" w:num="1"/>
          <w:docGrid w:type="lines" w:linePitch="312" w:charSpace="0"/>
        </w:sectPr>
      </w:pPr>
    </w:p>
    <w:p w14:paraId="1FE61641">
      <w:pPr>
        <w:snapToGrid w:val="0"/>
        <w:spacing w:line="380" w:lineRule="exact"/>
        <w:rPr>
          <w:rFonts w:hint="eastAsia" w:ascii="黑体" w:hAnsi="黑体" w:eastAsia="黑体" w:cs="黑体"/>
          <w:bCs/>
          <w:sz w:val="32"/>
          <w:szCs w:val="32"/>
        </w:rPr>
      </w:pPr>
      <w:r>
        <w:rPr>
          <w:rFonts w:hint="eastAsia" w:ascii="黑体" w:hAnsi="黑体" w:eastAsia="黑体" w:cs="黑体"/>
          <w:bCs/>
          <w:sz w:val="32"/>
          <w:szCs w:val="32"/>
        </w:rPr>
        <w:t>附件2</w:t>
      </w:r>
    </w:p>
    <w:p w14:paraId="464FDCE3">
      <w:pPr>
        <w:snapToGrid w:val="0"/>
        <w:spacing w:before="156" w:beforeLines="50" w:line="360" w:lineRule="auto"/>
        <w:jc w:val="center"/>
        <w:rPr>
          <w:rFonts w:hint="eastAsia" w:ascii="黑体" w:hAnsi="黑体" w:eastAsia="黑体" w:cs="华文中宋"/>
          <w:bCs/>
          <w:sz w:val="32"/>
          <w:szCs w:val="32"/>
        </w:rPr>
      </w:pPr>
      <w:r>
        <w:rPr>
          <w:rFonts w:hint="eastAsia" w:ascii="黑体" w:hAnsi="黑体" w:eastAsia="黑体" w:cs="华文中宋"/>
          <w:bCs/>
          <w:sz w:val="32"/>
          <w:szCs w:val="32"/>
        </w:rPr>
        <w:t>综合素质能力认定中的学科竞赛项目清单</w:t>
      </w:r>
    </w:p>
    <w:p w14:paraId="11E3668E">
      <w:pPr>
        <w:snapToGrid w:val="0"/>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1.全国大学生光电设计竞赛</w:t>
      </w:r>
    </w:p>
    <w:p w14:paraId="4EE6FCA3">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2.全国大学生电子设计竞赛信息安全技术专题邀请赛</w:t>
      </w:r>
    </w:p>
    <w:p w14:paraId="20644383">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3.全国大学生信息安全竞赛</w:t>
      </w:r>
    </w:p>
    <w:p w14:paraId="0C14F310">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4.全国密码技术竞赛</w:t>
      </w:r>
    </w:p>
    <w:p w14:paraId="4C28990F">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5.全国密码数学挑战赛</w:t>
      </w:r>
    </w:p>
    <w:p w14:paraId="22F7B588">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6.“美亚杯”中国电子数据取证大赛</w:t>
      </w:r>
    </w:p>
    <w:p w14:paraId="271365CB">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7.强网杯全国网络安全挑战赛</w:t>
      </w:r>
    </w:p>
    <w:p w14:paraId="648FCFF3">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8.“网鼎杯”网络安全大赛</w:t>
      </w:r>
    </w:p>
    <w:p w14:paraId="65990DFC">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9.“蓝帽杯”全国大学生网络安全技能大赛</w:t>
      </w:r>
    </w:p>
    <w:p w14:paraId="4647D05B">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10.腾讯信息安全争霸赛新星邀请赛TCTF新星赛</w:t>
      </w:r>
    </w:p>
    <w:p w14:paraId="7D85BBAE">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11.全国大学生电子设计竞赛</w:t>
      </w:r>
    </w:p>
    <w:p w14:paraId="64B466FE">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12.全国大学生电子设计竞赛嵌入式系统专题邀请赛</w:t>
      </w:r>
    </w:p>
    <w:p w14:paraId="64725947">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13.全国大学生电子设计竞赛模拟电子系统专题邀请赛</w:t>
      </w:r>
    </w:p>
    <w:p w14:paraId="577A12C2">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14.全国大学生电子设计竞赛信息科技前沿专题邀请赛</w:t>
      </w:r>
    </w:p>
    <w:p w14:paraId="310074B3">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15.陕西省模拟及模数混合电路应用设计竞赛</w:t>
      </w:r>
    </w:p>
    <w:p w14:paraId="21B3B469">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16.陕西省工科高校校际联赛</w:t>
      </w:r>
    </w:p>
    <w:p w14:paraId="547D5F00">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17.ACM-ICPC国际大学生程序设计竞赛</w:t>
      </w:r>
    </w:p>
    <w:p w14:paraId="5E8B3800">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18.微软“创新杯”全球学生科技大赛</w:t>
      </w:r>
    </w:p>
    <w:p w14:paraId="741CA501">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19.中国大学生程序设计竞赛</w:t>
      </w:r>
    </w:p>
    <w:p w14:paraId="39C85102">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20.中国高校计算机大赛团体程序设计天梯赛</w:t>
      </w:r>
    </w:p>
    <w:p w14:paraId="5DF988C4">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21.陕西省大学生程序设计竞赛</w:t>
      </w:r>
    </w:p>
    <w:p w14:paraId="3D787D53">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22.全国大学生软件创新大赛</w:t>
      </w:r>
    </w:p>
    <w:p w14:paraId="5DFBA318">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23.IEEE全球极限编程大赛</w:t>
      </w:r>
    </w:p>
    <w:p w14:paraId="1AE92B23">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24.中国大学生服务外包创新创业大赛</w:t>
      </w:r>
    </w:p>
    <w:p w14:paraId="756C131A">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25.微信小程序应用开发赛</w:t>
      </w:r>
    </w:p>
    <w:p w14:paraId="4B4C9A10">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26.全国大学生计算机系统能力大赛</w:t>
      </w:r>
    </w:p>
    <w:p w14:paraId="4833D29D">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27.全国大学生机械创新设计大赛</w:t>
      </w:r>
    </w:p>
    <w:p w14:paraId="6427114E">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28.中国大学生工程实践与创新能力大赛</w:t>
      </w:r>
    </w:p>
    <w:p w14:paraId="48E0C322">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29.全国大学生智能汽车竞赛</w:t>
      </w:r>
    </w:p>
    <w:p w14:paraId="7EC61014">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30.“飞思卡尔”杯全国大学生智能机器人大赛</w:t>
      </w:r>
    </w:p>
    <w:p w14:paraId="02241C14">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31.全国机器人锦标赛</w:t>
      </w:r>
    </w:p>
    <w:p w14:paraId="15C7221F">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32.全国大学生机器人电视大赛</w:t>
      </w:r>
    </w:p>
    <w:p w14:paraId="726ED244">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33.陕西省大学生工程制图与3D建模大赛</w:t>
      </w:r>
    </w:p>
    <w:p w14:paraId="08CB86C9">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34.“高教杯”全国大学生先进成图技术与产品信息建模创新大赛</w:t>
      </w:r>
    </w:p>
    <w:p w14:paraId="23970306">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35.全国大学生电子商务“创新、创意及创业”挑战赛</w:t>
      </w:r>
    </w:p>
    <w:p w14:paraId="4525EF6C">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36.全国大学生物流设计大赛</w:t>
      </w:r>
    </w:p>
    <w:p w14:paraId="2D3EB8A0">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37.中国大学生计算机设计大赛</w:t>
      </w:r>
    </w:p>
    <w:p w14:paraId="1015E454">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38.陕西省工业工程创意改善大赛</w:t>
      </w:r>
    </w:p>
    <w:p w14:paraId="4FE2E3F7">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39.美国大学生数学建模竞赛</w:t>
      </w:r>
    </w:p>
    <w:p w14:paraId="3D753682">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40.全国大学生数学建模竞赛</w:t>
      </w:r>
    </w:p>
    <w:p w14:paraId="3A144AF5">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41.全国大学生数学竞赛</w:t>
      </w:r>
    </w:p>
    <w:p w14:paraId="64735CA6">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42.全国大学生统计建模大赛</w:t>
      </w:r>
    </w:p>
    <w:p w14:paraId="654B1FEB">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43.陕西省高等数学竞赛</w:t>
      </w:r>
    </w:p>
    <w:p w14:paraId="6595860E">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44.全国大学生英语竞赛</w:t>
      </w:r>
    </w:p>
    <w:p w14:paraId="3CCC2D55">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45.全国大学生英语演讲大赛（外研社）</w:t>
      </w:r>
    </w:p>
    <w:p w14:paraId="7BEAE3F9">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46.全国大学生英语写作大赛（外研社）</w:t>
      </w:r>
    </w:p>
    <w:p w14:paraId="3FB6333E">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47.全国大学生英语辩论赛（外研社）</w:t>
      </w:r>
    </w:p>
    <w:p w14:paraId="4BDF82D3">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48.全国大学生英语阅读大赛（外研社）</w:t>
      </w:r>
    </w:p>
    <w:p w14:paraId="33F58645">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49.西北高校英文辩论联盟赛</w:t>
      </w:r>
    </w:p>
    <w:p w14:paraId="793A884C">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50.陕西省大学生日语演讲赛</w:t>
      </w:r>
    </w:p>
    <w:p w14:paraId="3F9F0799">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51.“外教社·词达人”杯全国大学生英语词汇能力大赛</w:t>
      </w:r>
    </w:p>
    <w:p w14:paraId="6A4E7EAC">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52.中国大学生物理学术竞赛</w:t>
      </w:r>
    </w:p>
    <w:p w14:paraId="74CDEA83">
      <w:pPr>
        <w:snapToGrid w:val="0"/>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53.其他竞赛</w:t>
      </w:r>
    </w:p>
    <w:sectPr>
      <w:pgSz w:w="11906" w:h="16838"/>
      <w:pgMar w:top="1191" w:right="1304" w:bottom="1191" w:left="130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21BEF">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1MDU1NmExOWJlZmMyNDM2NDRmMTA1NWRlM2M5OTMifQ=="/>
  </w:docVars>
  <w:rsids>
    <w:rsidRoot w:val="00172A27"/>
    <w:rsid w:val="00002039"/>
    <w:rsid w:val="00013870"/>
    <w:rsid w:val="0001680E"/>
    <w:rsid w:val="00055618"/>
    <w:rsid w:val="00060281"/>
    <w:rsid w:val="000604AD"/>
    <w:rsid w:val="00061962"/>
    <w:rsid w:val="00064F6A"/>
    <w:rsid w:val="000666B8"/>
    <w:rsid w:val="00070C25"/>
    <w:rsid w:val="0007443B"/>
    <w:rsid w:val="00077A47"/>
    <w:rsid w:val="00082062"/>
    <w:rsid w:val="00086049"/>
    <w:rsid w:val="00094730"/>
    <w:rsid w:val="00094771"/>
    <w:rsid w:val="00094B77"/>
    <w:rsid w:val="00096C76"/>
    <w:rsid w:val="000A4183"/>
    <w:rsid w:val="000A7DF4"/>
    <w:rsid w:val="000C5ECA"/>
    <w:rsid w:val="000C6247"/>
    <w:rsid w:val="000D1954"/>
    <w:rsid w:val="000D7E66"/>
    <w:rsid w:val="000E195D"/>
    <w:rsid w:val="000E38BA"/>
    <w:rsid w:val="000E504B"/>
    <w:rsid w:val="00100DEA"/>
    <w:rsid w:val="0010164F"/>
    <w:rsid w:val="00104EEE"/>
    <w:rsid w:val="001221DB"/>
    <w:rsid w:val="00131B84"/>
    <w:rsid w:val="00155463"/>
    <w:rsid w:val="00157897"/>
    <w:rsid w:val="00157AE5"/>
    <w:rsid w:val="0017161B"/>
    <w:rsid w:val="00172A22"/>
    <w:rsid w:val="00186862"/>
    <w:rsid w:val="001964A4"/>
    <w:rsid w:val="001A4C80"/>
    <w:rsid w:val="001B0318"/>
    <w:rsid w:val="001B6C8A"/>
    <w:rsid w:val="001B6CCF"/>
    <w:rsid w:val="001D682E"/>
    <w:rsid w:val="001F75C8"/>
    <w:rsid w:val="002161B5"/>
    <w:rsid w:val="0022081B"/>
    <w:rsid w:val="002211E0"/>
    <w:rsid w:val="0024771C"/>
    <w:rsid w:val="0025435F"/>
    <w:rsid w:val="00255DAB"/>
    <w:rsid w:val="00256508"/>
    <w:rsid w:val="00260E91"/>
    <w:rsid w:val="00284217"/>
    <w:rsid w:val="00287A96"/>
    <w:rsid w:val="00296541"/>
    <w:rsid w:val="00296779"/>
    <w:rsid w:val="002A0769"/>
    <w:rsid w:val="002A409C"/>
    <w:rsid w:val="002D0FCB"/>
    <w:rsid w:val="002D3DDB"/>
    <w:rsid w:val="002E4039"/>
    <w:rsid w:val="002F1F18"/>
    <w:rsid w:val="002F253B"/>
    <w:rsid w:val="002F59EF"/>
    <w:rsid w:val="00300942"/>
    <w:rsid w:val="00300CE8"/>
    <w:rsid w:val="003139FE"/>
    <w:rsid w:val="00313A19"/>
    <w:rsid w:val="003235E5"/>
    <w:rsid w:val="00324385"/>
    <w:rsid w:val="003339FB"/>
    <w:rsid w:val="00335AB7"/>
    <w:rsid w:val="003400A6"/>
    <w:rsid w:val="00380462"/>
    <w:rsid w:val="003A5158"/>
    <w:rsid w:val="003B0DD4"/>
    <w:rsid w:val="003B3503"/>
    <w:rsid w:val="003C1FA7"/>
    <w:rsid w:val="003D5F8A"/>
    <w:rsid w:val="003F6226"/>
    <w:rsid w:val="004278F0"/>
    <w:rsid w:val="00427A10"/>
    <w:rsid w:val="00432B6B"/>
    <w:rsid w:val="0044124B"/>
    <w:rsid w:val="00443845"/>
    <w:rsid w:val="004457B7"/>
    <w:rsid w:val="0044655B"/>
    <w:rsid w:val="004546F5"/>
    <w:rsid w:val="00457ED3"/>
    <w:rsid w:val="0048146B"/>
    <w:rsid w:val="00482DB2"/>
    <w:rsid w:val="004A25E3"/>
    <w:rsid w:val="004B73D1"/>
    <w:rsid w:val="004B744D"/>
    <w:rsid w:val="004D748A"/>
    <w:rsid w:val="004E2D50"/>
    <w:rsid w:val="004E6C1C"/>
    <w:rsid w:val="004E6DF8"/>
    <w:rsid w:val="004F2447"/>
    <w:rsid w:val="005004BE"/>
    <w:rsid w:val="00506542"/>
    <w:rsid w:val="00510086"/>
    <w:rsid w:val="005240FB"/>
    <w:rsid w:val="00531B78"/>
    <w:rsid w:val="005352CF"/>
    <w:rsid w:val="00544BEE"/>
    <w:rsid w:val="00550AF4"/>
    <w:rsid w:val="00555BD6"/>
    <w:rsid w:val="0057111C"/>
    <w:rsid w:val="00575C99"/>
    <w:rsid w:val="00576CA7"/>
    <w:rsid w:val="00581DD7"/>
    <w:rsid w:val="00597C1F"/>
    <w:rsid w:val="005B425C"/>
    <w:rsid w:val="005B53EC"/>
    <w:rsid w:val="005D0A10"/>
    <w:rsid w:val="005D34E7"/>
    <w:rsid w:val="005D4E1E"/>
    <w:rsid w:val="005E3E86"/>
    <w:rsid w:val="0060641A"/>
    <w:rsid w:val="00617E58"/>
    <w:rsid w:val="0063176A"/>
    <w:rsid w:val="006717DC"/>
    <w:rsid w:val="00681EAC"/>
    <w:rsid w:val="006864FB"/>
    <w:rsid w:val="006972BD"/>
    <w:rsid w:val="006A0DC9"/>
    <w:rsid w:val="006A59F0"/>
    <w:rsid w:val="006B18BD"/>
    <w:rsid w:val="006D131A"/>
    <w:rsid w:val="006D3626"/>
    <w:rsid w:val="006E60E1"/>
    <w:rsid w:val="007156FE"/>
    <w:rsid w:val="00766169"/>
    <w:rsid w:val="00774A64"/>
    <w:rsid w:val="00785B5F"/>
    <w:rsid w:val="00791D13"/>
    <w:rsid w:val="007923F7"/>
    <w:rsid w:val="007C1B32"/>
    <w:rsid w:val="007C24BF"/>
    <w:rsid w:val="007D0C4D"/>
    <w:rsid w:val="00801789"/>
    <w:rsid w:val="00806F3A"/>
    <w:rsid w:val="00810112"/>
    <w:rsid w:val="00833F01"/>
    <w:rsid w:val="0083552D"/>
    <w:rsid w:val="00851B99"/>
    <w:rsid w:val="00855A6F"/>
    <w:rsid w:val="0087699C"/>
    <w:rsid w:val="00880F3C"/>
    <w:rsid w:val="00886501"/>
    <w:rsid w:val="0088656F"/>
    <w:rsid w:val="00895CFF"/>
    <w:rsid w:val="008A4741"/>
    <w:rsid w:val="008D0338"/>
    <w:rsid w:val="008D5A30"/>
    <w:rsid w:val="008D5C35"/>
    <w:rsid w:val="008D5F47"/>
    <w:rsid w:val="008E0F57"/>
    <w:rsid w:val="008E15FB"/>
    <w:rsid w:val="008E1A54"/>
    <w:rsid w:val="008E60F3"/>
    <w:rsid w:val="008F5AEC"/>
    <w:rsid w:val="00901EFA"/>
    <w:rsid w:val="00902CFD"/>
    <w:rsid w:val="009162C2"/>
    <w:rsid w:val="0092083E"/>
    <w:rsid w:val="00926218"/>
    <w:rsid w:val="0093450B"/>
    <w:rsid w:val="009516B7"/>
    <w:rsid w:val="00957031"/>
    <w:rsid w:val="00964226"/>
    <w:rsid w:val="00980152"/>
    <w:rsid w:val="00995FB8"/>
    <w:rsid w:val="009A477A"/>
    <w:rsid w:val="009A729E"/>
    <w:rsid w:val="009C5C5A"/>
    <w:rsid w:val="009C5CFE"/>
    <w:rsid w:val="009F0192"/>
    <w:rsid w:val="00A24CA2"/>
    <w:rsid w:val="00A268BF"/>
    <w:rsid w:val="00A31DDD"/>
    <w:rsid w:val="00A3667D"/>
    <w:rsid w:val="00A40E6A"/>
    <w:rsid w:val="00A44ACA"/>
    <w:rsid w:val="00A75F18"/>
    <w:rsid w:val="00A82F65"/>
    <w:rsid w:val="00A96EED"/>
    <w:rsid w:val="00AA4BDF"/>
    <w:rsid w:val="00AE6103"/>
    <w:rsid w:val="00AF16F1"/>
    <w:rsid w:val="00AF33BD"/>
    <w:rsid w:val="00B11365"/>
    <w:rsid w:val="00B27CC9"/>
    <w:rsid w:val="00B31ED0"/>
    <w:rsid w:val="00B44B26"/>
    <w:rsid w:val="00B4772A"/>
    <w:rsid w:val="00B50810"/>
    <w:rsid w:val="00B70055"/>
    <w:rsid w:val="00BA1B79"/>
    <w:rsid w:val="00BA5014"/>
    <w:rsid w:val="00BB3AFB"/>
    <w:rsid w:val="00BC69BC"/>
    <w:rsid w:val="00BF3C42"/>
    <w:rsid w:val="00C02FF2"/>
    <w:rsid w:val="00C079FD"/>
    <w:rsid w:val="00C14482"/>
    <w:rsid w:val="00C20749"/>
    <w:rsid w:val="00C3550B"/>
    <w:rsid w:val="00C57978"/>
    <w:rsid w:val="00C6068F"/>
    <w:rsid w:val="00C6281F"/>
    <w:rsid w:val="00C649C1"/>
    <w:rsid w:val="00C86C8C"/>
    <w:rsid w:val="00CA3B02"/>
    <w:rsid w:val="00CA6A45"/>
    <w:rsid w:val="00CB1F5E"/>
    <w:rsid w:val="00CB7766"/>
    <w:rsid w:val="00CD3F1D"/>
    <w:rsid w:val="00CD5036"/>
    <w:rsid w:val="00CD5A75"/>
    <w:rsid w:val="00D044E6"/>
    <w:rsid w:val="00D107E2"/>
    <w:rsid w:val="00D13A1D"/>
    <w:rsid w:val="00D15173"/>
    <w:rsid w:val="00D238D7"/>
    <w:rsid w:val="00D33602"/>
    <w:rsid w:val="00D459E2"/>
    <w:rsid w:val="00D81F38"/>
    <w:rsid w:val="00D875FB"/>
    <w:rsid w:val="00D95088"/>
    <w:rsid w:val="00DA2B54"/>
    <w:rsid w:val="00DB6896"/>
    <w:rsid w:val="00DD07E1"/>
    <w:rsid w:val="00DD1818"/>
    <w:rsid w:val="00DE47D2"/>
    <w:rsid w:val="00E03EDD"/>
    <w:rsid w:val="00E10A3E"/>
    <w:rsid w:val="00E22220"/>
    <w:rsid w:val="00E30C05"/>
    <w:rsid w:val="00E42CA8"/>
    <w:rsid w:val="00E4616F"/>
    <w:rsid w:val="00E50E37"/>
    <w:rsid w:val="00E70F64"/>
    <w:rsid w:val="00E82618"/>
    <w:rsid w:val="00E970D2"/>
    <w:rsid w:val="00EA4F3A"/>
    <w:rsid w:val="00EB38DE"/>
    <w:rsid w:val="00EC3369"/>
    <w:rsid w:val="00EE2516"/>
    <w:rsid w:val="00EE300C"/>
    <w:rsid w:val="00EE7090"/>
    <w:rsid w:val="00EF1669"/>
    <w:rsid w:val="00EF6CE8"/>
    <w:rsid w:val="00F116E4"/>
    <w:rsid w:val="00F41E3D"/>
    <w:rsid w:val="00F43D93"/>
    <w:rsid w:val="00F52044"/>
    <w:rsid w:val="00F8291E"/>
    <w:rsid w:val="00F83E63"/>
    <w:rsid w:val="00F9058E"/>
    <w:rsid w:val="00F9297F"/>
    <w:rsid w:val="00F97450"/>
    <w:rsid w:val="00FA0610"/>
    <w:rsid w:val="00FA2A4F"/>
    <w:rsid w:val="00FD623E"/>
    <w:rsid w:val="00FD7467"/>
    <w:rsid w:val="00FE1129"/>
    <w:rsid w:val="00FE2D74"/>
    <w:rsid w:val="00FE624E"/>
    <w:rsid w:val="00FF0B9E"/>
    <w:rsid w:val="00FF2E02"/>
    <w:rsid w:val="02F025A5"/>
    <w:rsid w:val="05B0531E"/>
    <w:rsid w:val="06DF53BC"/>
    <w:rsid w:val="081566F3"/>
    <w:rsid w:val="09BA2AC6"/>
    <w:rsid w:val="0ABA2D7D"/>
    <w:rsid w:val="0D791728"/>
    <w:rsid w:val="0E8830C5"/>
    <w:rsid w:val="0E9953A0"/>
    <w:rsid w:val="0EF87EFE"/>
    <w:rsid w:val="122939A4"/>
    <w:rsid w:val="168D7DDE"/>
    <w:rsid w:val="1A204CFA"/>
    <w:rsid w:val="1B3D1C0A"/>
    <w:rsid w:val="1BB938CF"/>
    <w:rsid w:val="1DDD5F77"/>
    <w:rsid w:val="22CA2212"/>
    <w:rsid w:val="24463799"/>
    <w:rsid w:val="255F468D"/>
    <w:rsid w:val="259D7FAE"/>
    <w:rsid w:val="330208E5"/>
    <w:rsid w:val="35386E11"/>
    <w:rsid w:val="3BA55E08"/>
    <w:rsid w:val="3D3D64B0"/>
    <w:rsid w:val="418C653B"/>
    <w:rsid w:val="4975126B"/>
    <w:rsid w:val="497672A9"/>
    <w:rsid w:val="50FA189E"/>
    <w:rsid w:val="55502E49"/>
    <w:rsid w:val="5AEF2D3F"/>
    <w:rsid w:val="5C384E7D"/>
    <w:rsid w:val="5C56105A"/>
    <w:rsid w:val="5D9A1FCF"/>
    <w:rsid w:val="755B34B9"/>
    <w:rsid w:val="78F87A16"/>
    <w:rsid w:val="79554972"/>
    <w:rsid w:val="7A6A0EC8"/>
    <w:rsid w:val="7C391148"/>
    <w:rsid w:val="7FE231C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9">
    <w:name w:val="Default Paragraph Font"/>
    <w:semiHidden/>
    <w:uiPriority w:val="0"/>
  </w:style>
  <w:style w:type="table" w:default="1" w:styleId="8">
    <w:name w:val="Normal Table"/>
    <w:unhideWhenUsed/>
    <w:uiPriority w:val="99"/>
    <w:tblPr>
      <w:tblStyle w:val="8"/>
      <w:tblCellMar>
        <w:top w:w="0" w:type="dxa"/>
        <w:left w:w="108" w:type="dxa"/>
        <w:bottom w:w="0" w:type="dxa"/>
        <w:right w:w="108" w:type="dxa"/>
      </w:tblCellMar>
    </w:tblPr>
  </w:style>
  <w:style w:type="paragraph" w:styleId="2">
    <w:name w:val="Date"/>
    <w:basedOn w:val="1"/>
    <w:next w:val="1"/>
    <w:link w:val="11"/>
    <w:uiPriority w:val="0"/>
    <w:pPr>
      <w:ind w:left="100" w:leftChars="2500"/>
    </w:pPr>
  </w:style>
  <w:style w:type="paragraph" w:styleId="3">
    <w:name w:val="Balloon Text"/>
    <w:basedOn w:val="1"/>
    <w:semiHidden/>
    <w:uiPriority w:val="0"/>
    <w:rPr>
      <w:sz w:val="18"/>
      <w:szCs w:val="18"/>
    </w:r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link w:val="12"/>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0"/>
    <w:pPr>
      <w:widowControl/>
      <w:spacing w:before="100" w:beforeLines="0" w:after="100" w:afterLines="0"/>
      <w:jc w:val="left"/>
    </w:pPr>
    <w:rPr>
      <w:rFonts w:ascii="宋体" w:hAnsi="宋体"/>
      <w:color w:val="000000"/>
      <w:kern w:val="0"/>
      <w:sz w:val="24"/>
      <w:szCs w:val="20"/>
    </w:rPr>
  </w:style>
  <w:style w:type="paragraph" w:styleId="7">
    <w:name w:val="Title"/>
    <w:basedOn w:val="1"/>
    <w:next w:val="1"/>
    <w:link w:val="13"/>
    <w:qFormat/>
    <w:uiPriority w:val="0"/>
    <w:pPr>
      <w:spacing w:before="240" w:beforeLines="0" w:after="60" w:afterLines="0"/>
      <w:jc w:val="center"/>
      <w:outlineLvl w:val="0"/>
    </w:pPr>
    <w:rPr>
      <w:rFonts w:ascii="Cambria" w:hAnsi="Cambria"/>
      <w:b/>
      <w:bCs/>
      <w:sz w:val="32"/>
      <w:szCs w:val="32"/>
    </w:rPr>
  </w:style>
  <w:style w:type="character" w:styleId="10">
    <w:name w:val="Hyperlink"/>
    <w:unhideWhenUsed/>
    <w:uiPriority w:val="99"/>
    <w:rPr>
      <w:color w:val="0000FF"/>
      <w:u w:val="single"/>
    </w:rPr>
  </w:style>
  <w:style w:type="character" w:customStyle="1" w:styleId="11">
    <w:name w:val="日期 字符"/>
    <w:link w:val="2"/>
    <w:uiPriority w:val="0"/>
    <w:rPr>
      <w:kern w:val="2"/>
      <w:sz w:val="21"/>
      <w:szCs w:val="24"/>
    </w:rPr>
  </w:style>
  <w:style w:type="character" w:customStyle="1" w:styleId="12">
    <w:name w:val="页眉 字符"/>
    <w:link w:val="5"/>
    <w:uiPriority w:val="0"/>
    <w:rPr>
      <w:kern w:val="2"/>
      <w:sz w:val="18"/>
      <w:szCs w:val="18"/>
    </w:rPr>
  </w:style>
  <w:style w:type="character" w:customStyle="1" w:styleId="13">
    <w:name w:val="标题 字符"/>
    <w:link w:val="7"/>
    <w:uiPriority w:val="0"/>
    <w:rPr>
      <w:rFonts w:ascii="Cambria" w:hAnsi="Cambria" w:eastAsia="宋体"/>
      <w:b/>
      <w:bCs/>
      <w:kern w:val="2"/>
      <w:sz w:val="32"/>
      <w:szCs w:val="32"/>
      <w:lang w:val="en-US" w:eastAsia="zh-CN" w:bidi="ar-SA"/>
    </w:rPr>
  </w:style>
  <w:style w:type="paragraph" w:customStyle="1" w:styleId="14">
    <w:name w:val="Default"/>
    <w:uiPriority w:val="0"/>
    <w:pPr>
      <w:widowControl w:val="0"/>
      <w:autoSpaceDE w:val="0"/>
      <w:autoSpaceDN w:val="0"/>
      <w:adjustRightInd w:val="0"/>
    </w:pPr>
    <w:rPr>
      <w:rFonts w:ascii="仿宋_GB2312" w:eastAsia="仿宋_GB2312" w:cs="仿宋_GB2312"/>
      <w:color w:val="000000"/>
      <w:sz w:val="24"/>
      <w:szCs w:val="24"/>
      <w:lang w:val="en-US" w:eastAsia="zh-CN" w:bidi="ar-SA"/>
    </w:rPr>
  </w:style>
  <w:style w:type="paragraph" w:customStyle="1" w:styleId="15">
    <w:name w:val="p0"/>
    <w:basedOn w:val="1"/>
    <w:uiPriority w:val="0"/>
    <w:pPr>
      <w:widowControl/>
    </w:pPr>
    <w:rPr>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4536</Words>
  <Characters>4790</Characters>
  <Lines>139</Lines>
  <Paragraphs>166</Paragraphs>
  <TotalTime>13</TotalTime>
  <ScaleCrop>false</ScaleCrop>
  <LinksUpToDate>false</LinksUpToDate>
  <CharactersWithSpaces>4851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2021-12-14T08:07:00Z</dcterms:created>
  <dc:creator>微软用户</dc:creator>
  <cp:lastModifiedBy>吕强</cp:lastModifiedBy>
  <cp:lastPrinted>2019-07-13T09:48:00Z</cp:lastPrinted>
  <dcterms:modified xsi:type="dcterms:W3CDTF">2026-03-27T08:30:07Z</dcterms:modified>
  <dc:title>西安电子科技大学推荐优秀应届本科毕业生免试攻读硕士学位研究生工作实施办法（讨论稿）</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5A6FC6DD382A4A1B9425401186E6B756_13</vt:lpwstr>
  </property>
  <property fmtid="{D5CDD505-2E9C-101B-9397-08002B2CF9AE}" pid="4" name="KSOTemplateDocerSaveRecord">
    <vt:lpwstr>eyJoZGlkIjoiY2RkMWI3YWY0NTg3MzZkOGE2ZDJmODgwMGIyMTJlZGYiLCJ1c2VySWQiOiIyNjcxMjI5ODUifQ==</vt:lpwstr>
  </property>
</Properties>
</file>