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9B018" w14:textId="77777777" w:rsidR="00E920AA" w:rsidRPr="00E920AA" w:rsidRDefault="00E920AA" w:rsidP="00E920AA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kern w:val="0"/>
          <w:sz w:val="42"/>
          <w:szCs w:val="42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 w:val="42"/>
          <w:szCs w:val="42"/>
          <w14:ligatures w14:val="none"/>
        </w:rPr>
        <w:t>培养方案</w:t>
      </w:r>
    </w:p>
    <w:p w14:paraId="3885470F" w14:textId="77777777" w:rsidR="00E920AA" w:rsidRPr="00E920AA" w:rsidRDefault="00E920AA" w:rsidP="00E920AA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999999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999999"/>
          <w:kern w:val="0"/>
          <w:szCs w:val="21"/>
          <w14:ligatures w14:val="none"/>
        </w:rPr>
        <w:t>发布时间：2018-10-03     作者：     浏览量：5645</w:t>
      </w:r>
    </w:p>
    <w:p w14:paraId="6C03E915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药  学</w:t>
      </w:r>
    </w:p>
    <w:p w14:paraId="6D11B446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培养目标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本专业培养德、智、体、美全面发展，掌握药学的基本理论、基本知识和基本技能，熟悉生物医学的基本理论知识和技能；具有良好的职业道德、文化素质、专业素质和心理素质；富有创新精神和社会责任感；具备从事药学行业工作的专业技能、科研能力、沟通交流能力和发展潜力，能够在医药相关领域从事药学专业技术、药品监督管理、药学教育等工作的高级药学专门人才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主干学科与相关学科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主干学科：药学、化学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相关学科：生物医学、生物学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专业主干课程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细胞生物学、人体解剖学、生物化学、生理学、病理学、微生物学与免疫学、生药学、药理学、药物化学、药剂学、波谱解析、药用植物学、天然药物化学、药物分析学、药事管理学等。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主要实践环节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药学野外实习、医院与药厂实习、毕业论文（设计）、社会实践等。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学制与学位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学制四年，理学学士学位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毕业条件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lastRenderedPageBreak/>
        <w:t xml:space="preserve">　　学生毕业要求完成170学分（课内）+8学分（课外），其中必修115学分、选修36学分、集中实践19学分，课外实践8学分。并且军事训练考核合格，通过全国英语四级考试，通过《国家学生体质健康标准》测试，方可获得毕业证和学位证。</w:t>
      </w:r>
    </w:p>
    <w:p w14:paraId="5B3DE620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70B24DD6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选课说明及要求</w:t>
      </w:r>
    </w:p>
    <w:p w14:paraId="03610062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1.关于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通识类课程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分层次教学的说明及要求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1）大学计算机基础：根据医学教育的要求，选择所需层次，必修3学分。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2）大学英语：学生入校后，首先参加校内英语水平考试，根据成绩进行分层次教学,第一学年大学英语（Ⅱ、Ⅲ、Ⅳ）必修6学分，分两学期教学；第二学年选修任选4学分，其中第一学年末未通过CET-4者必选《高级英语》。专业教育中开设两门适合双语教学的课程，以提高学生专业英语水平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2.关于基础通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识类核心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课程和选修课程的说明及要求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1）基础通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识类核心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课程：学校围绕大学生综合素质的培养，设置了自然科学与技术、文化传承、社会与艺术、生命与环境、世界文明五类核心课程，医学类学生要求在自然科学与技术、文化传承、社会与艺术3类课程中各选1门，并至少完成6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2）基础通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识类选修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课程：任选6学分。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3.关于模块选修课程的说明及要求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培养方案在设置必修课程的同时，设置了一定的专业选修课程，学生在选课时应处理好必修与选修的关系，每学期必修和选修课程总学分控制在25学分以内为宜。方案设置的模块选修课程的学分为最低要求。其中专业基础课程模块选修指导性建议如下：《计算机程序设计》、《医学实用软件（统计分析）》选修1.5学分；《药物经济学》、《现代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lastRenderedPageBreak/>
        <w:t>企业管理》选修1.5学分；《临床医学概论》选修3学分；《病理生理学》、《化学制药工艺学》、《药品营销学》选修2学分。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4.关于集中实践的说明及要求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本专业集中实践环节主要设置有《电工实习》、《药学野外实习》、《医院与药厂实习》、《毕业论文（设计）》等环节，其中《药学野外实习》、《医院与药厂实习》分别在第四、第六学期暑假完成。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5.关于课外8学分的说明及要求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课外8学分按学生处的安排意见执行。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6.双语课程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每个学生至少修读两门双语课程。</w:t>
      </w:r>
    </w:p>
    <w:p w14:paraId="3B5869F9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49E63C0A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课程体系</w:t>
      </w:r>
    </w:p>
    <w:p w14:paraId="209A2985" w14:textId="14F91B34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lastRenderedPageBreak/>
        <w:drawing>
          <wp:inline distT="0" distB="0" distL="0" distR="0" wp14:anchorId="02A5F9A5" wp14:editId="56F1CAAC">
            <wp:extent cx="5274310" cy="539559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9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55379DA5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课程设置</w:t>
      </w:r>
    </w:p>
    <w:p w14:paraId="51A7A3F9" w14:textId="4B073EE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lastRenderedPageBreak/>
        <w:drawing>
          <wp:inline distT="0" distB="0" distL="0" distR="0" wp14:anchorId="3466D78E" wp14:editId="6DFE2CBD">
            <wp:extent cx="3314065" cy="8863330"/>
            <wp:effectExtent l="0" t="0" r="63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6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A69EA" w14:textId="77777777" w:rsidR="00E920AA" w:rsidRPr="00E920AA" w:rsidRDefault="00E920AA" w:rsidP="00E920AA">
      <w:pPr>
        <w:widowControl/>
        <w:shd w:val="clear" w:color="auto" w:fill="FFFFFF"/>
        <w:spacing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lastRenderedPageBreak/>
        <w:t> </w:t>
      </w:r>
    </w:p>
    <w:p w14:paraId="6CCE0368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指导性教学计划</w:t>
      </w:r>
    </w:p>
    <w:p w14:paraId="36659EF9" w14:textId="63D7CCAA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drawing>
          <wp:inline distT="0" distB="0" distL="0" distR="0" wp14:anchorId="6868274C" wp14:editId="392BE408">
            <wp:extent cx="5274310" cy="60667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08966" w14:textId="77777777" w:rsidR="00E920AA" w:rsidRPr="00E920AA" w:rsidRDefault="00E920AA" w:rsidP="00E920AA">
      <w:pPr>
        <w:widowControl/>
        <w:shd w:val="clear" w:color="auto" w:fill="FFFFFF"/>
        <w:spacing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0AF4112F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指导性教学计划</w:t>
      </w:r>
    </w:p>
    <w:p w14:paraId="5043E6C1" w14:textId="5ED8709B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lastRenderedPageBreak/>
        <w:drawing>
          <wp:inline distT="0" distB="0" distL="0" distR="0" wp14:anchorId="7EB86EBD" wp14:editId="56F3B7A1">
            <wp:extent cx="5274310" cy="41948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9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85A2C" w14:textId="77777777" w:rsidR="00E920AA" w:rsidRPr="00E920AA" w:rsidRDefault="00E920AA" w:rsidP="00E920AA">
      <w:pPr>
        <w:widowControl/>
        <w:shd w:val="clear" w:color="auto" w:fill="FFFFFF"/>
        <w:spacing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6DA81E93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制药工程</w:t>
      </w:r>
    </w:p>
    <w:p w14:paraId="65A9F060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培养目标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本专业培养德、智、体、美全面发展，掌握化学、药学及工程学的基本理论、基本知识和基本技能；掌握化学药物和天然药物设计、制备和生产的基本理论与技术；具备化学药物及中药研究与开发、生产过程控制与管理的基本能力；富有创新精神和社会责任感，能够在医药相关机构从事药物研究与开发、生产过程控制、药品质量检验、药品经营与管理等工作的高级制药工程专门人才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主干学科与相关学科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主干学科：化学、药学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lastRenderedPageBreak/>
        <w:t xml:space="preserve">　　相关学科：生物学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专业主干课程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化工原理、药物合成反应、生物化学、药物化学、天然药物化学、药理学、工业药剂学、工业药物分析、药事管理与法规、制药工程学、制药工艺学等。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主要实践环节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电工实习、科研训练、课程设计及药厂实习、毕业设计（论文）、社会实践等。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学制与学位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学制四年，工学学士学位。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</w: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毕业条件 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学生毕业要求完成170学分（课内）+8学分（课外），其中必修124学分、选修28学分、集中实践18学分，课外实践8学分。并且军事训练考核合格，通过全国英语四级考试，通过《国家学生体质健康标准》测试，方可获得毕业证和学位证。</w:t>
      </w:r>
    </w:p>
    <w:p w14:paraId="43778032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选课说明及要求</w:t>
      </w:r>
    </w:p>
    <w:p w14:paraId="5A7DD887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1、关于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通识类课程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分层次教学的说明及要求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1）大学计算机基础：根据医学教育的要求，选择所需层次，必修3学分。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2）大学英语：学生入校后，首先参加校内英语水平考试，根据成绩进行分层次教学,第一学年大学英语（Ⅱ、Ⅲ、Ⅳ）必修6学分，分两学期教学；第二学年选修任选4学分，其中第一学年末未通过CET-4者必选《高级英语》。专业教育中开设两门适合双语教学的课程，以提高学生专业英语水平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2、关于基础通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识类核心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课程和选修课程的说明及要求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1）基础通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识类核心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课程：学校围绕大学生综合素质的培养，设置了自然科学与技术、文化传承、社会与艺术、生命与环境、世界文明五类核心课程，医学类学生要求在自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lastRenderedPageBreak/>
        <w:t>然科学与技术、文化传承、社会与艺术3类课程中各选1门，并至少完　成6学分。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2）基础通</w:t>
      </w:r>
      <w:proofErr w:type="gramStart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识类选修</w:t>
      </w:r>
      <w:proofErr w:type="gramEnd"/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课程：任选6学分。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3、关于模块选修课程的说明及要求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培养方案在设置必修课程的同时，设置了一定的专业选修课程，学生在选课时应处理好必修与选修的关系，每学期必修和选修课程总学分控制在25学分以内为宜。方案设置的模块选修课程的学分为最低要求。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4、关于集中实践的说明与要求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本专业集中实践环节主要设置有《电工实习》、《药厂实习》、《毕业设计（论文）》等环节，其中《药厂实习》在第六学期暑假完成。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5、关于课外8学分的说明及要求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课外8学分按学生处的安排意见执行。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>6、双语课程</w:t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br/>
        <w:t xml:space="preserve">　　每个学生至少修读两门双语课程。</w:t>
      </w:r>
    </w:p>
    <w:p w14:paraId="28E88F22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课程体系</w:t>
      </w:r>
    </w:p>
    <w:p w14:paraId="7CC7C7E4" w14:textId="7C6A4C08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lastRenderedPageBreak/>
        <w:drawing>
          <wp:inline distT="0" distB="0" distL="0" distR="0" wp14:anchorId="047D4A97" wp14:editId="265DED6E">
            <wp:extent cx="5274310" cy="56292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174C6D0B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69FFF22B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课程设置</w:t>
      </w:r>
    </w:p>
    <w:p w14:paraId="1AFA5E26" w14:textId="31333ABC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lastRenderedPageBreak/>
        <w:drawing>
          <wp:inline distT="0" distB="0" distL="0" distR="0" wp14:anchorId="55A33522" wp14:editId="20B74087">
            <wp:extent cx="3411855" cy="88633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A9B51" w14:textId="77777777" w:rsidR="00E920AA" w:rsidRPr="00E920AA" w:rsidRDefault="00E920AA" w:rsidP="00E920AA">
      <w:pPr>
        <w:widowControl/>
        <w:shd w:val="clear" w:color="auto" w:fill="FFFFFF"/>
        <w:spacing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lastRenderedPageBreak/>
        <w:t>  </w:t>
      </w:r>
    </w:p>
    <w:p w14:paraId="56253F27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指导性教学计划</w:t>
      </w:r>
    </w:p>
    <w:p w14:paraId="6DF49501" w14:textId="089D4D93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drawing>
          <wp:inline distT="0" distB="0" distL="0" distR="0" wp14:anchorId="713A2E9E" wp14:editId="55110297">
            <wp:extent cx="5274310" cy="64528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5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53F66" w14:textId="77777777" w:rsidR="00E920AA" w:rsidRPr="00E920AA" w:rsidRDefault="00E920AA" w:rsidP="00E920AA">
      <w:pPr>
        <w:widowControl/>
        <w:shd w:val="clear" w:color="auto" w:fill="FFFFFF"/>
        <w:spacing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 </w:t>
      </w:r>
    </w:p>
    <w:p w14:paraId="735E0597" w14:textId="77777777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b/>
          <w:bCs/>
          <w:color w:val="333333"/>
          <w:kern w:val="0"/>
          <w:szCs w:val="21"/>
          <w14:ligatures w14:val="none"/>
        </w:rPr>
        <w:t>指导性教学计划</w:t>
      </w:r>
    </w:p>
    <w:p w14:paraId="79097461" w14:textId="62734DE2" w:rsidR="00E920AA" w:rsidRPr="00E920AA" w:rsidRDefault="00E920AA" w:rsidP="00E920AA">
      <w:pPr>
        <w:widowControl/>
        <w:shd w:val="clear" w:color="auto" w:fill="FFFFFF"/>
        <w:spacing w:after="150" w:line="480" w:lineRule="auto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/>
          <w:noProof/>
          <w:color w:val="333333"/>
          <w:kern w:val="0"/>
          <w:szCs w:val="21"/>
          <w14:ligatures w14:val="none"/>
        </w:rPr>
        <w:lastRenderedPageBreak/>
        <w:drawing>
          <wp:inline distT="0" distB="0" distL="0" distR="0" wp14:anchorId="601B585C" wp14:editId="734613D2">
            <wp:extent cx="5274310" cy="461391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1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29742" w14:textId="77777777" w:rsidR="00E920AA" w:rsidRPr="00E920AA" w:rsidRDefault="00E920AA" w:rsidP="00E920AA">
      <w:pPr>
        <w:widowControl/>
        <w:shd w:val="clear" w:color="auto" w:fill="FFFFFF"/>
        <w:spacing w:line="480" w:lineRule="auto"/>
        <w:jc w:val="left"/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</w:pPr>
      <w:r w:rsidRPr="00E920AA">
        <w:rPr>
          <w:rFonts w:ascii="微软雅黑" w:eastAsia="微软雅黑" w:hAnsi="微软雅黑" w:cs="宋体" w:hint="eastAsia"/>
          <w:color w:val="333333"/>
          <w:kern w:val="0"/>
          <w:szCs w:val="21"/>
          <w14:ligatures w14:val="none"/>
        </w:rPr>
        <w:t> </w:t>
      </w:r>
    </w:p>
    <w:p w14:paraId="7F20C4C5" w14:textId="77777777" w:rsidR="0097113C" w:rsidRDefault="0097113C"/>
    <w:sectPr w:rsidR="009711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AA"/>
    <w:rsid w:val="002A5257"/>
    <w:rsid w:val="0097113C"/>
    <w:rsid w:val="00B547BA"/>
    <w:rsid w:val="00C16B8A"/>
    <w:rsid w:val="00E920AA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41C5A"/>
  <w15:chartTrackingRefBased/>
  <w15:docId w15:val="{A5B70132-EA5E-4E92-84EF-258F188F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0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E920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9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959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1013</Words>
  <Characters>1469</Characters>
  <Application>Microsoft Office Word</Application>
  <DocSecurity>0</DocSecurity>
  <Lines>367</Lines>
  <Paragraphs>225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1</cp:revision>
  <dcterms:created xsi:type="dcterms:W3CDTF">2026-05-20T08:35:00Z</dcterms:created>
  <dcterms:modified xsi:type="dcterms:W3CDTF">2026-05-20T08:36:00Z</dcterms:modified>
</cp:coreProperties>
</file>