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52E11">
      <w:pPr>
        <w:widowControl/>
        <w:snapToGrid w:val="0"/>
        <w:spacing w:line="520" w:lineRule="exact"/>
        <w:jc w:val="left"/>
        <w:rPr>
          <w:rFonts w:eastAsia="方正黑体_GBK"/>
          <w:sz w:val="28"/>
          <w:szCs w:val="28"/>
        </w:rPr>
      </w:pPr>
      <w:r>
        <w:rPr>
          <w:rFonts w:hint="eastAsia" w:eastAsia="方正黑体_GBK"/>
          <w:sz w:val="28"/>
          <w:szCs w:val="28"/>
        </w:rPr>
        <w:t>附件1</w:t>
      </w:r>
    </w:p>
    <w:p w14:paraId="445187DB">
      <w:pPr>
        <w:spacing w:line="560" w:lineRule="atLeast"/>
        <w:jc w:val="center"/>
        <w:rPr>
          <w:rFonts w:eastAsia="方正小标宋_GBK"/>
          <w:sz w:val="30"/>
          <w:szCs w:val="30"/>
        </w:rPr>
      </w:pPr>
      <w:bookmarkStart w:id="0" w:name="_Hlk22039367"/>
      <w:r>
        <w:rPr>
          <w:rFonts w:eastAsia="方正小标宋_GBK"/>
          <w:bCs/>
          <w:sz w:val="30"/>
          <w:szCs w:val="30"/>
        </w:rPr>
        <w:t>重庆交通大学</w:t>
      </w:r>
      <w:r>
        <w:rPr>
          <w:rFonts w:hint="eastAsia" w:eastAsia="方正小标宋_GBK"/>
          <w:bCs/>
          <w:sz w:val="30"/>
          <w:szCs w:val="30"/>
          <w:lang w:val="en-US" w:eastAsia="zh-CN"/>
        </w:rPr>
        <w:t>数学与统计</w:t>
      </w:r>
      <w:r>
        <w:rPr>
          <w:rFonts w:eastAsia="方正小标宋_GBK"/>
          <w:bCs/>
          <w:sz w:val="30"/>
          <w:szCs w:val="30"/>
        </w:rPr>
        <w:t>学院推荐免试攻读研究生奖励加分标准</w:t>
      </w:r>
    </w:p>
    <w:bookmarkEnd w:id="0"/>
    <w:tbl>
      <w:tblPr>
        <w:tblStyle w:val="3"/>
        <w:tblW w:w="14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
        <w:gridCol w:w="703"/>
        <w:gridCol w:w="2266"/>
        <w:gridCol w:w="1560"/>
        <w:gridCol w:w="9636"/>
      </w:tblGrid>
      <w:tr w14:paraId="6111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09" w:type="dxa"/>
            <w:gridSpan w:val="2"/>
            <w:noWrap w:val="0"/>
            <w:vAlign w:val="center"/>
          </w:tcPr>
          <w:p w14:paraId="415D9A6E">
            <w:pPr>
              <w:adjustRightInd w:val="0"/>
              <w:snapToGrid w:val="0"/>
              <w:spacing w:line="280" w:lineRule="atLeast"/>
              <w:jc w:val="center"/>
              <w:rPr>
                <w:rFonts w:ascii="方正小标宋_GBK" w:eastAsia="方正小标宋_GBK"/>
                <w:szCs w:val="21"/>
              </w:rPr>
            </w:pPr>
            <w:r>
              <w:rPr>
                <w:rFonts w:hint="eastAsia" w:ascii="方正小标宋_GBK" w:eastAsia="方正小标宋_GBK"/>
                <w:szCs w:val="21"/>
              </w:rPr>
              <w:t>加分</w:t>
            </w:r>
          </w:p>
          <w:p w14:paraId="1388EB85">
            <w:pPr>
              <w:adjustRightInd w:val="0"/>
              <w:snapToGrid w:val="0"/>
              <w:spacing w:line="280" w:lineRule="atLeast"/>
              <w:jc w:val="center"/>
              <w:rPr>
                <w:rFonts w:ascii="方正小标宋_GBK" w:eastAsia="方正小标宋_GBK"/>
                <w:szCs w:val="21"/>
              </w:rPr>
            </w:pPr>
            <w:r>
              <w:rPr>
                <w:rFonts w:hint="eastAsia" w:ascii="方正小标宋_GBK" w:eastAsia="方正小标宋_GBK"/>
                <w:szCs w:val="21"/>
              </w:rPr>
              <w:t>类别</w:t>
            </w:r>
          </w:p>
        </w:tc>
        <w:tc>
          <w:tcPr>
            <w:tcW w:w="2266" w:type="dxa"/>
            <w:noWrap w:val="0"/>
            <w:vAlign w:val="center"/>
          </w:tcPr>
          <w:p w14:paraId="72DF17C4">
            <w:pPr>
              <w:adjustRightInd w:val="0"/>
              <w:snapToGrid w:val="0"/>
              <w:spacing w:line="280" w:lineRule="atLeast"/>
              <w:jc w:val="center"/>
              <w:rPr>
                <w:rFonts w:ascii="方正小标宋_GBK" w:eastAsia="方正小标宋_GBK"/>
                <w:szCs w:val="21"/>
              </w:rPr>
            </w:pPr>
            <w:r>
              <w:rPr>
                <w:rFonts w:hint="eastAsia" w:ascii="方正小标宋_GBK" w:eastAsia="方正小标宋_GBK"/>
                <w:szCs w:val="21"/>
              </w:rPr>
              <w:t>获奖级别</w:t>
            </w:r>
          </w:p>
        </w:tc>
        <w:tc>
          <w:tcPr>
            <w:tcW w:w="1560" w:type="dxa"/>
            <w:noWrap w:val="0"/>
            <w:vAlign w:val="center"/>
          </w:tcPr>
          <w:p w14:paraId="27F09441">
            <w:pPr>
              <w:adjustRightInd w:val="0"/>
              <w:snapToGrid w:val="0"/>
              <w:spacing w:line="280" w:lineRule="atLeast"/>
              <w:jc w:val="center"/>
              <w:rPr>
                <w:rFonts w:ascii="方正小标宋_GBK" w:eastAsia="方正小标宋_GBK"/>
                <w:szCs w:val="21"/>
              </w:rPr>
            </w:pPr>
            <w:r>
              <w:rPr>
                <w:rFonts w:hint="eastAsia" w:ascii="方正小标宋_GBK" w:eastAsia="方正小标宋_GBK"/>
                <w:szCs w:val="21"/>
              </w:rPr>
              <w:t>加分值（分）</w:t>
            </w:r>
          </w:p>
        </w:tc>
        <w:tc>
          <w:tcPr>
            <w:tcW w:w="9636" w:type="dxa"/>
            <w:noWrap w:val="0"/>
            <w:vAlign w:val="center"/>
          </w:tcPr>
          <w:p w14:paraId="5343C565">
            <w:pPr>
              <w:adjustRightInd w:val="0"/>
              <w:snapToGrid w:val="0"/>
              <w:spacing w:line="280" w:lineRule="atLeast"/>
              <w:jc w:val="center"/>
              <w:rPr>
                <w:rFonts w:ascii="方正小标宋_GBK" w:eastAsia="方正小标宋_GBK"/>
                <w:szCs w:val="21"/>
              </w:rPr>
            </w:pPr>
            <w:r>
              <w:rPr>
                <w:rFonts w:hint="eastAsia" w:ascii="方正小标宋_GBK" w:eastAsia="方正小标宋_GBK"/>
                <w:szCs w:val="21"/>
              </w:rPr>
              <w:t>备注</w:t>
            </w:r>
          </w:p>
        </w:tc>
      </w:tr>
      <w:tr w14:paraId="4ED0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09" w:type="dxa"/>
            <w:gridSpan w:val="2"/>
            <w:tcBorders>
              <w:bottom w:val="nil"/>
            </w:tcBorders>
            <w:noWrap w:val="0"/>
            <w:vAlign w:val="center"/>
          </w:tcPr>
          <w:p w14:paraId="3FBF058E">
            <w:pPr>
              <w:adjustRightInd w:val="0"/>
              <w:snapToGrid w:val="0"/>
              <w:spacing w:line="280" w:lineRule="atLeast"/>
              <w:jc w:val="center"/>
              <w:rPr>
                <w:szCs w:val="21"/>
              </w:rPr>
            </w:pPr>
          </w:p>
        </w:tc>
        <w:tc>
          <w:tcPr>
            <w:tcW w:w="2266" w:type="dxa"/>
            <w:noWrap w:val="0"/>
            <w:vAlign w:val="center"/>
          </w:tcPr>
          <w:p w14:paraId="5BB9398B">
            <w:pPr>
              <w:adjustRightInd w:val="0"/>
              <w:snapToGrid w:val="0"/>
              <w:spacing w:line="280" w:lineRule="atLeast"/>
              <w:jc w:val="center"/>
              <w:rPr>
                <w:szCs w:val="21"/>
              </w:rPr>
            </w:pPr>
            <w:r>
              <w:rPr>
                <w:szCs w:val="21"/>
              </w:rPr>
              <w:t>A类一、二、三等奖</w:t>
            </w:r>
          </w:p>
        </w:tc>
        <w:tc>
          <w:tcPr>
            <w:tcW w:w="1560" w:type="dxa"/>
            <w:noWrap w:val="0"/>
            <w:vAlign w:val="center"/>
          </w:tcPr>
          <w:p w14:paraId="7CA8B457">
            <w:pPr>
              <w:adjustRightInd w:val="0"/>
              <w:snapToGrid w:val="0"/>
              <w:spacing w:line="280" w:lineRule="atLeast"/>
              <w:jc w:val="center"/>
              <w:rPr>
                <w:szCs w:val="21"/>
              </w:rPr>
            </w:pPr>
            <w:r>
              <w:rPr>
                <w:szCs w:val="21"/>
              </w:rPr>
              <w:t>5</w:t>
            </w:r>
            <w:r>
              <w:rPr>
                <w:rFonts w:hint="eastAsia"/>
                <w:szCs w:val="21"/>
              </w:rPr>
              <w:t>、4、3</w:t>
            </w:r>
          </w:p>
        </w:tc>
        <w:tc>
          <w:tcPr>
            <w:tcW w:w="9636" w:type="dxa"/>
            <w:vMerge w:val="restart"/>
            <w:noWrap w:val="0"/>
            <w:vAlign w:val="top"/>
          </w:tcPr>
          <w:p w14:paraId="33144627">
            <w:pPr>
              <w:adjustRightInd w:val="0"/>
              <w:snapToGrid w:val="0"/>
              <w:spacing w:line="280" w:lineRule="atLeast"/>
              <w:rPr>
                <w:rFonts w:hint="eastAsia" w:eastAsia="宋体"/>
                <w:color w:val="FF0000"/>
                <w:szCs w:val="21"/>
                <w:lang w:eastAsia="zh-CN"/>
              </w:rPr>
            </w:pPr>
            <w:r>
              <w:rPr>
                <w:szCs w:val="21"/>
              </w:rPr>
              <w:t>1. 学科竞赛分类依据以教务处关于竞赛分类调整的最新结果为准</w:t>
            </w:r>
            <w:r>
              <w:rPr>
                <w:rFonts w:hint="eastAsia"/>
                <w:szCs w:val="21"/>
                <w:lang w:eastAsia="zh-CN"/>
              </w:rPr>
              <w:t>：</w:t>
            </w:r>
          </w:p>
          <w:p w14:paraId="10F5F8B2">
            <w:pPr>
              <w:adjustRightInd w:val="0"/>
              <w:snapToGrid w:val="0"/>
              <w:spacing w:line="280" w:lineRule="atLeast"/>
              <w:rPr>
                <w:szCs w:val="21"/>
              </w:rPr>
            </w:pPr>
            <w:r>
              <w:rPr>
                <w:szCs w:val="21"/>
              </w:rPr>
              <w:t>2.同一学科竞赛多次获奖的以及同一项目内容参加不同学科竞赛获奖，取奖励最高分值，不累加；</w:t>
            </w:r>
          </w:p>
          <w:p w14:paraId="452A1AB4">
            <w:pPr>
              <w:adjustRightInd w:val="0"/>
              <w:snapToGrid w:val="0"/>
              <w:spacing w:line="280" w:lineRule="atLeast"/>
              <w:rPr>
                <w:szCs w:val="21"/>
              </w:rPr>
            </w:pPr>
            <w:r>
              <w:rPr>
                <w:szCs w:val="21"/>
              </w:rPr>
              <w:t>3.团队性竞赛获奖项目排名前3按100%奖励分值加分，项目排名4-6按50%加分，其他按20%加分</w:t>
            </w:r>
          </w:p>
          <w:p w14:paraId="56FF5AB0">
            <w:pPr>
              <w:adjustRightInd w:val="0"/>
              <w:snapToGrid w:val="0"/>
              <w:spacing w:line="280" w:lineRule="atLeast"/>
              <w:rPr>
                <w:szCs w:val="21"/>
              </w:rPr>
            </w:pPr>
            <w:r>
              <w:rPr>
                <w:szCs w:val="21"/>
              </w:rPr>
              <w:t>4.比赛设置特等奖的，特等奖按一等奖分值加分；</w:t>
            </w:r>
          </w:p>
          <w:p w14:paraId="27D14A4A">
            <w:pPr>
              <w:adjustRightInd w:val="0"/>
              <w:snapToGrid w:val="0"/>
              <w:spacing w:line="280" w:lineRule="atLeast"/>
              <w:rPr>
                <w:szCs w:val="21"/>
              </w:rPr>
            </w:pPr>
            <w:r>
              <w:rPr>
                <w:szCs w:val="21"/>
              </w:rPr>
              <w:t>5.未涵盖学科竞赛，学院可根据学科专业特点依据本办法设定竞赛项目、级别和加分上限；</w:t>
            </w:r>
          </w:p>
          <w:p w14:paraId="6D6CD764">
            <w:pPr>
              <w:adjustRightInd w:val="0"/>
              <w:snapToGrid w:val="0"/>
              <w:spacing w:line="280" w:lineRule="atLeast"/>
              <w:rPr>
                <w:szCs w:val="21"/>
              </w:rPr>
            </w:pPr>
            <w:r>
              <w:rPr>
                <w:szCs w:val="21"/>
              </w:rPr>
              <w:t>6.学科竞赛类别累计加分不超过5分。</w:t>
            </w:r>
          </w:p>
        </w:tc>
      </w:tr>
      <w:tr w14:paraId="1ACF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restart"/>
            <w:tcBorders>
              <w:top w:val="nil"/>
            </w:tcBorders>
            <w:noWrap w:val="0"/>
            <w:vAlign w:val="center"/>
          </w:tcPr>
          <w:p w14:paraId="79AA0742">
            <w:pPr>
              <w:adjustRightInd w:val="0"/>
              <w:snapToGrid w:val="0"/>
              <w:spacing w:line="280" w:lineRule="atLeast"/>
              <w:jc w:val="center"/>
              <w:rPr>
                <w:szCs w:val="21"/>
              </w:rPr>
            </w:pPr>
            <w:r>
              <w:rPr>
                <w:szCs w:val="21"/>
              </w:rPr>
              <w:t>学科</w:t>
            </w:r>
          </w:p>
          <w:p w14:paraId="37AE3392">
            <w:pPr>
              <w:adjustRightInd w:val="0"/>
              <w:snapToGrid w:val="0"/>
              <w:spacing w:line="280" w:lineRule="atLeast"/>
              <w:jc w:val="center"/>
              <w:rPr>
                <w:szCs w:val="21"/>
              </w:rPr>
            </w:pPr>
            <w:r>
              <w:rPr>
                <w:szCs w:val="21"/>
              </w:rPr>
              <w:t>竞赛</w:t>
            </w:r>
          </w:p>
        </w:tc>
        <w:tc>
          <w:tcPr>
            <w:tcW w:w="2266" w:type="dxa"/>
            <w:noWrap w:val="0"/>
            <w:vAlign w:val="center"/>
          </w:tcPr>
          <w:p w14:paraId="042543BB">
            <w:pPr>
              <w:adjustRightInd w:val="0"/>
              <w:snapToGrid w:val="0"/>
              <w:spacing w:line="280" w:lineRule="atLeast"/>
              <w:jc w:val="center"/>
              <w:rPr>
                <w:szCs w:val="21"/>
              </w:rPr>
            </w:pPr>
            <w:r>
              <w:rPr>
                <w:szCs w:val="21"/>
              </w:rPr>
              <w:t>B类一、二、三等奖</w:t>
            </w:r>
          </w:p>
        </w:tc>
        <w:tc>
          <w:tcPr>
            <w:tcW w:w="1560" w:type="dxa"/>
            <w:noWrap w:val="0"/>
            <w:vAlign w:val="center"/>
          </w:tcPr>
          <w:p w14:paraId="47261868">
            <w:pPr>
              <w:adjustRightInd w:val="0"/>
              <w:snapToGrid w:val="0"/>
              <w:spacing w:line="280" w:lineRule="atLeast"/>
              <w:jc w:val="center"/>
              <w:rPr>
                <w:szCs w:val="21"/>
              </w:rPr>
            </w:pPr>
            <w:r>
              <w:rPr>
                <w:rFonts w:hint="eastAsia"/>
                <w:szCs w:val="21"/>
              </w:rPr>
              <w:t>4、3、2</w:t>
            </w:r>
          </w:p>
        </w:tc>
        <w:tc>
          <w:tcPr>
            <w:tcW w:w="9636" w:type="dxa"/>
            <w:vMerge w:val="continue"/>
            <w:noWrap w:val="0"/>
            <w:vAlign w:val="top"/>
          </w:tcPr>
          <w:p w14:paraId="5CAA329C">
            <w:pPr>
              <w:adjustRightInd w:val="0"/>
              <w:snapToGrid w:val="0"/>
              <w:spacing w:line="280" w:lineRule="atLeast"/>
              <w:jc w:val="center"/>
              <w:rPr>
                <w:szCs w:val="21"/>
              </w:rPr>
            </w:pPr>
          </w:p>
        </w:tc>
      </w:tr>
      <w:tr w14:paraId="5797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90" w:hRule="atLeast"/>
          <w:jc w:val="center"/>
        </w:trPr>
        <w:tc>
          <w:tcPr>
            <w:tcW w:w="703" w:type="dxa"/>
            <w:vMerge w:val="continue"/>
            <w:tcBorders>
              <w:top w:val="nil"/>
            </w:tcBorders>
            <w:noWrap w:val="0"/>
            <w:vAlign w:val="center"/>
          </w:tcPr>
          <w:p w14:paraId="7EDF4A1B">
            <w:pPr>
              <w:adjustRightInd w:val="0"/>
              <w:snapToGrid w:val="0"/>
              <w:spacing w:line="280" w:lineRule="atLeast"/>
              <w:jc w:val="center"/>
              <w:rPr>
                <w:szCs w:val="21"/>
              </w:rPr>
            </w:pPr>
          </w:p>
        </w:tc>
        <w:tc>
          <w:tcPr>
            <w:tcW w:w="2266" w:type="dxa"/>
            <w:noWrap w:val="0"/>
            <w:vAlign w:val="center"/>
          </w:tcPr>
          <w:p w14:paraId="18E48CCC">
            <w:pPr>
              <w:adjustRightInd w:val="0"/>
              <w:snapToGrid w:val="0"/>
              <w:spacing w:line="280" w:lineRule="atLeast"/>
              <w:jc w:val="center"/>
              <w:rPr>
                <w:szCs w:val="21"/>
              </w:rPr>
            </w:pPr>
            <w:r>
              <w:rPr>
                <w:szCs w:val="21"/>
              </w:rPr>
              <w:t>C类一、二、三等奖</w:t>
            </w:r>
          </w:p>
        </w:tc>
        <w:tc>
          <w:tcPr>
            <w:tcW w:w="1560" w:type="dxa"/>
            <w:noWrap w:val="0"/>
            <w:vAlign w:val="center"/>
          </w:tcPr>
          <w:p w14:paraId="77FBBFC8">
            <w:pPr>
              <w:adjustRightInd w:val="0"/>
              <w:snapToGrid w:val="0"/>
              <w:spacing w:line="280" w:lineRule="atLeast"/>
              <w:jc w:val="center"/>
              <w:rPr>
                <w:szCs w:val="21"/>
              </w:rPr>
            </w:pPr>
            <w:r>
              <w:rPr>
                <w:rFonts w:hint="eastAsia"/>
                <w:szCs w:val="21"/>
              </w:rPr>
              <w:t>3、2、1</w:t>
            </w:r>
          </w:p>
        </w:tc>
        <w:tc>
          <w:tcPr>
            <w:tcW w:w="9636" w:type="dxa"/>
            <w:vMerge w:val="continue"/>
            <w:noWrap w:val="0"/>
            <w:vAlign w:val="top"/>
          </w:tcPr>
          <w:p w14:paraId="0FB8C512">
            <w:pPr>
              <w:adjustRightInd w:val="0"/>
              <w:snapToGrid w:val="0"/>
              <w:spacing w:line="280" w:lineRule="atLeast"/>
              <w:jc w:val="center"/>
              <w:rPr>
                <w:szCs w:val="21"/>
              </w:rPr>
            </w:pPr>
          </w:p>
        </w:tc>
      </w:tr>
      <w:tr w14:paraId="110E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continue"/>
            <w:tcBorders>
              <w:top w:val="nil"/>
            </w:tcBorders>
            <w:noWrap w:val="0"/>
            <w:vAlign w:val="center"/>
          </w:tcPr>
          <w:p w14:paraId="753D677D">
            <w:pPr>
              <w:adjustRightInd w:val="0"/>
              <w:snapToGrid w:val="0"/>
              <w:spacing w:line="280" w:lineRule="atLeast"/>
              <w:jc w:val="center"/>
              <w:rPr>
                <w:szCs w:val="21"/>
              </w:rPr>
            </w:pPr>
          </w:p>
        </w:tc>
        <w:tc>
          <w:tcPr>
            <w:tcW w:w="2266" w:type="dxa"/>
            <w:noWrap w:val="0"/>
            <w:vAlign w:val="center"/>
          </w:tcPr>
          <w:p w14:paraId="34B5E710">
            <w:pPr>
              <w:adjustRightInd w:val="0"/>
              <w:snapToGrid w:val="0"/>
              <w:spacing w:line="280" w:lineRule="atLeast"/>
              <w:jc w:val="center"/>
              <w:rPr>
                <w:szCs w:val="21"/>
              </w:rPr>
            </w:pPr>
            <w:r>
              <w:rPr>
                <w:szCs w:val="21"/>
              </w:rPr>
              <w:t>D类一、二、三等奖</w:t>
            </w:r>
          </w:p>
        </w:tc>
        <w:tc>
          <w:tcPr>
            <w:tcW w:w="1560" w:type="dxa"/>
            <w:noWrap w:val="0"/>
            <w:vAlign w:val="center"/>
          </w:tcPr>
          <w:p w14:paraId="56E70449">
            <w:pPr>
              <w:adjustRightInd w:val="0"/>
              <w:snapToGrid w:val="0"/>
              <w:spacing w:line="280" w:lineRule="atLeast"/>
              <w:jc w:val="center"/>
              <w:rPr>
                <w:szCs w:val="21"/>
              </w:rPr>
            </w:pPr>
            <w:r>
              <w:rPr>
                <w:szCs w:val="21"/>
              </w:rPr>
              <w:t>1.5</w:t>
            </w:r>
            <w:r>
              <w:rPr>
                <w:rFonts w:hint="eastAsia"/>
                <w:szCs w:val="21"/>
              </w:rPr>
              <w:t>、1.0、0.5</w:t>
            </w:r>
          </w:p>
        </w:tc>
        <w:tc>
          <w:tcPr>
            <w:tcW w:w="9636" w:type="dxa"/>
            <w:vMerge w:val="continue"/>
            <w:noWrap w:val="0"/>
            <w:vAlign w:val="top"/>
          </w:tcPr>
          <w:p w14:paraId="3C92901E">
            <w:pPr>
              <w:adjustRightInd w:val="0"/>
              <w:snapToGrid w:val="0"/>
              <w:spacing w:line="280" w:lineRule="atLeast"/>
              <w:jc w:val="center"/>
              <w:rPr>
                <w:szCs w:val="21"/>
              </w:rPr>
            </w:pPr>
          </w:p>
        </w:tc>
      </w:tr>
      <w:tr w14:paraId="2896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941" w:hRule="atLeast"/>
          <w:jc w:val="center"/>
        </w:trPr>
        <w:tc>
          <w:tcPr>
            <w:tcW w:w="703" w:type="dxa"/>
            <w:vMerge w:val="restart"/>
            <w:noWrap w:val="0"/>
            <w:vAlign w:val="center"/>
          </w:tcPr>
          <w:p w14:paraId="5AA34E1A">
            <w:pPr>
              <w:adjustRightInd w:val="0"/>
              <w:snapToGrid w:val="0"/>
              <w:spacing w:line="280" w:lineRule="atLeast"/>
              <w:jc w:val="center"/>
              <w:rPr>
                <w:szCs w:val="21"/>
              </w:rPr>
            </w:pPr>
            <w:r>
              <w:rPr>
                <w:szCs w:val="21"/>
              </w:rPr>
              <w:t>学术</w:t>
            </w:r>
          </w:p>
          <w:p w14:paraId="4112AB0B">
            <w:pPr>
              <w:adjustRightInd w:val="0"/>
              <w:snapToGrid w:val="0"/>
              <w:spacing w:line="280" w:lineRule="atLeast"/>
              <w:jc w:val="center"/>
              <w:rPr>
                <w:szCs w:val="21"/>
              </w:rPr>
            </w:pPr>
            <w:r>
              <w:rPr>
                <w:szCs w:val="21"/>
              </w:rPr>
              <w:t>成果</w:t>
            </w:r>
          </w:p>
        </w:tc>
        <w:tc>
          <w:tcPr>
            <w:tcW w:w="2266" w:type="dxa"/>
            <w:noWrap w:val="0"/>
            <w:vAlign w:val="center"/>
          </w:tcPr>
          <w:p w14:paraId="07B3FCEC">
            <w:pPr>
              <w:adjustRightInd w:val="0"/>
              <w:snapToGrid w:val="0"/>
              <w:spacing w:line="280" w:lineRule="atLeast"/>
              <w:jc w:val="center"/>
              <w:rPr>
                <w:szCs w:val="21"/>
              </w:rPr>
            </w:pPr>
            <w:r>
              <w:rPr>
                <w:szCs w:val="21"/>
              </w:rPr>
              <w:t>SCI、EI、SSCI、CSSCI收录的期刊论文</w:t>
            </w:r>
          </w:p>
        </w:tc>
        <w:tc>
          <w:tcPr>
            <w:tcW w:w="1560" w:type="dxa"/>
            <w:noWrap w:val="0"/>
            <w:vAlign w:val="center"/>
          </w:tcPr>
          <w:p w14:paraId="133EF3A6">
            <w:pPr>
              <w:adjustRightInd w:val="0"/>
              <w:snapToGrid w:val="0"/>
              <w:spacing w:line="280" w:lineRule="atLeast"/>
              <w:jc w:val="center"/>
              <w:rPr>
                <w:szCs w:val="21"/>
              </w:rPr>
            </w:pPr>
            <w:r>
              <w:rPr>
                <w:rFonts w:hint="eastAsia"/>
                <w:szCs w:val="21"/>
              </w:rPr>
              <w:t>5</w:t>
            </w:r>
          </w:p>
        </w:tc>
        <w:tc>
          <w:tcPr>
            <w:tcW w:w="9636" w:type="dxa"/>
            <w:vMerge w:val="restart"/>
            <w:noWrap w:val="0"/>
            <w:vAlign w:val="top"/>
          </w:tcPr>
          <w:p w14:paraId="635FE8E1">
            <w:pPr>
              <w:adjustRightInd w:val="0"/>
              <w:snapToGrid w:val="0"/>
              <w:spacing w:line="280" w:lineRule="atLeast"/>
              <w:rPr>
                <w:szCs w:val="21"/>
              </w:rPr>
            </w:pPr>
            <w:r>
              <w:rPr>
                <w:szCs w:val="21"/>
              </w:rPr>
              <w:t>1.申请者为论文</w:t>
            </w:r>
            <w:r>
              <w:rPr>
                <w:rFonts w:hint="eastAsia"/>
                <w:szCs w:val="21"/>
              </w:rPr>
              <w:t>独立作者</w:t>
            </w:r>
            <w:r>
              <w:rPr>
                <w:szCs w:val="21"/>
              </w:rPr>
              <w:t>或第一作者，</w:t>
            </w:r>
            <w:r>
              <w:rPr>
                <w:rFonts w:hint="eastAsia"/>
                <w:szCs w:val="21"/>
              </w:rPr>
              <w:t>论文署名第一单位</w:t>
            </w:r>
            <w:r>
              <w:rPr>
                <w:szCs w:val="21"/>
              </w:rPr>
              <w:t>为重庆交通大学</w:t>
            </w:r>
            <w:r>
              <w:rPr>
                <w:rFonts w:hint="eastAsia"/>
                <w:szCs w:val="21"/>
              </w:rPr>
              <w:t>；</w:t>
            </w:r>
          </w:p>
          <w:p w14:paraId="0C2E40C6">
            <w:pPr>
              <w:adjustRightInd w:val="0"/>
              <w:snapToGrid w:val="0"/>
              <w:spacing w:line="280" w:lineRule="atLeast"/>
              <w:rPr>
                <w:szCs w:val="21"/>
              </w:rPr>
            </w:pPr>
            <w:r>
              <w:rPr>
                <w:szCs w:val="21"/>
              </w:rPr>
              <w:t>2.论文内容须与本专业相关或与本人参与的创新创业项目研究内容相关；</w:t>
            </w:r>
          </w:p>
          <w:p w14:paraId="76E9297A">
            <w:pPr>
              <w:adjustRightInd w:val="0"/>
              <w:snapToGrid w:val="0"/>
              <w:spacing w:line="280" w:lineRule="atLeast"/>
              <w:rPr>
                <w:szCs w:val="21"/>
              </w:rPr>
            </w:pPr>
            <w:r>
              <w:rPr>
                <w:szCs w:val="21"/>
              </w:rPr>
              <w:t>3.发表论文一律以所提供的原件为准，录用通知不予承认；被检索的论文须提交正式检索证明；</w:t>
            </w:r>
          </w:p>
          <w:p w14:paraId="2D1E6482">
            <w:pPr>
              <w:adjustRightInd w:val="0"/>
              <w:snapToGrid w:val="0"/>
              <w:spacing w:line="280" w:lineRule="atLeast"/>
              <w:rPr>
                <w:szCs w:val="21"/>
              </w:rPr>
            </w:pPr>
            <w:r>
              <w:rPr>
                <w:szCs w:val="21"/>
              </w:rPr>
              <w:t>4.核心期刊由学院结合实际进行界定和认定；</w:t>
            </w:r>
          </w:p>
          <w:p w14:paraId="11C9B318">
            <w:pPr>
              <w:adjustRightInd w:val="0"/>
              <w:snapToGrid w:val="0"/>
              <w:spacing w:line="280" w:lineRule="atLeast"/>
              <w:rPr>
                <w:szCs w:val="21"/>
              </w:rPr>
            </w:pPr>
            <w:r>
              <w:rPr>
                <w:rFonts w:hint="eastAsia"/>
                <w:szCs w:val="21"/>
              </w:rPr>
              <w:t>5</w:t>
            </w:r>
            <w:r>
              <w:rPr>
                <w:szCs w:val="21"/>
              </w:rPr>
              <w:t>.</w:t>
            </w:r>
            <w:r>
              <w:rPr>
                <w:rFonts w:hint="eastAsia"/>
                <w:szCs w:val="21"/>
              </w:rPr>
              <w:t>普通期刊、</w:t>
            </w:r>
            <w:r>
              <w:rPr>
                <w:szCs w:val="21"/>
              </w:rPr>
              <w:t>会议论文</w:t>
            </w:r>
            <w:r>
              <w:rPr>
                <w:rFonts w:hint="eastAsia"/>
                <w:szCs w:val="21"/>
              </w:rPr>
              <w:t>、</w:t>
            </w:r>
            <w:r>
              <w:rPr>
                <w:rFonts w:hint="eastAsia"/>
                <w:b/>
                <w:szCs w:val="21"/>
              </w:rPr>
              <w:t>与所学专业不相关的投稿、成果等</w:t>
            </w:r>
            <w:r>
              <w:rPr>
                <w:rFonts w:hint="eastAsia"/>
                <w:szCs w:val="21"/>
              </w:rPr>
              <w:t>均不加分，作为专家推荐相关参考材料</w:t>
            </w:r>
            <w:r>
              <w:rPr>
                <w:szCs w:val="21"/>
              </w:rPr>
              <w:t>；</w:t>
            </w:r>
          </w:p>
          <w:p w14:paraId="24A32D33">
            <w:pPr>
              <w:adjustRightInd w:val="0"/>
              <w:snapToGrid w:val="0"/>
              <w:spacing w:line="280" w:lineRule="atLeast"/>
              <w:rPr>
                <w:szCs w:val="21"/>
              </w:rPr>
            </w:pPr>
            <w:r>
              <w:rPr>
                <w:rFonts w:hint="eastAsia"/>
                <w:szCs w:val="21"/>
              </w:rPr>
              <w:t>6</w:t>
            </w:r>
            <w:r>
              <w:rPr>
                <w:szCs w:val="21"/>
              </w:rPr>
              <w:t>.学术成果类别累计加分不超过5分。</w:t>
            </w:r>
          </w:p>
        </w:tc>
      </w:tr>
      <w:tr w14:paraId="5167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651" w:hRule="atLeast"/>
          <w:jc w:val="center"/>
        </w:trPr>
        <w:tc>
          <w:tcPr>
            <w:tcW w:w="703" w:type="dxa"/>
            <w:vMerge w:val="continue"/>
            <w:noWrap w:val="0"/>
            <w:vAlign w:val="center"/>
          </w:tcPr>
          <w:p w14:paraId="153B1A3B">
            <w:pPr>
              <w:adjustRightInd w:val="0"/>
              <w:snapToGrid w:val="0"/>
              <w:spacing w:line="280" w:lineRule="atLeast"/>
              <w:jc w:val="center"/>
              <w:rPr>
                <w:szCs w:val="21"/>
              </w:rPr>
            </w:pPr>
          </w:p>
        </w:tc>
        <w:tc>
          <w:tcPr>
            <w:tcW w:w="2266" w:type="dxa"/>
            <w:noWrap w:val="0"/>
            <w:vAlign w:val="center"/>
          </w:tcPr>
          <w:p w14:paraId="2FF74BAA">
            <w:pPr>
              <w:adjustRightInd w:val="0"/>
              <w:snapToGrid w:val="0"/>
              <w:spacing w:line="280" w:lineRule="atLeast"/>
              <w:jc w:val="center"/>
              <w:rPr>
                <w:szCs w:val="21"/>
              </w:rPr>
            </w:pPr>
            <w:r>
              <w:rPr>
                <w:szCs w:val="21"/>
              </w:rPr>
              <w:t>核心期刊论文</w:t>
            </w:r>
          </w:p>
        </w:tc>
        <w:tc>
          <w:tcPr>
            <w:tcW w:w="1560" w:type="dxa"/>
            <w:noWrap w:val="0"/>
            <w:vAlign w:val="center"/>
          </w:tcPr>
          <w:p w14:paraId="203ABC7B">
            <w:pPr>
              <w:adjustRightInd w:val="0"/>
              <w:snapToGrid w:val="0"/>
              <w:spacing w:line="280" w:lineRule="atLeast"/>
              <w:jc w:val="center"/>
              <w:rPr>
                <w:szCs w:val="21"/>
              </w:rPr>
            </w:pPr>
            <w:r>
              <w:rPr>
                <w:rFonts w:hint="eastAsia"/>
                <w:szCs w:val="21"/>
              </w:rPr>
              <w:t>3</w:t>
            </w:r>
          </w:p>
        </w:tc>
        <w:tc>
          <w:tcPr>
            <w:tcW w:w="9636" w:type="dxa"/>
            <w:vMerge w:val="continue"/>
            <w:noWrap w:val="0"/>
            <w:vAlign w:val="top"/>
          </w:tcPr>
          <w:p w14:paraId="1435F7BC">
            <w:pPr>
              <w:adjustRightInd w:val="0"/>
              <w:snapToGrid w:val="0"/>
              <w:spacing w:line="280" w:lineRule="atLeast"/>
              <w:jc w:val="center"/>
              <w:rPr>
                <w:szCs w:val="21"/>
              </w:rPr>
            </w:pPr>
          </w:p>
        </w:tc>
      </w:tr>
      <w:tr w14:paraId="2FFE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840" w:hRule="atLeast"/>
          <w:jc w:val="center"/>
        </w:trPr>
        <w:tc>
          <w:tcPr>
            <w:tcW w:w="703" w:type="dxa"/>
            <w:noWrap w:val="0"/>
            <w:vAlign w:val="center"/>
          </w:tcPr>
          <w:p w14:paraId="692780C1">
            <w:pPr>
              <w:adjustRightInd w:val="0"/>
              <w:snapToGrid w:val="0"/>
              <w:spacing w:line="280" w:lineRule="atLeast"/>
              <w:jc w:val="center"/>
              <w:rPr>
                <w:szCs w:val="21"/>
              </w:rPr>
            </w:pPr>
            <w:r>
              <w:rPr>
                <w:szCs w:val="21"/>
              </w:rPr>
              <w:t>专利授权</w:t>
            </w:r>
          </w:p>
        </w:tc>
        <w:tc>
          <w:tcPr>
            <w:tcW w:w="2266" w:type="dxa"/>
            <w:noWrap w:val="0"/>
            <w:vAlign w:val="center"/>
          </w:tcPr>
          <w:p w14:paraId="5C90FAB3">
            <w:pPr>
              <w:adjustRightInd w:val="0"/>
              <w:snapToGrid w:val="0"/>
              <w:spacing w:line="280" w:lineRule="atLeast"/>
              <w:jc w:val="center"/>
              <w:rPr>
                <w:szCs w:val="21"/>
              </w:rPr>
            </w:pPr>
            <w:r>
              <w:rPr>
                <w:szCs w:val="21"/>
              </w:rPr>
              <w:t>发明专利</w:t>
            </w:r>
          </w:p>
        </w:tc>
        <w:tc>
          <w:tcPr>
            <w:tcW w:w="1560" w:type="dxa"/>
            <w:noWrap w:val="0"/>
            <w:vAlign w:val="center"/>
          </w:tcPr>
          <w:p w14:paraId="6A5EA86C">
            <w:pPr>
              <w:adjustRightInd w:val="0"/>
              <w:snapToGrid w:val="0"/>
              <w:spacing w:line="280" w:lineRule="atLeast"/>
              <w:jc w:val="center"/>
              <w:rPr>
                <w:szCs w:val="21"/>
              </w:rPr>
            </w:pPr>
            <w:r>
              <w:rPr>
                <w:rFonts w:hint="eastAsia"/>
                <w:szCs w:val="21"/>
              </w:rPr>
              <w:t>4</w:t>
            </w:r>
          </w:p>
        </w:tc>
        <w:tc>
          <w:tcPr>
            <w:tcW w:w="9636" w:type="dxa"/>
            <w:noWrap w:val="0"/>
            <w:vAlign w:val="top"/>
          </w:tcPr>
          <w:p w14:paraId="01B680E7">
            <w:pPr>
              <w:adjustRightInd w:val="0"/>
              <w:snapToGrid w:val="0"/>
              <w:spacing w:line="280" w:lineRule="atLeast"/>
              <w:rPr>
                <w:szCs w:val="21"/>
              </w:rPr>
            </w:pPr>
            <w:r>
              <w:rPr>
                <w:szCs w:val="21"/>
              </w:rPr>
              <w:t>1.专利授权须为原始发明，专利权人为重庆交通大学，限第1发明人。受理阶段或转让、变更发明人的不予承认；</w:t>
            </w:r>
          </w:p>
          <w:p w14:paraId="633E336E">
            <w:pPr>
              <w:adjustRightInd w:val="0"/>
              <w:snapToGrid w:val="0"/>
              <w:spacing w:line="280" w:lineRule="atLeast"/>
              <w:rPr>
                <w:szCs w:val="21"/>
              </w:rPr>
            </w:pPr>
            <w:r>
              <w:rPr>
                <w:szCs w:val="21"/>
              </w:rPr>
              <w:t>2.专利授权类别奖励项目中，有多项专利授权的，只计算一次奖励分值，不累加</w:t>
            </w:r>
            <w:r>
              <w:rPr>
                <w:rFonts w:hint="eastAsia"/>
                <w:szCs w:val="21"/>
              </w:rPr>
              <w:t>；</w:t>
            </w:r>
          </w:p>
          <w:p w14:paraId="6E192FA7">
            <w:pPr>
              <w:adjustRightInd w:val="0"/>
              <w:snapToGrid w:val="0"/>
              <w:spacing w:line="280" w:lineRule="atLeast"/>
              <w:rPr>
                <w:rFonts w:hint="eastAsia"/>
                <w:szCs w:val="21"/>
              </w:rPr>
            </w:pPr>
            <w:r>
              <w:rPr>
                <w:rFonts w:hint="eastAsia"/>
                <w:szCs w:val="21"/>
              </w:rPr>
              <w:t>3.发</w:t>
            </w:r>
            <w:r>
              <w:rPr>
                <w:szCs w:val="21"/>
              </w:rPr>
              <w:t>明专利</w:t>
            </w:r>
            <w:r>
              <w:rPr>
                <w:rFonts w:hint="eastAsia"/>
                <w:szCs w:val="21"/>
              </w:rPr>
              <w:t>累计</w:t>
            </w:r>
            <w:r>
              <w:rPr>
                <w:szCs w:val="21"/>
              </w:rPr>
              <w:t>加分不超过</w:t>
            </w:r>
            <w:r>
              <w:rPr>
                <w:rFonts w:hint="eastAsia"/>
                <w:szCs w:val="21"/>
              </w:rPr>
              <w:t>4分</w:t>
            </w:r>
            <w:r>
              <w:rPr>
                <w:szCs w:val="21"/>
              </w:rPr>
              <w:t>。</w:t>
            </w:r>
          </w:p>
        </w:tc>
      </w:tr>
      <w:tr w14:paraId="6362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46" w:hRule="atLeast"/>
          <w:jc w:val="center"/>
        </w:trPr>
        <w:tc>
          <w:tcPr>
            <w:tcW w:w="703" w:type="dxa"/>
            <w:vMerge w:val="restart"/>
            <w:noWrap w:val="0"/>
            <w:vAlign w:val="center"/>
          </w:tcPr>
          <w:p w14:paraId="7EB4739E">
            <w:pPr>
              <w:adjustRightInd w:val="0"/>
              <w:snapToGrid w:val="0"/>
              <w:spacing w:line="280" w:lineRule="atLeast"/>
              <w:jc w:val="center"/>
              <w:rPr>
                <w:szCs w:val="21"/>
              </w:rPr>
            </w:pPr>
            <w:r>
              <w:rPr>
                <w:szCs w:val="21"/>
              </w:rPr>
              <w:t>文体竞赛</w:t>
            </w:r>
          </w:p>
        </w:tc>
        <w:tc>
          <w:tcPr>
            <w:tcW w:w="2266" w:type="dxa"/>
            <w:noWrap w:val="0"/>
            <w:vAlign w:val="center"/>
          </w:tcPr>
          <w:p w14:paraId="0A8CE8FE">
            <w:pPr>
              <w:adjustRightInd w:val="0"/>
              <w:snapToGrid w:val="0"/>
              <w:spacing w:line="200" w:lineRule="atLeast"/>
              <w:jc w:val="center"/>
              <w:rPr>
                <w:szCs w:val="21"/>
              </w:rPr>
            </w:pPr>
            <w:r>
              <w:rPr>
                <w:szCs w:val="21"/>
              </w:rPr>
              <w:t>国家级文艺类竞赛</w:t>
            </w:r>
          </w:p>
          <w:p w14:paraId="09CA2C17">
            <w:pPr>
              <w:adjustRightInd w:val="0"/>
              <w:snapToGrid w:val="0"/>
              <w:spacing w:line="200" w:lineRule="atLeast"/>
              <w:jc w:val="center"/>
              <w:rPr>
                <w:szCs w:val="21"/>
              </w:rPr>
            </w:pPr>
            <w:r>
              <w:rPr>
                <w:szCs w:val="21"/>
              </w:rPr>
              <w:t>一、二、三等奖</w:t>
            </w:r>
          </w:p>
        </w:tc>
        <w:tc>
          <w:tcPr>
            <w:tcW w:w="1560" w:type="dxa"/>
            <w:noWrap w:val="0"/>
            <w:vAlign w:val="center"/>
          </w:tcPr>
          <w:p w14:paraId="5D30ADD1">
            <w:pPr>
              <w:adjustRightInd w:val="0"/>
              <w:snapToGrid w:val="0"/>
              <w:spacing w:line="280" w:lineRule="atLeast"/>
              <w:jc w:val="center"/>
              <w:rPr>
                <w:szCs w:val="21"/>
              </w:rPr>
            </w:pPr>
            <w:r>
              <w:rPr>
                <w:szCs w:val="21"/>
              </w:rPr>
              <w:t>4</w:t>
            </w:r>
            <w:r>
              <w:rPr>
                <w:rFonts w:hint="eastAsia"/>
                <w:szCs w:val="21"/>
              </w:rPr>
              <w:t>、3、2</w:t>
            </w:r>
          </w:p>
        </w:tc>
        <w:tc>
          <w:tcPr>
            <w:tcW w:w="9636" w:type="dxa"/>
            <w:vMerge w:val="restart"/>
            <w:noWrap w:val="0"/>
            <w:vAlign w:val="top"/>
          </w:tcPr>
          <w:p w14:paraId="554D9DAC">
            <w:pPr>
              <w:adjustRightInd w:val="0"/>
              <w:snapToGrid w:val="0"/>
              <w:spacing w:line="280" w:lineRule="atLeast"/>
              <w:jc w:val="left"/>
              <w:rPr>
                <w:szCs w:val="21"/>
              </w:rPr>
            </w:pPr>
          </w:p>
          <w:p w14:paraId="7B33A686">
            <w:pPr>
              <w:adjustRightInd w:val="0"/>
              <w:snapToGrid w:val="0"/>
              <w:spacing w:line="280" w:lineRule="atLeast"/>
              <w:jc w:val="left"/>
              <w:rPr>
                <w:szCs w:val="21"/>
              </w:rPr>
            </w:pPr>
            <w:r>
              <w:rPr>
                <w:szCs w:val="21"/>
              </w:rPr>
              <w:t>1.以团体为单位参加比赛的，成员总数少于（含）11人的，各成员按相应等级得分的1/2加分；成员总数超过11人的，各成员按相应等级得分的1/4加分；篮、排、足 以实际比赛上场主力队员人数加分。2.比赛设置特等奖的，特等奖按一等奖分值加分，其他等级顺延3.文体竞赛类别奖励项目中，有多项获奖的，只计算一次奖励分值，不累加</w:t>
            </w:r>
            <w:r>
              <w:rPr>
                <w:rFonts w:hint="eastAsia"/>
                <w:szCs w:val="21"/>
              </w:rPr>
              <w:t>；</w:t>
            </w:r>
          </w:p>
          <w:p w14:paraId="08C8980D">
            <w:pPr>
              <w:adjustRightInd w:val="0"/>
              <w:snapToGrid w:val="0"/>
              <w:spacing w:line="280" w:lineRule="atLeast"/>
              <w:jc w:val="left"/>
              <w:rPr>
                <w:rFonts w:hint="eastAsia"/>
                <w:szCs w:val="21"/>
              </w:rPr>
            </w:pPr>
            <w:r>
              <w:rPr>
                <w:rFonts w:hint="eastAsia"/>
                <w:szCs w:val="21"/>
              </w:rPr>
              <w:t>3.文体</w:t>
            </w:r>
            <w:r>
              <w:rPr>
                <w:szCs w:val="21"/>
              </w:rPr>
              <w:t>竞赛累计加</w:t>
            </w:r>
            <w:r>
              <w:rPr>
                <w:rFonts w:hint="eastAsia"/>
                <w:szCs w:val="21"/>
              </w:rPr>
              <w:t>分</w:t>
            </w:r>
            <w:r>
              <w:rPr>
                <w:szCs w:val="21"/>
              </w:rPr>
              <w:t>不超过</w:t>
            </w:r>
            <w:r>
              <w:rPr>
                <w:rFonts w:hint="eastAsia"/>
                <w:szCs w:val="21"/>
              </w:rPr>
              <w:t>4分。</w:t>
            </w:r>
          </w:p>
        </w:tc>
      </w:tr>
      <w:tr w14:paraId="5C03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525" w:hRule="atLeast"/>
          <w:jc w:val="center"/>
        </w:trPr>
        <w:tc>
          <w:tcPr>
            <w:tcW w:w="703" w:type="dxa"/>
            <w:vMerge w:val="continue"/>
            <w:noWrap w:val="0"/>
            <w:vAlign w:val="center"/>
          </w:tcPr>
          <w:p w14:paraId="20ADDC75">
            <w:pPr>
              <w:adjustRightInd w:val="0"/>
              <w:snapToGrid w:val="0"/>
              <w:spacing w:line="280" w:lineRule="atLeast"/>
              <w:jc w:val="center"/>
              <w:rPr>
                <w:szCs w:val="21"/>
              </w:rPr>
            </w:pPr>
          </w:p>
        </w:tc>
        <w:tc>
          <w:tcPr>
            <w:tcW w:w="2266" w:type="dxa"/>
            <w:noWrap w:val="0"/>
            <w:vAlign w:val="center"/>
          </w:tcPr>
          <w:p w14:paraId="7C88AA98">
            <w:pPr>
              <w:adjustRightInd w:val="0"/>
              <w:snapToGrid w:val="0"/>
              <w:spacing w:line="200" w:lineRule="atLeast"/>
              <w:jc w:val="center"/>
              <w:rPr>
                <w:szCs w:val="21"/>
              </w:rPr>
            </w:pPr>
            <w:r>
              <w:rPr>
                <w:szCs w:val="21"/>
              </w:rPr>
              <w:t>省级文艺类竞赛</w:t>
            </w:r>
          </w:p>
          <w:p w14:paraId="594CD2AE">
            <w:pPr>
              <w:adjustRightInd w:val="0"/>
              <w:snapToGrid w:val="0"/>
              <w:spacing w:line="200" w:lineRule="atLeast"/>
              <w:jc w:val="center"/>
              <w:rPr>
                <w:szCs w:val="21"/>
              </w:rPr>
            </w:pPr>
            <w:r>
              <w:rPr>
                <w:szCs w:val="21"/>
              </w:rPr>
              <w:t>一、二、三等奖</w:t>
            </w:r>
          </w:p>
        </w:tc>
        <w:tc>
          <w:tcPr>
            <w:tcW w:w="1560" w:type="dxa"/>
            <w:noWrap w:val="0"/>
            <w:vAlign w:val="center"/>
          </w:tcPr>
          <w:p w14:paraId="23649214">
            <w:pPr>
              <w:adjustRightInd w:val="0"/>
              <w:snapToGrid w:val="0"/>
              <w:spacing w:line="280" w:lineRule="atLeast"/>
              <w:jc w:val="center"/>
              <w:rPr>
                <w:szCs w:val="21"/>
              </w:rPr>
            </w:pPr>
            <w:r>
              <w:rPr>
                <w:rFonts w:hint="eastAsia"/>
                <w:szCs w:val="21"/>
              </w:rPr>
              <w:t>3、2、</w:t>
            </w:r>
            <w:r>
              <w:rPr>
                <w:szCs w:val="21"/>
              </w:rPr>
              <w:t>1</w:t>
            </w:r>
          </w:p>
        </w:tc>
        <w:tc>
          <w:tcPr>
            <w:tcW w:w="9636" w:type="dxa"/>
            <w:vMerge w:val="continue"/>
            <w:noWrap w:val="0"/>
            <w:vAlign w:val="top"/>
          </w:tcPr>
          <w:p w14:paraId="5323BF50">
            <w:pPr>
              <w:adjustRightInd w:val="0"/>
              <w:snapToGrid w:val="0"/>
              <w:spacing w:line="280" w:lineRule="atLeast"/>
              <w:jc w:val="center"/>
              <w:rPr>
                <w:szCs w:val="21"/>
              </w:rPr>
            </w:pPr>
          </w:p>
        </w:tc>
      </w:tr>
      <w:tr w14:paraId="7189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64" w:hRule="atLeast"/>
          <w:jc w:val="center"/>
        </w:trPr>
        <w:tc>
          <w:tcPr>
            <w:tcW w:w="703" w:type="dxa"/>
            <w:vMerge w:val="continue"/>
            <w:noWrap w:val="0"/>
            <w:vAlign w:val="center"/>
          </w:tcPr>
          <w:p w14:paraId="57E7BD2F">
            <w:pPr>
              <w:adjustRightInd w:val="0"/>
              <w:snapToGrid w:val="0"/>
              <w:spacing w:line="280" w:lineRule="atLeast"/>
              <w:jc w:val="center"/>
              <w:rPr>
                <w:szCs w:val="21"/>
              </w:rPr>
            </w:pPr>
          </w:p>
        </w:tc>
        <w:tc>
          <w:tcPr>
            <w:tcW w:w="2266" w:type="dxa"/>
            <w:noWrap w:val="0"/>
            <w:vAlign w:val="center"/>
          </w:tcPr>
          <w:p w14:paraId="5621CC11">
            <w:pPr>
              <w:adjustRightInd w:val="0"/>
              <w:snapToGrid w:val="0"/>
              <w:spacing w:line="200" w:lineRule="atLeast"/>
              <w:jc w:val="center"/>
              <w:rPr>
                <w:szCs w:val="21"/>
              </w:rPr>
            </w:pPr>
            <w:r>
              <w:rPr>
                <w:szCs w:val="21"/>
              </w:rPr>
              <w:t>国家级体育类竞赛</w:t>
            </w:r>
          </w:p>
          <w:p w14:paraId="766175BA">
            <w:pPr>
              <w:adjustRightInd w:val="0"/>
              <w:snapToGrid w:val="0"/>
              <w:spacing w:line="200" w:lineRule="atLeast"/>
              <w:jc w:val="center"/>
              <w:rPr>
                <w:szCs w:val="21"/>
              </w:rPr>
            </w:pPr>
            <w:r>
              <w:rPr>
                <w:szCs w:val="21"/>
              </w:rPr>
              <w:t>1-8名</w:t>
            </w:r>
          </w:p>
        </w:tc>
        <w:tc>
          <w:tcPr>
            <w:tcW w:w="1560" w:type="dxa"/>
            <w:noWrap w:val="0"/>
            <w:vAlign w:val="center"/>
          </w:tcPr>
          <w:p w14:paraId="43FF2943">
            <w:pPr>
              <w:adjustRightInd w:val="0"/>
              <w:snapToGrid w:val="0"/>
              <w:spacing w:line="280" w:lineRule="atLeast"/>
              <w:jc w:val="center"/>
              <w:rPr>
                <w:szCs w:val="21"/>
              </w:rPr>
            </w:pPr>
            <w:r>
              <w:rPr>
                <w:szCs w:val="21"/>
              </w:rPr>
              <w:t>4.5-2</w:t>
            </w:r>
          </w:p>
        </w:tc>
        <w:tc>
          <w:tcPr>
            <w:tcW w:w="9636" w:type="dxa"/>
            <w:vMerge w:val="continue"/>
            <w:noWrap w:val="0"/>
            <w:vAlign w:val="top"/>
          </w:tcPr>
          <w:p w14:paraId="50FC2000">
            <w:pPr>
              <w:adjustRightInd w:val="0"/>
              <w:snapToGrid w:val="0"/>
              <w:spacing w:line="280" w:lineRule="atLeast"/>
              <w:jc w:val="center"/>
              <w:rPr>
                <w:szCs w:val="21"/>
              </w:rPr>
            </w:pPr>
          </w:p>
        </w:tc>
      </w:tr>
      <w:tr w14:paraId="3D8A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70" w:hRule="atLeast"/>
          <w:jc w:val="center"/>
        </w:trPr>
        <w:tc>
          <w:tcPr>
            <w:tcW w:w="703" w:type="dxa"/>
            <w:vMerge w:val="continue"/>
            <w:noWrap w:val="0"/>
            <w:vAlign w:val="center"/>
          </w:tcPr>
          <w:p w14:paraId="0E7BA9CD">
            <w:pPr>
              <w:adjustRightInd w:val="0"/>
              <w:snapToGrid w:val="0"/>
              <w:spacing w:line="280" w:lineRule="atLeast"/>
              <w:jc w:val="center"/>
              <w:rPr>
                <w:szCs w:val="21"/>
              </w:rPr>
            </w:pPr>
          </w:p>
        </w:tc>
        <w:tc>
          <w:tcPr>
            <w:tcW w:w="2266" w:type="dxa"/>
            <w:noWrap w:val="0"/>
            <w:vAlign w:val="center"/>
          </w:tcPr>
          <w:p w14:paraId="65D0E3A4">
            <w:pPr>
              <w:adjustRightInd w:val="0"/>
              <w:snapToGrid w:val="0"/>
              <w:spacing w:line="200" w:lineRule="atLeast"/>
              <w:rPr>
                <w:szCs w:val="21"/>
              </w:rPr>
            </w:pPr>
            <w:r>
              <w:rPr>
                <w:szCs w:val="21"/>
              </w:rPr>
              <w:t>省级体育类竞赛1-4名</w:t>
            </w:r>
          </w:p>
        </w:tc>
        <w:tc>
          <w:tcPr>
            <w:tcW w:w="1560" w:type="dxa"/>
            <w:noWrap w:val="0"/>
            <w:vAlign w:val="center"/>
          </w:tcPr>
          <w:p w14:paraId="30D62109">
            <w:pPr>
              <w:adjustRightInd w:val="0"/>
              <w:snapToGrid w:val="0"/>
              <w:spacing w:line="280" w:lineRule="atLeast"/>
              <w:jc w:val="center"/>
              <w:rPr>
                <w:szCs w:val="21"/>
              </w:rPr>
            </w:pPr>
            <w:r>
              <w:rPr>
                <w:szCs w:val="21"/>
              </w:rPr>
              <w:t>3</w:t>
            </w:r>
            <w:r>
              <w:rPr>
                <w:rFonts w:hint="eastAsia"/>
                <w:szCs w:val="21"/>
              </w:rPr>
              <w:t>、2.5、2、1.5</w:t>
            </w:r>
          </w:p>
        </w:tc>
        <w:tc>
          <w:tcPr>
            <w:tcW w:w="9636" w:type="dxa"/>
            <w:vMerge w:val="continue"/>
            <w:noWrap w:val="0"/>
            <w:vAlign w:val="top"/>
          </w:tcPr>
          <w:p w14:paraId="2B4575C3">
            <w:pPr>
              <w:adjustRightInd w:val="0"/>
              <w:snapToGrid w:val="0"/>
              <w:spacing w:line="280" w:lineRule="atLeast"/>
              <w:jc w:val="center"/>
              <w:rPr>
                <w:szCs w:val="21"/>
              </w:rPr>
            </w:pPr>
          </w:p>
        </w:tc>
      </w:tr>
      <w:tr w14:paraId="0035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restart"/>
            <w:noWrap w:val="0"/>
            <w:vAlign w:val="center"/>
          </w:tcPr>
          <w:p w14:paraId="7502D2F2">
            <w:pPr>
              <w:adjustRightInd w:val="0"/>
              <w:snapToGrid w:val="0"/>
              <w:spacing w:line="280" w:lineRule="atLeast"/>
              <w:jc w:val="center"/>
              <w:rPr>
                <w:szCs w:val="21"/>
              </w:rPr>
            </w:pPr>
            <w:r>
              <w:rPr>
                <w:szCs w:val="21"/>
              </w:rPr>
              <w:t>荣誉</w:t>
            </w:r>
          </w:p>
          <w:p w14:paraId="31A93804">
            <w:pPr>
              <w:adjustRightInd w:val="0"/>
              <w:snapToGrid w:val="0"/>
              <w:spacing w:line="280" w:lineRule="atLeast"/>
              <w:jc w:val="center"/>
              <w:rPr>
                <w:szCs w:val="21"/>
              </w:rPr>
            </w:pPr>
            <w:r>
              <w:rPr>
                <w:szCs w:val="21"/>
              </w:rPr>
              <w:t>称号</w:t>
            </w:r>
          </w:p>
        </w:tc>
        <w:tc>
          <w:tcPr>
            <w:tcW w:w="2266" w:type="dxa"/>
            <w:noWrap w:val="0"/>
            <w:vAlign w:val="top"/>
          </w:tcPr>
          <w:p w14:paraId="7DBCE1BA">
            <w:pPr>
              <w:adjustRightInd w:val="0"/>
              <w:snapToGrid w:val="0"/>
              <w:spacing w:line="280" w:lineRule="atLeast"/>
              <w:jc w:val="left"/>
              <w:rPr>
                <w:szCs w:val="21"/>
              </w:rPr>
            </w:pPr>
            <w:r>
              <w:rPr>
                <w:szCs w:val="21"/>
              </w:rPr>
              <w:t>全国三好学生、优秀学生干部、优秀共青团员、优秀团干部、优秀青年志愿者、“三下乡”先进个人等其他国家级荣誉</w:t>
            </w:r>
          </w:p>
        </w:tc>
        <w:tc>
          <w:tcPr>
            <w:tcW w:w="1560" w:type="dxa"/>
            <w:noWrap w:val="0"/>
            <w:vAlign w:val="center"/>
          </w:tcPr>
          <w:p w14:paraId="62BB2410">
            <w:pPr>
              <w:adjustRightInd w:val="0"/>
              <w:snapToGrid w:val="0"/>
              <w:spacing w:line="280" w:lineRule="atLeast"/>
              <w:jc w:val="center"/>
              <w:rPr>
                <w:szCs w:val="21"/>
              </w:rPr>
            </w:pPr>
            <w:r>
              <w:rPr>
                <w:rFonts w:hint="eastAsia"/>
                <w:szCs w:val="21"/>
              </w:rPr>
              <w:t>4</w:t>
            </w:r>
          </w:p>
        </w:tc>
        <w:tc>
          <w:tcPr>
            <w:tcW w:w="9636" w:type="dxa"/>
            <w:vMerge w:val="restart"/>
            <w:noWrap w:val="0"/>
            <w:vAlign w:val="top"/>
          </w:tcPr>
          <w:p w14:paraId="4F1B45B2">
            <w:pPr>
              <w:adjustRightInd w:val="0"/>
              <w:snapToGrid w:val="0"/>
              <w:spacing w:line="280" w:lineRule="atLeast"/>
              <w:jc w:val="left"/>
              <w:rPr>
                <w:szCs w:val="21"/>
              </w:rPr>
            </w:pPr>
          </w:p>
          <w:p w14:paraId="0F398D30">
            <w:pPr>
              <w:adjustRightInd w:val="0"/>
              <w:snapToGrid w:val="0"/>
              <w:spacing w:line="280" w:lineRule="atLeast"/>
              <w:jc w:val="left"/>
              <w:rPr>
                <w:szCs w:val="21"/>
              </w:rPr>
            </w:pPr>
          </w:p>
          <w:p w14:paraId="00A11270">
            <w:pPr>
              <w:adjustRightInd w:val="0"/>
              <w:snapToGrid w:val="0"/>
              <w:spacing w:line="280" w:lineRule="atLeast"/>
              <w:jc w:val="left"/>
              <w:rPr>
                <w:szCs w:val="21"/>
              </w:rPr>
            </w:pPr>
          </w:p>
          <w:p w14:paraId="09D2C1ED">
            <w:pPr>
              <w:adjustRightInd w:val="0"/>
              <w:snapToGrid w:val="0"/>
              <w:spacing w:line="280" w:lineRule="atLeast"/>
              <w:jc w:val="left"/>
              <w:rPr>
                <w:szCs w:val="21"/>
              </w:rPr>
            </w:pPr>
          </w:p>
          <w:p w14:paraId="70F7177A">
            <w:pPr>
              <w:adjustRightInd w:val="0"/>
              <w:snapToGrid w:val="0"/>
              <w:spacing w:line="280" w:lineRule="atLeast"/>
              <w:jc w:val="left"/>
              <w:rPr>
                <w:szCs w:val="21"/>
              </w:rPr>
            </w:pPr>
          </w:p>
          <w:p w14:paraId="2D409BC2">
            <w:pPr>
              <w:adjustRightInd w:val="0"/>
              <w:snapToGrid w:val="0"/>
              <w:spacing w:line="280" w:lineRule="atLeast"/>
              <w:jc w:val="left"/>
              <w:rPr>
                <w:szCs w:val="21"/>
              </w:rPr>
            </w:pPr>
          </w:p>
          <w:p w14:paraId="385E47B6">
            <w:pPr>
              <w:adjustRightInd w:val="0"/>
              <w:snapToGrid w:val="0"/>
              <w:spacing w:line="280" w:lineRule="atLeast"/>
              <w:jc w:val="left"/>
              <w:rPr>
                <w:szCs w:val="21"/>
              </w:rPr>
            </w:pPr>
          </w:p>
          <w:p w14:paraId="38B1B89B">
            <w:pPr>
              <w:adjustRightInd w:val="0"/>
              <w:snapToGrid w:val="0"/>
              <w:spacing w:line="280" w:lineRule="atLeast"/>
              <w:jc w:val="left"/>
              <w:rPr>
                <w:szCs w:val="21"/>
              </w:rPr>
            </w:pPr>
            <w:r>
              <w:rPr>
                <w:szCs w:val="21"/>
              </w:rPr>
              <w:t>1.荣誉称号类别奖励项目中，同一项目名称获得多项荣誉称号的，只计算一次奖励分值，不累</w:t>
            </w:r>
            <w:r>
              <w:rPr>
                <w:rFonts w:hint="eastAsia"/>
                <w:szCs w:val="21"/>
              </w:rPr>
              <w:t>加</w:t>
            </w:r>
            <w:r>
              <w:rPr>
                <w:szCs w:val="21"/>
              </w:rPr>
              <w:t>。</w:t>
            </w:r>
          </w:p>
          <w:p w14:paraId="53A4209E">
            <w:pPr>
              <w:adjustRightInd w:val="0"/>
              <w:snapToGrid w:val="0"/>
              <w:spacing w:line="280" w:lineRule="atLeast"/>
              <w:jc w:val="left"/>
              <w:rPr>
                <w:szCs w:val="21"/>
              </w:rPr>
            </w:pPr>
            <w:r>
              <w:rPr>
                <w:szCs w:val="21"/>
              </w:rPr>
              <w:t>2.荣誉称号类别累计加分不超过4分。</w:t>
            </w:r>
          </w:p>
          <w:p w14:paraId="1498BC3F">
            <w:pPr>
              <w:adjustRightInd w:val="0"/>
              <w:snapToGrid w:val="0"/>
              <w:spacing w:line="280" w:lineRule="atLeast"/>
              <w:jc w:val="left"/>
              <w:rPr>
                <w:szCs w:val="21"/>
              </w:rPr>
            </w:pPr>
          </w:p>
          <w:p w14:paraId="1840C33A">
            <w:pPr>
              <w:adjustRightInd w:val="0"/>
              <w:snapToGrid w:val="0"/>
              <w:spacing w:line="280" w:lineRule="atLeast"/>
              <w:jc w:val="left"/>
              <w:rPr>
                <w:szCs w:val="21"/>
              </w:rPr>
            </w:pPr>
            <w:r>
              <w:rPr>
                <w:rFonts w:hint="eastAsia"/>
                <w:szCs w:val="21"/>
              </w:rPr>
              <w:t>（举例说明：</w:t>
            </w:r>
          </w:p>
          <w:p w14:paraId="657166EA">
            <w:pPr>
              <w:adjustRightInd w:val="0"/>
              <w:snapToGrid w:val="0"/>
              <w:spacing w:line="280" w:lineRule="atLeast"/>
              <w:jc w:val="left"/>
              <w:rPr>
                <w:szCs w:val="21"/>
              </w:rPr>
            </w:pPr>
            <w:r>
              <w:rPr>
                <w:rFonts w:hint="eastAsia"/>
                <w:szCs w:val="21"/>
              </w:rPr>
              <w:t>同一年度学生既获得校级，又获得市级三好学生的，只取最市级加分。</w:t>
            </w:r>
          </w:p>
          <w:p w14:paraId="3D04D0E4">
            <w:pPr>
              <w:adjustRightInd w:val="0"/>
              <w:snapToGrid w:val="0"/>
              <w:spacing w:line="280" w:lineRule="atLeast"/>
              <w:jc w:val="left"/>
              <w:rPr>
                <w:szCs w:val="21"/>
              </w:rPr>
            </w:pPr>
            <w:r>
              <w:rPr>
                <w:rFonts w:hint="eastAsia"/>
                <w:szCs w:val="21"/>
              </w:rPr>
              <w:t>但如学生在2020-2021学年和2019-2020学年分别获得校级三好学生，则都要加分。）</w:t>
            </w:r>
          </w:p>
        </w:tc>
      </w:tr>
      <w:tr w14:paraId="43FA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continue"/>
            <w:noWrap w:val="0"/>
            <w:vAlign w:val="center"/>
          </w:tcPr>
          <w:p w14:paraId="153747FA">
            <w:pPr>
              <w:adjustRightInd w:val="0"/>
              <w:snapToGrid w:val="0"/>
              <w:spacing w:line="280" w:lineRule="atLeast"/>
              <w:jc w:val="center"/>
              <w:rPr>
                <w:szCs w:val="21"/>
              </w:rPr>
            </w:pPr>
          </w:p>
        </w:tc>
        <w:tc>
          <w:tcPr>
            <w:tcW w:w="2266" w:type="dxa"/>
            <w:noWrap w:val="0"/>
            <w:vAlign w:val="top"/>
          </w:tcPr>
          <w:p w14:paraId="0299D423">
            <w:pPr>
              <w:adjustRightInd w:val="0"/>
              <w:snapToGrid w:val="0"/>
              <w:spacing w:line="280" w:lineRule="atLeast"/>
              <w:jc w:val="left"/>
              <w:rPr>
                <w:szCs w:val="21"/>
              </w:rPr>
            </w:pPr>
            <w:r>
              <w:rPr>
                <w:szCs w:val="21"/>
              </w:rPr>
              <w:t>重庆市优秀共产党员、重庆市三好学生、优秀学生干部、优秀共青团员、优秀团干部、优秀青年志愿者、“三下乡”先进个人等其他重庆市级荣誉</w:t>
            </w:r>
          </w:p>
        </w:tc>
        <w:tc>
          <w:tcPr>
            <w:tcW w:w="1560" w:type="dxa"/>
            <w:noWrap w:val="0"/>
            <w:vAlign w:val="center"/>
          </w:tcPr>
          <w:p w14:paraId="2137B57D">
            <w:pPr>
              <w:adjustRightInd w:val="0"/>
              <w:snapToGrid w:val="0"/>
              <w:spacing w:line="280" w:lineRule="atLeast"/>
              <w:jc w:val="center"/>
              <w:rPr>
                <w:szCs w:val="21"/>
              </w:rPr>
            </w:pPr>
            <w:r>
              <w:rPr>
                <w:rFonts w:hint="eastAsia"/>
                <w:szCs w:val="21"/>
              </w:rPr>
              <w:t>3</w:t>
            </w:r>
          </w:p>
        </w:tc>
        <w:tc>
          <w:tcPr>
            <w:tcW w:w="9636" w:type="dxa"/>
            <w:vMerge w:val="continue"/>
            <w:noWrap w:val="0"/>
            <w:vAlign w:val="top"/>
          </w:tcPr>
          <w:p w14:paraId="6B2BE402">
            <w:pPr>
              <w:adjustRightInd w:val="0"/>
              <w:snapToGrid w:val="0"/>
              <w:spacing w:line="280" w:lineRule="atLeast"/>
              <w:jc w:val="center"/>
              <w:rPr>
                <w:szCs w:val="21"/>
              </w:rPr>
            </w:pPr>
          </w:p>
        </w:tc>
      </w:tr>
      <w:tr w14:paraId="00DB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continue"/>
            <w:noWrap w:val="0"/>
            <w:vAlign w:val="center"/>
          </w:tcPr>
          <w:p w14:paraId="07B6E0CD">
            <w:pPr>
              <w:adjustRightInd w:val="0"/>
              <w:snapToGrid w:val="0"/>
              <w:spacing w:line="280" w:lineRule="atLeast"/>
              <w:jc w:val="center"/>
              <w:rPr>
                <w:szCs w:val="21"/>
              </w:rPr>
            </w:pPr>
          </w:p>
        </w:tc>
        <w:tc>
          <w:tcPr>
            <w:tcW w:w="2266" w:type="dxa"/>
            <w:noWrap w:val="0"/>
            <w:vAlign w:val="top"/>
          </w:tcPr>
          <w:p w14:paraId="095A7E1A">
            <w:pPr>
              <w:adjustRightInd w:val="0"/>
              <w:snapToGrid w:val="0"/>
              <w:spacing w:line="280" w:lineRule="atLeast"/>
              <w:jc w:val="left"/>
              <w:rPr>
                <w:szCs w:val="21"/>
              </w:rPr>
            </w:pPr>
            <w:r>
              <w:rPr>
                <w:szCs w:val="21"/>
              </w:rPr>
              <w:t>校级优秀学生、优秀学生干部、优秀共青团员、优秀团干部、优秀青年志愿者、“三下乡”先进个人等荣誉。</w:t>
            </w:r>
          </w:p>
        </w:tc>
        <w:tc>
          <w:tcPr>
            <w:tcW w:w="1560" w:type="dxa"/>
            <w:noWrap w:val="0"/>
            <w:vAlign w:val="center"/>
          </w:tcPr>
          <w:p w14:paraId="3E1F7B74">
            <w:pPr>
              <w:adjustRightInd w:val="0"/>
              <w:snapToGrid w:val="0"/>
              <w:spacing w:line="280" w:lineRule="atLeast"/>
              <w:jc w:val="center"/>
              <w:rPr>
                <w:szCs w:val="21"/>
              </w:rPr>
            </w:pPr>
            <w:r>
              <w:rPr>
                <w:rFonts w:hint="eastAsia"/>
                <w:szCs w:val="21"/>
              </w:rPr>
              <w:t>0.2</w:t>
            </w:r>
          </w:p>
        </w:tc>
        <w:tc>
          <w:tcPr>
            <w:tcW w:w="9636" w:type="dxa"/>
            <w:vMerge w:val="continue"/>
            <w:noWrap w:val="0"/>
            <w:vAlign w:val="top"/>
          </w:tcPr>
          <w:p w14:paraId="31C3860E">
            <w:pPr>
              <w:adjustRightInd w:val="0"/>
              <w:snapToGrid w:val="0"/>
              <w:spacing w:line="280" w:lineRule="atLeast"/>
              <w:jc w:val="center"/>
              <w:rPr>
                <w:kern w:val="0"/>
                <w:szCs w:val="21"/>
              </w:rPr>
            </w:pPr>
          </w:p>
        </w:tc>
      </w:tr>
      <w:tr w14:paraId="0C88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restart"/>
            <w:tcBorders>
              <w:top w:val="single" w:color="auto" w:sz="4" w:space="0"/>
              <w:left w:val="single" w:color="auto" w:sz="4" w:space="0"/>
              <w:right w:val="single" w:color="auto" w:sz="4" w:space="0"/>
            </w:tcBorders>
            <w:noWrap w:val="0"/>
            <w:vAlign w:val="center"/>
          </w:tcPr>
          <w:p w14:paraId="4C86B38D">
            <w:pPr>
              <w:adjustRightInd w:val="0"/>
              <w:snapToGrid w:val="0"/>
              <w:spacing w:line="280" w:lineRule="atLeast"/>
              <w:jc w:val="center"/>
              <w:rPr>
                <w:szCs w:val="21"/>
              </w:rPr>
            </w:pPr>
            <w:r>
              <w:rPr>
                <w:szCs w:val="21"/>
              </w:rPr>
              <w:t>其他</w:t>
            </w:r>
          </w:p>
        </w:tc>
        <w:tc>
          <w:tcPr>
            <w:tcW w:w="2266" w:type="dxa"/>
            <w:tcBorders>
              <w:top w:val="single" w:color="auto" w:sz="4" w:space="0"/>
              <w:left w:val="single" w:color="auto" w:sz="4" w:space="0"/>
              <w:bottom w:val="single" w:color="auto" w:sz="4" w:space="0"/>
              <w:right w:val="single" w:color="auto" w:sz="4" w:space="0"/>
            </w:tcBorders>
            <w:noWrap w:val="0"/>
            <w:vAlign w:val="center"/>
          </w:tcPr>
          <w:p w14:paraId="3B0B9C2A">
            <w:pPr>
              <w:adjustRightInd w:val="0"/>
              <w:snapToGrid w:val="0"/>
              <w:spacing w:line="280" w:lineRule="atLeast"/>
              <w:jc w:val="center"/>
              <w:rPr>
                <w:szCs w:val="21"/>
              </w:rPr>
            </w:pPr>
            <w:r>
              <w:rPr>
                <w:szCs w:val="21"/>
              </w:rPr>
              <w:t>进入国际组织实习</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588DDFD">
            <w:pPr>
              <w:adjustRightInd w:val="0"/>
              <w:snapToGrid w:val="0"/>
              <w:spacing w:line="280" w:lineRule="atLeast"/>
              <w:jc w:val="center"/>
              <w:rPr>
                <w:szCs w:val="21"/>
              </w:rPr>
            </w:pPr>
            <w:r>
              <w:rPr>
                <w:rFonts w:hint="eastAsia"/>
                <w:szCs w:val="21"/>
              </w:rPr>
              <w:t>1.5</w:t>
            </w:r>
          </w:p>
        </w:tc>
        <w:tc>
          <w:tcPr>
            <w:tcW w:w="9636" w:type="dxa"/>
            <w:vMerge w:val="restart"/>
            <w:tcBorders>
              <w:top w:val="single" w:color="auto" w:sz="4" w:space="0"/>
              <w:left w:val="single" w:color="auto" w:sz="4" w:space="0"/>
              <w:right w:val="single" w:color="auto" w:sz="4" w:space="0"/>
            </w:tcBorders>
            <w:noWrap w:val="0"/>
            <w:vAlign w:val="top"/>
          </w:tcPr>
          <w:p w14:paraId="58C8FBBB">
            <w:pPr>
              <w:adjustRightInd w:val="0"/>
              <w:snapToGrid w:val="0"/>
              <w:spacing w:line="280" w:lineRule="atLeast"/>
              <w:jc w:val="left"/>
              <w:rPr>
                <w:szCs w:val="21"/>
              </w:rPr>
            </w:pPr>
          </w:p>
          <w:p w14:paraId="6C70D3C5">
            <w:pPr>
              <w:adjustRightInd w:val="0"/>
              <w:snapToGrid w:val="0"/>
              <w:spacing w:line="280" w:lineRule="atLeast"/>
              <w:jc w:val="left"/>
              <w:rPr>
                <w:szCs w:val="21"/>
              </w:rPr>
            </w:pPr>
            <w:r>
              <w:rPr>
                <w:szCs w:val="21"/>
              </w:rPr>
              <w:t>1.大学生创新创业训练项目须已结题验收；</w:t>
            </w:r>
          </w:p>
          <w:p w14:paraId="61E76217">
            <w:pPr>
              <w:adjustRightInd w:val="0"/>
              <w:snapToGrid w:val="0"/>
              <w:spacing w:line="280" w:lineRule="atLeast"/>
              <w:jc w:val="left"/>
              <w:rPr>
                <w:szCs w:val="21"/>
              </w:rPr>
            </w:pPr>
            <w:r>
              <w:rPr>
                <w:szCs w:val="21"/>
              </w:rPr>
              <w:t>2.创新创业训练团队项目排名前3按100%奖励分值加分，项目排名4-6按50%加分，其他按20%加分</w:t>
            </w:r>
          </w:p>
          <w:p w14:paraId="5EF86C8A">
            <w:pPr>
              <w:adjustRightInd w:val="0"/>
              <w:snapToGrid w:val="0"/>
              <w:spacing w:line="280" w:lineRule="atLeast"/>
              <w:jc w:val="left"/>
              <w:rPr>
                <w:szCs w:val="21"/>
              </w:rPr>
            </w:pPr>
            <w:r>
              <w:rPr>
                <w:szCs w:val="21"/>
              </w:rPr>
              <w:t>3.其他项目类别累计加分不超过2分。</w:t>
            </w:r>
          </w:p>
        </w:tc>
      </w:tr>
      <w:tr w14:paraId="7CF6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continue"/>
            <w:tcBorders>
              <w:left w:val="single" w:color="auto" w:sz="4" w:space="0"/>
              <w:right w:val="single" w:color="auto" w:sz="4" w:space="0"/>
            </w:tcBorders>
            <w:noWrap w:val="0"/>
            <w:vAlign w:val="center"/>
          </w:tcPr>
          <w:p w14:paraId="155DFDD3">
            <w:pPr>
              <w:adjustRightInd w:val="0"/>
              <w:snapToGrid w:val="0"/>
              <w:spacing w:line="280" w:lineRule="atLeast"/>
              <w:jc w:val="center"/>
              <w:rPr>
                <w:szCs w:val="21"/>
              </w:rPr>
            </w:pPr>
          </w:p>
        </w:tc>
        <w:tc>
          <w:tcPr>
            <w:tcW w:w="2266" w:type="dxa"/>
            <w:tcBorders>
              <w:top w:val="single" w:color="auto" w:sz="4" w:space="0"/>
              <w:left w:val="single" w:color="auto" w:sz="4" w:space="0"/>
              <w:bottom w:val="single" w:color="auto" w:sz="4" w:space="0"/>
              <w:right w:val="single" w:color="auto" w:sz="4" w:space="0"/>
            </w:tcBorders>
            <w:noWrap w:val="0"/>
            <w:vAlign w:val="center"/>
          </w:tcPr>
          <w:p w14:paraId="7DC72898">
            <w:pPr>
              <w:adjustRightInd w:val="0"/>
              <w:snapToGrid w:val="0"/>
              <w:spacing w:line="280" w:lineRule="atLeast"/>
              <w:jc w:val="center"/>
              <w:rPr>
                <w:szCs w:val="21"/>
              </w:rPr>
            </w:pPr>
            <w:r>
              <w:rPr>
                <w:szCs w:val="21"/>
              </w:rPr>
              <w:t>公派海外（境外）学习经历（半年或一学期以上）、应征入伍</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25B51E15">
            <w:pPr>
              <w:adjustRightInd w:val="0"/>
              <w:snapToGrid w:val="0"/>
              <w:spacing w:line="280" w:lineRule="atLeast"/>
              <w:jc w:val="center"/>
              <w:rPr>
                <w:szCs w:val="21"/>
              </w:rPr>
            </w:pPr>
            <w:r>
              <w:rPr>
                <w:rFonts w:hint="eastAsia"/>
                <w:szCs w:val="21"/>
              </w:rPr>
              <w:t>1</w:t>
            </w:r>
          </w:p>
        </w:tc>
        <w:tc>
          <w:tcPr>
            <w:tcW w:w="9636" w:type="dxa"/>
            <w:vMerge w:val="continue"/>
            <w:tcBorders>
              <w:left w:val="single" w:color="auto" w:sz="4" w:space="0"/>
              <w:right w:val="single" w:color="auto" w:sz="4" w:space="0"/>
            </w:tcBorders>
            <w:noWrap w:val="0"/>
            <w:vAlign w:val="top"/>
          </w:tcPr>
          <w:p w14:paraId="0412D7D8">
            <w:pPr>
              <w:adjustRightInd w:val="0"/>
              <w:snapToGrid w:val="0"/>
              <w:spacing w:line="280" w:lineRule="atLeast"/>
              <w:jc w:val="center"/>
              <w:rPr>
                <w:szCs w:val="21"/>
              </w:rPr>
            </w:pPr>
          </w:p>
        </w:tc>
      </w:tr>
      <w:tr w14:paraId="6570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40" w:hRule="atLeast"/>
          <w:jc w:val="center"/>
        </w:trPr>
        <w:tc>
          <w:tcPr>
            <w:tcW w:w="703" w:type="dxa"/>
            <w:vMerge w:val="continue"/>
            <w:tcBorders>
              <w:left w:val="single" w:color="auto" w:sz="4" w:space="0"/>
              <w:bottom w:val="single" w:color="auto" w:sz="4" w:space="0"/>
              <w:right w:val="single" w:color="auto" w:sz="4" w:space="0"/>
            </w:tcBorders>
            <w:noWrap w:val="0"/>
            <w:vAlign w:val="center"/>
          </w:tcPr>
          <w:p w14:paraId="1A21C208">
            <w:pPr>
              <w:adjustRightInd w:val="0"/>
              <w:snapToGrid w:val="0"/>
              <w:spacing w:line="280" w:lineRule="atLeast"/>
              <w:jc w:val="center"/>
              <w:rPr>
                <w:szCs w:val="21"/>
              </w:rPr>
            </w:pPr>
          </w:p>
        </w:tc>
        <w:tc>
          <w:tcPr>
            <w:tcW w:w="2266" w:type="dxa"/>
            <w:tcBorders>
              <w:top w:val="single" w:color="auto" w:sz="4" w:space="0"/>
              <w:left w:val="single" w:color="auto" w:sz="4" w:space="0"/>
              <w:bottom w:val="single" w:color="auto" w:sz="4" w:space="0"/>
              <w:right w:val="single" w:color="auto" w:sz="4" w:space="0"/>
            </w:tcBorders>
            <w:noWrap w:val="0"/>
            <w:vAlign w:val="center"/>
          </w:tcPr>
          <w:p w14:paraId="53DC7D10">
            <w:pPr>
              <w:adjustRightInd w:val="0"/>
              <w:snapToGrid w:val="0"/>
              <w:spacing w:line="280" w:lineRule="atLeast"/>
              <w:jc w:val="center"/>
              <w:rPr>
                <w:spacing w:val="-10"/>
                <w:szCs w:val="21"/>
              </w:rPr>
            </w:pPr>
            <w:r>
              <w:rPr>
                <w:spacing w:val="-10"/>
                <w:szCs w:val="21"/>
              </w:rPr>
              <w:t>承担大学生创新创业训练项目（国家、市级、校级）</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48A107FE">
            <w:pPr>
              <w:adjustRightInd w:val="0"/>
              <w:snapToGrid w:val="0"/>
              <w:spacing w:line="280" w:lineRule="atLeast"/>
              <w:jc w:val="center"/>
              <w:rPr>
                <w:szCs w:val="21"/>
              </w:rPr>
            </w:pPr>
            <w:r>
              <w:rPr>
                <w:rFonts w:hint="eastAsia"/>
                <w:szCs w:val="21"/>
              </w:rPr>
              <w:t>2、1.5、1</w:t>
            </w:r>
          </w:p>
        </w:tc>
        <w:tc>
          <w:tcPr>
            <w:tcW w:w="9636" w:type="dxa"/>
            <w:vMerge w:val="continue"/>
            <w:tcBorders>
              <w:left w:val="single" w:color="auto" w:sz="4" w:space="0"/>
              <w:bottom w:val="single" w:color="auto" w:sz="4" w:space="0"/>
              <w:right w:val="single" w:color="auto" w:sz="4" w:space="0"/>
            </w:tcBorders>
            <w:noWrap w:val="0"/>
            <w:vAlign w:val="top"/>
          </w:tcPr>
          <w:p w14:paraId="0B5FAC5F">
            <w:pPr>
              <w:adjustRightInd w:val="0"/>
              <w:snapToGrid w:val="0"/>
              <w:spacing w:line="280" w:lineRule="atLeast"/>
              <w:jc w:val="center"/>
              <w:rPr>
                <w:szCs w:val="21"/>
              </w:rPr>
            </w:pPr>
          </w:p>
        </w:tc>
      </w:tr>
    </w:tbl>
    <w:p w14:paraId="5B700F1B">
      <w:pPr>
        <w:adjustRightInd w:val="0"/>
        <w:snapToGrid w:val="0"/>
        <w:spacing w:line="280" w:lineRule="atLeast"/>
        <w:jc w:val="left"/>
        <w:rPr>
          <w:rFonts w:ascii="仿宋_GB2312" w:hAnsi="宋体" w:eastAsia="仿宋_GB2312"/>
          <w:sz w:val="28"/>
          <w:szCs w:val="28"/>
        </w:rPr>
        <w:sectPr>
          <w:footerReference r:id="rId3" w:type="default"/>
          <w:footerReference r:id="rId4" w:type="even"/>
          <w:pgSz w:w="16838" w:h="11906" w:orient="landscape"/>
          <w:pgMar w:top="1559" w:right="1440" w:bottom="1418" w:left="1440" w:header="851" w:footer="992" w:gutter="0"/>
          <w:cols w:space="720" w:num="1"/>
          <w:docGrid w:type="linesAndChars" w:linePitch="312" w:charSpace="0"/>
        </w:sectPr>
      </w:pPr>
      <w:r>
        <w:rPr>
          <w:sz w:val="24"/>
        </w:rPr>
        <w:t>说明：1.所获奖励加分成果均为大学在读期间获得，须提供证明材料，截止日期为推免申请材料提交截止时间。</w:t>
      </w:r>
      <w:r>
        <w:rPr>
          <w:rFonts w:hint="eastAsia"/>
          <w:sz w:val="24"/>
        </w:rPr>
        <w:t>2</w:t>
      </w:r>
      <w:r>
        <w:rPr>
          <w:sz w:val="24"/>
        </w:rPr>
        <w:t>.</w:t>
      </w:r>
      <w:r>
        <w:rPr>
          <w:rFonts w:hint="eastAsia" w:ascii="仿宋_GB2312" w:hAnsi="仿宋_GB2312" w:eastAsia="仿宋_GB2312" w:cs="仿宋_GB2312"/>
          <w:szCs w:val="32"/>
        </w:rPr>
        <w:t xml:space="preserve"> </w:t>
      </w:r>
      <w:r>
        <w:rPr>
          <w:rFonts w:hint="eastAsia"/>
          <w:sz w:val="24"/>
        </w:rPr>
        <w:t>学生与直系亲属或学历、职称、职务明显高于本人者合作的科研成果、竞赛奖项等仅作为参考，不纳入学生本人推免遴选综合评价成绩计算体系，同等条件下可优先考虑。</w:t>
      </w:r>
      <w:r>
        <w:rPr>
          <w:sz w:val="24"/>
        </w:rPr>
        <w:t>3.奖励加分累计不超过15分。</w:t>
      </w:r>
      <w:bookmarkStart w:id="1" w:name="_GoBack"/>
      <w:bookmarkEnd w:id="1"/>
    </w:p>
    <w:p w14:paraId="6B8198B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960DD">
    <w:pPr>
      <w:pStyle w:val="2"/>
      <w:ind w:right="360"/>
      <w:jc w:val="center"/>
      <w:rPr>
        <w:rFonts w:ascii="宋体" w:hAnsi="宋体"/>
        <w:sz w:val="28"/>
        <w:szCs w:val="28"/>
      </w:rPr>
    </w:pPr>
    <w:r>
      <w:rPr>
        <w:rFonts w:hint="eastAsia"/>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3</w:t>
    </w:r>
    <w:r>
      <w:rPr>
        <w:rFonts w:ascii="宋体" w:hAnsi="宋体"/>
        <w:sz w:val="28"/>
        <w:szCs w:val="28"/>
      </w:rPr>
      <w:fldChar w:fldCharType="end"/>
    </w:r>
  </w:p>
  <w:p w14:paraId="28E592B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4049C">
    <w:pPr>
      <w:pStyle w:val="2"/>
      <w:rPr>
        <w:rFonts w:ascii="宋体" w:hAnsi="宋体"/>
        <w:sz w:val="28"/>
        <w:szCs w:val="28"/>
      </w:rPr>
    </w:pPr>
    <w:r>
      <w:rPr>
        <w:rFonts w:hint="eastAsia"/>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4</w:t>
    </w:r>
    <w:r>
      <w:rPr>
        <w:rFonts w:ascii="宋体" w:hAnsi="宋体"/>
        <w:sz w:val="28"/>
        <w:szCs w:val="28"/>
      </w:rPr>
      <w:fldChar w:fldCharType="end"/>
    </w:r>
  </w:p>
  <w:p w14:paraId="0080E49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86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2026-08-25T03:27:57Z</dcterms:created>
  <dc:creator>HP</dc:creator>
  <cp:lastModifiedBy>最可爱星</cp:lastModifiedBy>
  <dcterms:modified xsi:type="dcterms:W3CDTF">2026-08-25T03:28:04Z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eyJoZGlkIjoiMjNjZTIwYWJmNzM1MmIzNDQzYWIzMTU0YTk3ZDRmYzUiLCJ1c2VySWQiOiI0MjM4MjUzNzcifQ==</vt:lpwstr>
  </property>
  <property fmtid="{D5CDD505-2E9C-101B-9397-08002B2CF9AE}" pid="4" name="ICV">
    <vt:lpwstr>C510965DEA744D47A7181F9F922DB6F3_12</vt:lpwstr>
  </property>
</Properties>
</file>