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44352">
      <w:pPr>
        <w:spacing w:line="5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商学院推荐优秀应届本科毕业生免试攻读硕士学位研究生实施细则</w:t>
      </w:r>
    </w:p>
    <w:p w14:paraId="3F9918C1">
      <w:pPr>
        <w:spacing w:line="5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7</w:t>
      </w:r>
      <w:r>
        <w:rPr>
          <w:rFonts w:hint="eastAsia" w:ascii="方正小标宋_GBK" w:hAnsi="方正小标宋_GBK" w:eastAsia="方正小标宋_GBK" w:cs="方正小标宋_GBK"/>
          <w:sz w:val="44"/>
          <w:szCs w:val="44"/>
        </w:rPr>
        <w:t>月修订）</w:t>
      </w:r>
    </w:p>
    <w:p w14:paraId="3C6F8E71">
      <w:pPr>
        <w:pStyle w:val="2"/>
        <w:spacing w:after="0" w:line="580" w:lineRule="exact"/>
        <w:rPr>
          <w:rFonts w:ascii="黑体" w:hAnsi="黑体" w:eastAsia="黑体" w:cs="黑体"/>
          <w:szCs w:val="32"/>
        </w:rPr>
      </w:pPr>
    </w:p>
    <w:p w14:paraId="378C24B2">
      <w:pPr>
        <w:spacing w:line="580" w:lineRule="exact"/>
        <w:ind w:left="-15" w:firstLine="643" w:firstLineChars="200"/>
        <w:rPr>
          <w:rFonts w:ascii="黑体" w:hAnsi="黑体" w:eastAsia="黑体" w:cs="黑体"/>
          <w:szCs w:val="32"/>
        </w:rPr>
      </w:pPr>
      <w:r>
        <w:rPr>
          <w:rFonts w:hint="eastAsia" w:ascii="方正仿宋_GBK" w:hAnsi="方正仿宋_GBK" w:eastAsia="方正仿宋_GBK" w:cs="方正仿宋_GBK"/>
          <w:b/>
          <w:bCs/>
          <w:sz w:val="32"/>
          <w:szCs w:val="32"/>
        </w:rPr>
        <w:t xml:space="preserve">第一条 </w:t>
      </w:r>
      <w:r>
        <w:rPr>
          <w:rFonts w:hint="eastAsia" w:ascii="方正仿宋_GBK" w:hAnsi="方正仿宋_GBK" w:eastAsia="方正仿宋_GBK" w:cs="方正仿宋_GBK"/>
          <w:sz w:val="32"/>
          <w:szCs w:val="32"/>
        </w:rPr>
        <w:t xml:space="preserve">根据《西南政法大学推荐优秀应届本科毕业生免试攻读硕士学位研究生管理办法》（西政校发〔2021〕354号），结合我院实际，制定本实施细则。 </w:t>
      </w:r>
    </w:p>
    <w:p w14:paraId="27BAA0C5">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第二条</w:t>
      </w:r>
      <w:r>
        <w:rPr>
          <w:rFonts w:hint="eastAsia" w:ascii="方正仿宋_GBK" w:hAnsi="方正仿宋_GBK" w:eastAsia="方正仿宋_GBK" w:cs="方正仿宋_GBK"/>
          <w:sz w:val="32"/>
          <w:szCs w:val="32"/>
        </w:rPr>
        <w:t xml:space="preserve"> 学院成立推免生推荐选拔工作小组（以下简称工作小组），工作小组下设领导小组、专家组、审核组、办公室等。</w:t>
      </w:r>
    </w:p>
    <w:p w14:paraId="5F9D0268">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领导小组由书记、院长任组长、分管本科教学副院长任执行组长、分管学生工作副书记任副组长、教师代表和当年开展推免工作的年级学生辅导员等为组员。</w:t>
      </w:r>
    </w:p>
    <w:p w14:paraId="22F55238">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领导小组负责领导和组织学院推荐选拔工作，集体研究决定本学院拟推免名单等。 </w:t>
      </w:r>
    </w:p>
    <w:p w14:paraId="6687329D">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专家组由学院推免生推荐选拔工作小组进行选任，专家组原则上应具有相关学科副教授以上职称，一般不少于 5 人，负责对申请推免资格学生的科研创新成果、论文、竞赛获奖奖项及内容进行审核鉴定并进行创新能力测评。 </w:t>
      </w:r>
    </w:p>
    <w:p w14:paraId="1D24E84E">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审核组由分管教学的副院长、学院教务办主任、当年开展推免工作的年级学生辅导员、教务办工作人员组成，负责接收本学院推免申请、资格审核、复核等工作。</w:t>
      </w:r>
    </w:p>
    <w:p w14:paraId="0EB0A63D">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办公室由学院教务办主任和工作人员组成，负责本学院推免工作通知、公示和材料报送及其他日常业务相关事宜。 </w:t>
      </w:r>
    </w:p>
    <w:p w14:paraId="3514D5B8">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学院纪委书记对学院推免工作实行全程监督。</w:t>
      </w:r>
    </w:p>
    <w:p w14:paraId="73F3455A">
      <w:pPr>
        <w:spacing w:line="58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第三条</w:t>
      </w:r>
      <w:r>
        <w:rPr>
          <w:rFonts w:hint="eastAsia" w:ascii="方正仿宋_GBK" w:hAnsi="方正仿宋_GBK" w:eastAsia="方正仿宋_GBK" w:cs="方正仿宋_GBK"/>
          <w:sz w:val="32"/>
          <w:szCs w:val="32"/>
        </w:rPr>
        <w:t xml:space="preserve"> 符合《西南政法大学推荐优秀应届本科毕业生免试攻读硕士学位研究生管理办法（修订）》（西政校发〔2021〕354号）“第三章：资格确定”中所规定条件的学生可申请参加推免选拔。</w:t>
      </w:r>
    </w:p>
    <w:p w14:paraId="4961230B">
      <w:pPr>
        <w:spacing w:line="580" w:lineRule="exact"/>
        <w:ind w:firstLine="64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其中由学校派出的赴境内外高校交流学习的交换生的成绩考核以其在</w:t>
      </w:r>
      <w:r>
        <w:rPr>
          <w:rFonts w:hint="eastAsia" w:ascii="方正仿宋_GBK" w:hAnsi="方正仿宋_GBK" w:eastAsia="方正仿宋_GBK" w:cs="方正仿宋_GBK"/>
          <w:color w:val="FF0000"/>
          <w:sz w:val="32"/>
          <w:szCs w:val="32"/>
        </w:rPr>
        <w:t>我校修读学期</w:t>
      </w:r>
      <w:r>
        <w:rPr>
          <w:rFonts w:hint="eastAsia" w:ascii="方正仿宋_GBK" w:eastAsia="方正仿宋_GBK"/>
          <w:color w:val="FF0000"/>
          <w:sz w:val="32"/>
          <w:szCs w:val="32"/>
        </w:rPr>
        <w:t>所取得的必修课程</w:t>
      </w:r>
      <w:r>
        <w:rPr>
          <w:rFonts w:hint="eastAsia" w:ascii="方正仿宋_GBK" w:hAnsi="方正仿宋_GBK" w:eastAsia="方正仿宋_GBK" w:cs="方正仿宋_GBK"/>
          <w:color w:val="FF0000"/>
          <w:sz w:val="32"/>
          <w:szCs w:val="32"/>
        </w:rPr>
        <w:t>为限</w:t>
      </w:r>
      <w:r>
        <w:rPr>
          <w:rFonts w:hint="eastAsia" w:ascii="方正仿宋_GBK" w:hAnsi="方正仿宋_GBK" w:eastAsia="方正仿宋_GBK" w:cs="方正仿宋_GBK"/>
          <w:sz w:val="32"/>
          <w:szCs w:val="32"/>
        </w:rPr>
        <w:t>。</w:t>
      </w:r>
    </w:p>
    <w:p w14:paraId="204178D6">
      <w:pPr>
        <w:pStyle w:val="4"/>
        <w:shd w:val="clear" w:color="auto" w:fill="FFFFFF"/>
        <w:spacing w:beforeAutospacing="0" w:afterAutospacing="0" w:line="580" w:lineRule="exact"/>
        <w:ind w:firstLine="640" w:firstLineChars="200"/>
        <w:rPr>
          <w:rFonts w:ascii="方正仿宋_GBK" w:hAnsi="方正仿宋_GBK" w:eastAsia="方正仿宋_GBK" w:cs="方正仿宋_GBK"/>
          <w:sz w:val="32"/>
          <w:szCs w:val="32"/>
        </w:rPr>
      </w:pPr>
      <w:r>
        <w:rPr>
          <w:rFonts w:hint="eastAsia" w:ascii="方正仿宋_GBK" w:eastAsia="方正仿宋_GBK"/>
          <w:color w:val="FF0000"/>
          <w:kern w:val="2"/>
          <w:sz w:val="32"/>
          <w:szCs w:val="32"/>
        </w:rPr>
        <w:t>学院同一专业既有实验班又有普通班的，以培养方案中共有的必修课程计算加权平均分排序。</w:t>
      </w:r>
    </w:p>
    <w:p w14:paraId="41D35371">
      <w:pPr>
        <w:spacing w:line="580" w:lineRule="exact"/>
        <w:ind w:right="274"/>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b/>
          <w:bCs/>
          <w:sz w:val="32"/>
          <w:szCs w:val="32"/>
        </w:rPr>
        <w:t xml:space="preserve">    第四条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color w:val="FF0000"/>
          <w:sz w:val="32"/>
          <w:szCs w:val="32"/>
        </w:rPr>
        <w:t>学院每年推免生名额按学校当年下达的名额执行</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FF0000"/>
          <w:sz w:val="32"/>
          <w:szCs w:val="32"/>
        </w:rPr>
        <w:t>原则上根据各专业毕业年级人数占全学院毕业年级总人数的比例下达推荐名额，</w:t>
      </w:r>
      <w:r>
        <w:rPr>
          <w:rFonts w:hint="eastAsia" w:ascii="方正仿宋_GBK" w:hAnsi="方正仿宋_GBK" w:eastAsia="方正仿宋_GBK" w:cs="方正仿宋_GBK"/>
          <w:sz w:val="32"/>
          <w:szCs w:val="32"/>
        </w:rPr>
        <w:t>依据上级文件，向基础学科、国家战略和民生急需学科倾斜，并根据学院专业和学科发展需要、专业就业升学情况及专业建设成果等，适度调配各专业推荐名额。</w:t>
      </w:r>
    </w:p>
    <w:p w14:paraId="6DDB01D8">
      <w:pPr>
        <w:spacing w:line="580" w:lineRule="exact"/>
        <w:ind w:left="-15" w:firstLine="640" w:firstLineChars="200"/>
        <w:rPr>
          <w:rFonts w:ascii="方正仿宋_GBK" w:hAnsi="方正仿宋_GBK" w:eastAsia="方正仿宋_GBK" w:cs="方正仿宋_GBK"/>
          <w:color w:val="FF0000"/>
          <w:sz w:val="32"/>
          <w:szCs w:val="32"/>
        </w:rPr>
      </w:pPr>
      <w:r>
        <w:rPr>
          <w:rFonts w:hint="eastAsia" w:ascii="方正仿宋_GBK" w:hAnsi="方正仿宋_GBK" w:eastAsia="方正仿宋_GBK" w:cs="方正仿宋_GBK"/>
          <w:sz w:val="32"/>
          <w:szCs w:val="32"/>
        </w:rPr>
        <w:t>通过面向全校遴选优秀学生建立的校级实验班、联合办学项目和双学位复合型人才培养项目等学校人才培养改革项目，名额划拨可适度倾斜。</w:t>
      </w:r>
      <w:r>
        <w:rPr>
          <w:rFonts w:hint="eastAsia" w:ascii="方正仿宋_GBK" w:hAnsi="方正仿宋_GBK" w:eastAsia="方正仿宋_GBK" w:cs="方正仿宋_GBK"/>
          <w:color w:val="FF0000"/>
          <w:sz w:val="32"/>
          <w:szCs w:val="32"/>
        </w:rPr>
        <w:t>如某专业符合推免条件学生人数少于推荐名额，则将多余名额分配至符合条件人数多的其他专业，经学院党政联席会议同意报学校主管部门备案。</w:t>
      </w:r>
    </w:p>
    <w:p w14:paraId="552C008A">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第五条</w:t>
      </w:r>
      <w:r>
        <w:rPr>
          <w:rFonts w:hint="eastAsia" w:ascii="方正仿宋_GBK" w:hAnsi="方正仿宋_GBK" w:eastAsia="方正仿宋_GBK" w:cs="方正仿宋_GBK"/>
          <w:sz w:val="32"/>
          <w:szCs w:val="32"/>
        </w:rPr>
        <w:t xml:space="preserve"> 学院工作小组应按照学校划拨名额推荐合格人选，同时</w:t>
      </w:r>
      <w:r>
        <w:rPr>
          <w:rFonts w:hint="eastAsia" w:ascii="方正仿宋_GBK" w:hAnsi="方正仿宋_GBK" w:eastAsia="方正仿宋_GBK" w:cs="方正仿宋_GBK"/>
          <w:color w:val="FF0000"/>
          <w:sz w:val="32"/>
          <w:szCs w:val="32"/>
        </w:rPr>
        <w:t>每个专业</w:t>
      </w:r>
      <w:r>
        <w:rPr>
          <w:rFonts w:hint="eastAsia" w:ascii="方正仿宋_GBK" w:hAnsi="方正仿宋_GBK" w:eastAsia="方正仿宋_GBK" w:cs="方正仿宋_GBK"/>
          <w:sz w:val="32"/>
          <w:szCs w:val="32"/>
        </w:rPr>
        <w:t xml:space="preserve">可推荐1-2名符合推免条件、但因名额限制未获推荐的学生为候补人选一并报送。 </w:t>
      </w:r>
    </w:p>
    <w:p w14:paraId="36CDD4C3">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在规定期限内，如推荐人选经审查不符合条件或放弃推免资格，在相应</w:t>
      </w:r>
      <w:r>
        <w:rPr>
          <w:rFonts w:hint="eastAsia" w:ascii="方正仿宋_GBK" w:hAnsi="方正仿宋_GBK" w:eastAsia="方正仿宋_GBK" w:cs="方正仿宋_GBK"/>
          <w:color w:val="FF0000"/>
          <w:sz w:val="32"/>
          <w:szCs w:val="32"/>
        </w:rPr>
        <w:t>专业内</w:t>
      </w:r>
      <w:r>
        <w:rPr>
          <w:rFonts w:hint="eastAsia" w:ascii="方正仿宋_GBK" w:hAnsi="方正仿宋_GBK" w:eastAsia="方正仿宋_GBK" w:cs="方正仿宋_GBK"/>
          <w:sz w:val="32"/>
          <w:szCs w:val="32"/>
        </w:rPr>
        <w:t xml:space="preserve">候补人选可递补入选。 </w:t>
      </w:r>
    </w:p>
    <w:p w14:paraId="3B424B7B">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第六条</w:t>
      </w:r>
      <w:r>
        <w:rPr>
          <w:rFonts w:hint="eastAsia" w:ascii="方正仿宋_GBK" w:hAnsi="方正仿宋_GBK" w:eastAsia="方正仿宋_GBK" w:cs="方正仿宋_GBK"/>
          <w:sz w:val="32"/>
          <w:szCs w:val="32"/>
        </w:rPr>
        <w:t xml:space="preserve"> 符合推免生条件的学生，应向我院推免生推荐选拔工作小组提交书面申请。 </w:t>
      </w:r>
    </w:p>
    <w:p w14:paraId="25A62C64">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第七条</w:t>
      </w:r>
      <w:r>
        <w:rPr>
          <w:rFonts w:hint="eastAsia" w:ascii="方正仿宋_GBK" w:hAnsi="方正仿宋_GBK" w:eastAsia="方正仿宋_GBK" w:cs="方正仿宋_GBK"/>
          <w:sz w:val="32"/>
          <w:szCs w:val="32"/>
        </w:rPr>
        <w:t xml:space="preserve"> 工作小组应按照规定，审核申请人的推免资格。对具备推免资格的申请人，进行学业成绩与创新能力的综合测评，并依综合测评成绩择优推荐。其中学业成绩占85%、创新能力测评成绩占15%。 </w:t>
      </w:r>
    </w:p>
    <w:p w14:paraId="70A020C5">
      <w:pPr>
        <w:spacing w:line="580" w:lineRule="exact"/>
        <w:ind w:left="10" w:right="-3"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综合测评成绩</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学业成绩加权平均分乘以85%</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 xml:space="preserve">创新能力测评成绩。 </w:t>
      </w:r>
    </w:p>
    <w:p w14:paraId="1ED88AA4">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创新能力测评内容包括学生参军入伍、志愿服务、到国际组织实习、创新创业的成果成就、科研成果、学业竞赛获奖以及文艺、体育及社会工作特长等符合规定取得分值的总和，满分15分，加满为止。 </w:t>
      </w:r>
    </w:p>
    <w:p w14:paraId="05098D10">
      <w:pPr>
        <w:ind w:firstLine="960" w:firstLineChars="300"/>
        <w:rPr>
          <w:rFonts w:ascii="方正仿宋_GBK" w:hAnsi="方正仿宋_GBK" w:eastAsia="方正仿宋_GBK" w:cs="方正仿宋_GBK"/>
          <w:sz w:val="32"/>
          <w:szCs w:val="32"/>
        </w:rPr>
      </w:pPr>
      <w:r>
        <w:rPr>
          <w:rFonts w:hint="eastAsia" w:ascii="方正仿宋_GBK" w:hAnsi="方正仿宋_GBK" w:eastAsia="方正仿宋_GBK" w:cs="方正仿宋_GBK"/>
          <w:color w:val="FF0000"/>
          <w:sz w:val="32"/>
          <w:szCs w:val="32"/>
        </w:rPr>
        <w:t>创新能力测评采用量化计算方式进行</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FF0000"/>
          <w:sz w:val="32"/>
          <w:szCs w:val="32"/>
        </w:rPr>
        <w:t>测评项目及分值详见附件1</w:t>
      </w:r>
      <w:r>
        <w:rPr>
          <w:rFonts w:hint="eastAsia" w:ascii="方正仿宋_GBK" w:hAnsi="方正仿宋_GBK" w:eastAsia="方正仿宋_GBK" w:cs="方正仿宋_GBK"/>
          <w:sz w:val="32"/>
          <w:szCs w:val="32"/>
        </w:rPr>
        <w:t>。</w:t>
      </w:r>
    </w:p>
    <w:p w14:paraId="0388A544">
      <w:pPr>
        <w:ind w:firstLine="960" w:firstLineChars="300"/>
        <w:rPr>
          <w:rFonts w:ascii="方正仿宋_GBK" w:hAnsi="方正仿宋_GBK" w:eastAsia="方正仿宋_GBK" w:cs="方正仿宋_GBK"/>
          <w:sz w:val="32"/>
          <w:szCs w:val="32"/>
        </w:rPr>
      </w:pPr>
      <w:r>
        <w:rPr>
          <w:rFonts w:hint="eastAsia" w:ascii="方正仿宋_GBK" w:hAnsi="宋体" w:eastAsia="方正仿宋_GBK"/>
          <w:color w:val="FF0000"/>
          <w:sz w:val="32"/>
          <w:szCs w:val="32"/>
        </w:rPr>
        <w:t>参加创新能力测评人数原则上不超过各专业分配的推免名额的2倍。</w:t>
      </w:r>
    </w:p>
    <w:p w14:paraId="5E86B547">
      <w:pPr>
        <w:spacing w:line="580" w:lineRule="exact"/>
        <w:ind w:left="10" w:right="274" w:firstLine="640" w:firstLineChars="200"/>
        <w:jc w:val="righ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学院对推荐对象的创新能力测评成绩应做记录并留档</w:t>
      </w:r>
    </w:p>
    <w:p w14:paraId="100899E7">
      <w:pPr>
        <w:spacing w:line="580" w:lineRule="exact"/>
        <w:ind w:right="274"/>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备查。 </w:t>
      </w:r>
      <w:r>
        <w:rPr>
          <w:rFonts w:hint="eastAsia" w:ascii="方正仿宋_GBK" w:hAnsi="方正仿宋_GBK" w:eastAsia="方正仿宋_GBK" w:cs="方正仿宋_GBK"/>
          <w:color w:val="FF0000"/>
          <w:sz w:val="32"/>
          <w:szCs w:val="32"/>
        </w:rPr>
        <w:t xml:space="preserve"> </w:t>
      </w:r>
      <w:r>
        <w:rPr>
          <w:rFonts w:hint="eastAsia" w:ascii="方正仿宋_GBK" w:hAnsi="方正仿宋_GBK" w:eastAsia="方正仿宋_GBK" w:cs="方正仿宋_GBK"/>
          <w:sz w:val="32"/>
          <w:szCs w:val="32"/>
        </w:rPr>
        <w:t xml:space="preserve"> </w:t>
      </w:r>
    </w:p>
    <w:p w14:paraId="4EAE62ED">
      <w:pPr>
        <w:spacing w:line="580" w:lineRule="exact"/>
        <w:ind w:left="-15" w:firstLine="643" w:firstLineChars="200"/>
        <w:rPr>
          <w:rFonts w:ascii="方正仿宋_GBK" w:hAnsi="方正仿宋_GBK" w:eastAsia="方正仿宋_GBK" w:cs="方正仿宋_GBK"/>
          <w:color w:val="FF0000"/>
          <w:sz w:val="32"/>
          <w:szCs w:val="32"/>
        </w:rPr>
      </w:pPr>
      <w:r>
        <w:rPr>
          <w:rFonts w:hint="eastAsia" w:ascii="方正仿宋_GBK" w:hAnsi="方正仿宋_GBK" w:eastAsia="方正仿宋_GBK" w:cs="方正仿宋_GBK"/>
          <w:b/>
          <w:bCs/>
          <w:color w:val="FF0000"/>
          <w:sz w:val="32"/>
          <w:szCs w:val="32"/>
        </w:rPr>
        <w:t>第八条</w:t>
      </w:r>
      <w:r>
        <w:rPr>
          <w:rFonts w:hint="eastAsia" w:ascii="方正仿宋_GBK" w:hAnsi="方正仿宋_GBK" w:eastAsia="方正仿宋_GBK" w:cs="方正仿宋_GBK"/>
          <w:color w:val="FF0000"/>
          <w:sz w:val="32"/>
          <w:szCs w:val="32"/>
        </w:rPr>
        <w:t xml:space="preserve"> 创新能力测评中涉及学术专长的，未通过审核鉴定或答辩的，不得纳入推免遴选综合评价成绩计算体系。 </w:t>
      </w:r>
    </w:p>
    <w:p w14:paraId="085372F1">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第九条</w:t>
      </w:r>
      <w:r>
        <w:rPr>
          <w:rFonts w:hint="eastAsia" w:ascii="方正仿宋_GBK" w:hAnsi="方正仿宋_GBK" w:eastAsia="方正仿宋_GBK" w:cs="方正仿宋_GBK"/>
          <w:sz w:val="32"/>
          <w:szCs w:val="32"/>
        </w:rPr>
        <w:t xml:space="preserve"> 经学院推免工作小组研究决定拟推荐的学生名单、候补人选名单以及所有申请推免人的学业成绩、创新能力测评成绩及综合测评成绩、排名及</w:t>
      </w:r>
      <w:r>
        <w:rPr>
          <w:rFonts w:hint="eastAsia" w:ascii="方正仿宋_GBK" w:hAnsi="方正仿宋_GBK" w:eastAsia="方正仿宋_GBK" w:cs="方正仿宋_GBK"/>
          <w:sz w:val="32"/>
          <w:szCs w:val="32"/>
          <w:lang w:val="en-US" w:eastAsia="zh-CN"/>
        </w:rPr>
        <w:t>申请认定的</w:t>
      </w:r>
      <w:r>
        <w:rPr>
          <w:rFonts w:hint="eastAsia" w:ascii="方正仿宋_GBK" w:hAnsi="方正仿宋_GBK" w:eastAsia="方正仿宋_GBK" w:cs="方正仿宋_GBK"/>
          <w:sz w:val="32"/>
          <w:szCs w:val="32"/>
        </w:rPr>
        <w:t>创新能力测评</w:t>
      </w:r>
      <w:r>
        <w:rPr>
          <w:rFonts w:hint="eastAsia" w:ascii="方正仿宋_GBK" w:hAnsi="方正仿宋_GBK" w:eastAsia="方正仿宋_GBK" w:cs="方正仿宋_GBK"/>
          <w:sz w:val="32"/>
          <w:szCs w:val="32"/>
          <w:lang w:val="en-US" w:eastAsia="zh-CN"/>
        </w:rPr>
        <w:t>项目</w:t>
      </w:r>
      <w:r>
        <w:rPr>
          <w:rFonts w:hint="eastAsia" w:ascii="方正仿宋_GBK" w:hAnsi="方正仿宋_GBK" w:eastAsia="方正仿宋_GBK" w:cs="方正仿宋_GBK"/>
          <w:sz w:val="32"/>
          <w:szCs w:val="32"/>
        </w:rPr>
        <w:t xml:space="preserve">，均须在学院党政联席会审核后在学院网上予以公示。  </w:t>
      </w:r>
    </w:p>
    <w:p w14:paraId="077BB85A">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第十条</w:t>
      </w:r>
      <w:r>
        <w:rPr>
          <w:rFonts w:hint="eastAsia" w:ascii="方正仿宋_GBK" w:hAnsi="方正仿宋_GBK" w:eastAsia="方正仿宋_GBK" w:cs="方正仿宋_GBK"/>
          <w:sz w:val="32"/>
          <w:szCs w:val="32"/>
        </w:rPr>
        <w:t xml:space="preserve"> 公示期间届满前，对推免程序或公示名单有异议者，可以向</w:t>
      </w:r>
      <w:r>
        <w:rPr>
          <w:rFonts w:hint="eastAsia" w:ascii="方正仿宋_GBK" w:hAnsi="方正仿宋_GBK" w:eastAsia="方正仿宋_GBK" w:cs="方正仿宋_GBK"/>
          <w:color w:val="FF0000"/>
          <w:sz w:val="32"/>
          <w:szCs w:val="32"/>
        </w:rPr>
        <w:t>学院推免工作小组</w:t>
      </w:r>
      <w:r>
        <w:rPr>
          <w:rFonts w:hint="eastAsia" w:ascii="方正仿宋_GBK" w:hAnsi="方正仿宋_GBK" w:eastAsia="方正仿宋_GBK" w:cs="方正仿宋_GBK"/>
          <w:sz w:val="32"/>
          <w:szCs w:val="32"/>
        </w:rPr>
        <w:t>提出书面申诉或</w:t>
      </w:r>
      <w:r>
        <w:rPr>
          <w:rFonts w:hint="eastAsia" w:ascii="方正仿宋_GBK" w:hAnsi="方正仿宋_GBK" w:eastAsia="方正仿宋_GBK" w:cs="方正仿宋_GBK"/>
          <w:color w:val="FF0000"/>
          <w:sz w:val="32"/>
          <w:szCs w:val="32"/>
        </w:rPr>
        <w:t>实名</w:t>
      </w:r>
      <w:r>
        <w:rPr>
          <w:rFonts w:hint="eastAsia" w:ascii="方正仿宋_GBK" w:hAnsi="方正仿宋_GBK" w:eastAsia="方正仿宋_GBK" w:cs="方正仿宋_GBK"/>
          <w:sz w:val="32"/>
          <w:szCs w:val="32"/>
        </w:rPr>
        <w:t xml:space="preserve">举报。 </w:t>
      </w:r>
    </w:p>
    <w:p w14:paraId="62354529">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第十一条</w:t>
      </w:r>
      <w:r>
        <w:rPr>
          <w:rFonts w:hint="eastAsia" w:ascii="方正仿宋_GBK" w:hAnsi="方正仿宋_GBK" w:eastAsia="方正仿宋_GBK" w:cs="方正仿宋_GBK"/>
          <w:sz w:val="32"/>
          <w:szCs w:val="32"/>
        </w:rPr>
        <w:t xml:space="preserve"> 公示期间推荐人选被发现不符合推免条件或在规定时间之内自愿放弃推免的，可由候补人选依次递补。 </w:t>
      </w:r>
    </w:p>
    <w:p w14:paraId="79327446">
      <w:pPr>
        <w:spacing w:line="580" w:lineRule="exac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 xml:space="preserve">    第十二条</w:t>
      </w:r>
      <w:r>
        <w:rPr>
          <w:rFonts w:hint="eastAsia" w:ascii="方正仿宋_GBK" w:hAnsi="方正仿宋_GBK" w:eastAsia="方正仿宋_GBK" w:cs="方正仿宋_GBK"/>
          <w:sz w:val="32"/>
          <w:szCs w:val="32"/>
        </w:rPr>
        <w:t xml:space="preserve">  推免相关工作人员有直系亲属或利益相关人员（如收费辅导教学等）报名参加本单位推免招生的应主动向学院推免工作领导小组申请回避，有非直系亲属等报名参加推免招生的要主动报备。相关学生申请推免资格时也应主动向学院推免工作领导小组报备声明。</w:t>
      </w:r>
      <w:r>
        <w:rPr>
          <w:rFonts w:hint="eastAsia" w:ascii="方正仿宋_GBK" w:hAnsi="方正仿宋_GBK" w:eastAsia="方正仿宋_GBK" w:cs="方正仿宋_GBK"/>
          <w:color w:val="FF0000"/>
          <w:sz w:val="32"/>
          <w:szCs w:val="32"/>
        </w:rPr>
        <w:t>对未按规定报备声明回避关系的推免相关工作人员，</w:t>
      </w:r>
      <w:r>
        <w:rPr>
          <w:rFonts w:hint="eastAsia" w:ascii="方正仿宋_GBK" w:eastAsia="方正仿宋_GBK"/>
          <w:color w:val="FF0000"/>
          <w:sz w:val="32"/>
          <w:szCs w:val="32"/>
        </w:rPr>
        <w:t>学院上报学校依规依纪严肃处理；对未按规定报备声明回避关系且影响推免过程和结果公平公正的学生，学院上报学校取消其推免资格。</w:t>
      </w:r>
    </w:p>
    <w:p w14:paraId="6AF76E5E">
      <w:pPr>
        <w:spacing w:line="580" w:lineRule="exact"/>
        <w:ind w:left="-15" w:firstLine="643"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第十三条</w:t>
      </w:r>
      <w:r>
        <w:rPr>
          <w:rFonts w:hint="eastAsia" w:ascii="方正仿宋_GBK" w:hAnsi="方正仿宋_GBK" w:eastAsia="方正仿宋_GBK" w:cs="方正仿宋_GBK"/>
          <w:sz w:val="32"/>
          <w:szCs w:val="32"/>
        </w:rPr>
        <w:t xml:space="preserve"> 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  </w:t>
      </w:r>
    </w:p>
    <w:p w14:paraId="52CBD969">
      <w:pPr>
        <w:spacing w:line="580" w:lineRule="exact"/>
        <w:ind w:left="-15"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凡经学校确定为免试攻读硕士学位研究生的应届本科毕业生，不得再与用人单位签订毕业生就业协议。</w:t>
      </w:r>
    </w:p>
    <w:p w14:paraId="70BE1313">
      <w:pPr>
        <w:spacing w:line="58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b/>
          <w:bCs/>
          <w:sz w:val="32"/>
          <w:szCs w:val="32"/>
        </w:rPr>
        <w:t>第十四条</w:t>
      </w:r>
      <w:r>
        <w:rPr>
          <w:rFonts w:hint="eastAsia" w:ascii="方正仿宋_GBK" w:hAnsi="方正仿宋_GBK" w:eastAsia="方正仿宋_GBK" w:cs="方正仿宋_GBK"/>
          <w:sz w:val="32"/>
          <w:szCs w:val="32"/>
        </w:rPr>
        <w:t xml:space="preserve"> </w:t>
      </w:r>
      <w:r>
        <w:rPr>
          <w:rFonts w:hint="eastAsia" w:ascii="方正仿宋_GBK" w:eastAsia="方正仿宋_GBK"/>
          <w:color w:val="FF0000"/>
          <w:sz w:val="32"/>
          <w:szCs w:val="32"/>
        </w:rPr>
        <w:t>学院在选拔推免工作</w:t>
      </w:r>
      <w:r>
        <w:rPr>
          <w:rFonts w:hint="eastAsia" w:ascii="方正仿宋_GBK" w:hAnsi="方正仿宋_GBK" w:eastAsia="方正仿宋_GBK" w:cs="方正仿宋_GBK"/>
          <w:color w:val="FF0000"/>
          <w:sz w:val="32"/>
          <w:szCs w:val="32"/>
        </w:rPr>
        <w:t>须坚</w:t>
      </w:r>
      <w:r>
        <w:rPr>
          <w:rFonts w:hint="eastAsia" w:ascii="方正仿宋_GBK" w:hAnsi="方正仿宋_GBK" w:eastAsia="方正仿宋_GBK" w:cs="方正仿宋_GBK"/>
          <w:sz w:val="32"/>
          <w:szCs w:val="32"/>
        </w:rPr>
        <w:t xml:space="preserve">持原则，认真负责，切实把关。对徇私舞弊者，将追究其责任，严肃处理。推免相关工作人员未严格履行工作职责，违反推免招生政策规定的，学校将依规依纪严肃处理。 </w:t>
      </w:r>
    </w:p>
    <w:p w14:paraId="2ED358B4">
      <w:pPr>
        <w:spacing w:line="580" w:lineRule="exact"/>
        <w:rPr>
          <w:rFonts w:ascii="方正仿宋_GBK" w:hAnsi="方正仿宋_GBK" w:eastAsia="方正仿宋_GBK" w:cs="方正仿宋_GBK"/>
          <w:color w:val="FF0000"/>
          <w:sz w:val="32"/>
          <w:szCs w:val="32"/>
        </w:rPr>
      </w:pPr>
      <w:r>
        <w:rPr>
          <w:rFonts w:hint="eastAsia" w:ascii="方正仿宋_GBK" w:hAnsi="方正仿宋_GBK" w:eastAsia="方正仿宋_GBK" w:cs="方正仿宋_GBK"/>
          <w:b/>
          <w:bCs/>
          <w:color w:val="FF0000"/>
          <w:sz w:val="32"/>
          <w:szCs w:val="32"/>
        </w:rPr>
        <w:t xml:space="preserve">    第十五条</w:t>
      </w:r>
      <w:r>
        <w:rPr>
          <w:rFonts w:hint="eastAsia" w:ascii="方正仿宋_GBK" w:hAnsi="方正仿宋_GBK" w:eastAsia="方正仿宋_GBK" w:cs="方正仿宋_GBK"/>
          <w:color w:val="FF0000"/>
          <w:sz w:val="32"/>
          <w:szCs w:val="32"/>
        </w:rPr>
        <w:t xml:space="preserve"> 本实施细则由商学院党政联席会负责解释。 </w:t>
      </w:r>
    </w:p>
    <w:p w14:paraId="10466827">
      <w:pPr>
        <w:spacing w:line="580" w:lineRule="exact"/>
        <w:ind w:left="-15" w:firstLine="643" w:firstLineChars="200"/>
        <w:rPr>
          <w:rFonts w:ascii="方正仿宋_GBK" w:hAnsi="方正仿宋_GBK" w:eastAsia="方正仿宋_GBK" w:cs="方正仿宋_GBK"/>
          <w:color w:val="FF0000"/>
          <w:sz w:val="32"/>
          <w:szCs w:val="32"/>
        </w:rPr>
      </w:pPr>
      <w:r>
        <w:rPr>
          <w:rFonts w:hint="eastAsia" w:ascii="方正仿宋_GBK" w:hAnsi="方正仿宋_GBK" w:eastAsia="方正仿宋_GBK" w:cs="方正仿宋_GBK"/>
          <w:b/>
          <w:bCs/>
          <w:color w:val="FF0000"/>
          <w:sz w:val="32"/>
          <w:szCs w:val="32"/>
        </w:rPr>
        <w:t>第十六条</w:t>
      </w:r>
      <w:r>
        <w:rPr>
          <w:rFonts w:hint="eastAsia" w:ascii="方正仿宋_GBK" w:hAnsi="方正仿宋_GBK" w:eastAsia="方正仿宋_GBK" w:cs="方正仿宋_GBK"/>
          <w:color w:val="FF0000"/>
          <w:sz w:val="32"/>
          <w:szCs w:val="32"/>
        </w:rPr>
        <w:t xml:space="preserve"> 本细则自20</w:t>
      </w:r>
      <w:r>
        <w:rPr>
          <w:rFonts w:hint="eastAsia" w:ascii="方正仿宋_GBK" w:hAnsi="方正仿宋_GBK" w:eastAsia="方正仿宋_GBK" w:cs="方正仿宋_GBK"/>
          <w:color w:val="FF0000"/>
          <w:sz w:val="32"/>
          <w:szCs w:val="32"/>
          <w:lang w:val="en-US" w:eastAsia="zh-CN"/>
        </w:rPr>
        <w:t>22</w:t>
      </w:r>
      <w:r>
        <w:rPr>
          <w:rFonts w:hint="eastAsia" w:ascii="方正仿宋_GBK" w:hAnsi="方正仿宋_GBK" w:eastAsia="方正仿宋_GBK" w:cs="方正仿宋_GBK"/>
          <w:color w:val="FF0000"/>
          <w:sz w:val="32"/>
          <w:szCs w:val="32"/>
        </w:rPr>
        <w:t>级本科生施行。</w:t>
      </w:r>
    </w:p>
    <w:p w14:paraId="42EBC178">
      <w:pPr>
        <w:spacing w:line="580" w:lineRule="exact"/>
        <w:ind w:left="-15" w:firstLine="640" w:firstLineChars="200"/>
        <w:rPr>
          <w:rFonts w:ascii="方正仿宋_GBK" w:hAnsi="方正仿宋_GBK" w:eastAsia="方正仿宋_GBK" w:cs="方正仿宋_GBK"/>
          <w:color w:val="FF0000"/>
          <w:sz w:val="32"/>
          <w:szCs w:val="32"/>
        </w:rPr>
      </w:pPr>
    </w:p>
    <w:p w14:paraId="0BECC2DD">
      <w:pPr>
        <w:spacing w:line="580" w:lineRule="exact"/>
        <w:ind w:left="-15" w:firstLine="640" w:firstLineChars="200"/>
        <w:rPr>
          <w:rFonts w:ascii="方正仿宋_GBK" w:hAnsi="方正仿宋_GBK" w:eastAsia="方正仿宋_GBK" w:cs="方正仿宋_GBK"/>
          <w:color w:val="FF0000"/>
          <w:sz w:val="32"/>
          <w:szCs w:val="32"/>
        </w:rPr>
      </w:pPr>
      <w:bookmarkStart w:id="0" w:name="_GoBack"/>
      <w:bookmarkEnd w:id="0"/>
    </w:p>
    <w:p w14:paraId="64FF8122">
      <w:pPr>
        <w:spacing w:line="580" w:lineRule="exact"/>
        <w:ind w:left="-15" w:firstLine="640" w:firstLineChars="200"/>
        <w:rPr>
          <w:rFonts w:ascii="方正仿宋_GBK" w:hAnsi="方正仿宋_GBK" w:eastAsia="方正仿宋_GBK" w:cs="方正仿宋_GBK"/>
          <w:color w:val="FF0000"/>
          <w:sz w:val="32"/>
          <w:szCs w:val="32"/>
        </w:rPr>
      </w:pPr>
    </w:p>
    <w:p w14:paraId="2BF5F4A5">
      <w:pPr>
        <w:spacing w:line="580" w:lineRule="exact"/>
        <w:ind w:left="-15" w:firstLine="640" w:firstLineChars="200"/>
        <w:rPr>
          <w:rFonts w:ascii="方正仿宋_GBK" w:hAnsi="方正仿宋_GBK" w:eastAsia="方正仿宋_GBK" w:cs="方正仿宋_GBK"/>
          <w:color w:val="FF0000"/>
          <w:sz w:val="32"/>
          <w:szCs w:val="32"/>
        </w:rPr>
      </w:pPr>
    </w:p>
    <w:p w14:paraId="71E2D90E">
      <w:pPr>
        <w:spacing w:line="580" w:lineRule="exact"/>
        <w:ind w:left="-15" w:firstLine="640" w:firstLineChars="200"/>
        <w:rPr>
          <w:rFonts w:ascii="方正仿宋_GBK" w:hAnsi="方正仿宋_GBK" w:eastAsia="方正仿宋_GBK" w:cs="方正仿宋_GBK"/>
          <w:color w:val="FF0000"/>
          <w:sz w:val="32"/>
          <w:szCs w:val="32"/>
        </w:rPr>
      </w:pPr>
    </w:p>
    <w:p w14:paraId="1AAF5841">
      <w:pPr>
        <w:spacing w:line="580" w:lineRule="exact"/>
        <w:ind w:left="-15" w:firstLine="640" w:firstLineChars="200"/>
        <w:rPr>
          <w:rFonts w:ascii="方正仿宋_GBK" w:hAnsi="方正仿宋_GBK" w:eastAsia="方正仿宋_GBK" w:cs="方正仿宋_GBK"/>
          <w:color w:val="FF0000"/>
          <w:sz w:val="32"/>
          <w:szCs w:val="32"/>
        </w:rPr>
      </w:pPr>
    </w:p>
    <w:p w14:paraId="1475902B">
      <w:pPr>
        <w:spacing w:line="580" w:lineRule="exact"/>
        <w:ind w:left="-15" w:firstLine="640" w:firstLineChars="200"/>
        <w:rPr>
          <w:rFonts w:ascii="方正仿宋_GBK" w:hAnsi="方正仿宋_GBK" w:eastAsia="方正仿宋_GBK" w:cs="方正仿宋_GBK"/>
          <w:color w:val="FF0000"/>
          <w:sz w:val="32"/>
          <w:szCs w:val="32"/>
        </w:rPr>
      </w:pPr>
    </w:p>
    <w:p w14:paraId="1881C30A">
      <w:pPr>
        <w:spacing w:line="580" w:lineRule="exact"/>
        <w:ind w:left="-15" w:firstLine="640" w:firstLineChars="200"/>
        <w:rPr>
          <w:rFonts w:ascii="方正仿宋_GBK" w:hAnsi="方正仿宋_GBK" w:eastAsia="方正仿宋_GBK" w:cs="方正仿宋_GBK"/>
          <w:color w:val="FF0000"/>
          <w:sz w:val="32"/>
          <w:szCs w:val="32"/>
        </w:rPr>
      </w:pPr>
    </w:p>
    <w:p w14:paraId="4C8609C1">
      <w:pPr>
        <w:spacing w:line="580" w:lineRule="exact"/>
        <w:ind w:left="-15" w:firstLine="640" w:firstLineChars="200"/>
        <w:rPr>
          <w:rFonts w:ascii="方正仿宋_GBK" w:hAnsi="方正仿宋_GBK" w:eastAsia="方正仿宋_GBK" w:cs="方正仿宋_GBK"/>
          <w:color w:val="FF0000"/>
          <w:sz w:val="32"/>
          <w:szCs w:val="32"/>
        </w:rPr>
      </w:pPr>
    </w:p>
    <w:p w14:paraId="09719DF9">
      <w:pPr>
        <w:spacing w:line="580" w:lineRule="exact"/>
        <w:ind w:left="-15" w:firstLine="640" w:firstLineChars="200"/>
        <w:rPr>
          <w:rFonts w:ascii="方正仿宋_GBK" w:hAnsi="方正仿宋_GBK" w:eastAsia="方正仿宋_GBK" w:cs="方正仿宋_GBK"/>
          <w:color w:val="FF0000"/>
          <w:sz w:val="32"/>
          <w:szCs w:val="32"/>
        </w:rPr>
      </w:pPr>
    </w:p>
    <w:p w14:paraId="043329CD">
      <w:pPr>
        <w:spacing w:line="580" w:lineRule="exact"/>
        <w:ind w:left="-15" w:firstLine="640" w:firstLineChars="200"/>
        <w:rPr>
          <w:rFonts w:ascii="方正仿宋_GBK" w:hAnsi="方正仿宋_GBK" w:eastAsia="方正仿宋_GBK" w:cs="方正仿宋_GBK"/>
          <w:color w:val="FF0000"/>
          <w:sz w:val="32"/>
          <w:szCs w:val="32"/>
        </w:rPr>
      </w:pPr>
    </w:p>
    <w:p w14:paraId="011399E9">
      <w:pPr>
        <w:spacing w:line="580" w:lineRule="exact"/>
        <w:ind w:left="-15" w:firstLine="640" w:firstLineChars="200"/>
        <w:rPr>
          <w:rFonts w:ascii="方正仿宋_GBK" w:hAnsi="方正仿宋_GBK" w:eastAsia="方正仿宋_GBK" w:cs="方正仿宋_GBK"/>
          <w:color w:val="FF0000"/>
          <w:sz w:val="32"/>
          <w:szCs w:val="32"/>
        </w:rPr>
      </w:pPr>
    </w:p>
    <w:p w14:paraId="6BA42FF6">
      <w:pPr>
        <w:snapToGrid w:val="0"/>
        <w:rPr>
          <w:rFonts w:ascii="方正仿宋_GBK" w:hAnsi="方正仿宋_GBK" w:eastAsia="方正仿宋_GBK" w:cs="方正仿宋_GBK"/>
          <w:color w:val="FF0000"/>
          <w:sz w:val="32"/>
          <w:szCs w:val="32"/>
        </w:rPr>
      </w:pPr>
    </w:p>
    <w:p w14:paraId="4B2BFE6A">
      <w:pPr>
        <w:snapToGrid w:val="0"/>
        <w:rPr>
          <w:rFonts w:ascii="方正仿宋_GBK" w:hAnsi="方正仿宋_GBK" w:eastAsia="方正仿宋_GBK" w:cs="方正仿宋_GBK"/>
          <w:color w:val="FF0000"/>
          <w:sz w:val="32"/>
          <w:szCs w:val="32"/>
        </w:rPr>
      </w:pPr>
    </w:p>
    <w:p w14:paraId="33563575">
      <w:pPr>
        <w:snapToGrid w:val="0"/>
        <w:rPr>
          <w:rFonts w:ascii="方正仿宋_GBK" w:hAnsi="方正仿宋_GBK" w:eastAsia="方正仿宋_GBK" w:cs="方正仿宋_GBK"/>
          <w:color w:val="FF0000"/>
          <w:sz w:val="32"/>
          <w:szCs w:val="32"/>
        </w:rPr>
      </w:pPr>
    </w:p>
    <w:p w14:paraId="39B80AEB">
      <w:pPr>
        <w:snapToGrid w:val="0"/>
        <w:rPr>
          <w:rFonts w:ascii="方正仿宋_GBK" w:hAnsi="方正仿宋_GBK" w:eastAsia="方正仿宋_GBK" w:cs="方正仿宋_GBK"/>
          <w:color w:val="FF0000"/>
          <w:sz w:val="32"/>
          <w:szCs w:val="32"/>
        </w:rPr>
      </w:pPr>
    </w:p>
    <w:p w14:paraId="7E84865A">
      <w:pPr>
        <w:snapToGrid w:val="0"/>
        <w:rPr>
          <w:rFonts w:ascii="方正仿宋_GBK" w:hAnsi="方正仿宋_GBK" w:eastAsia="方正仿宋_GBK" w:cs="方正仿宋_GBK"/>
          <w:color w:val="FF0000"/>
          <w:sz w:val="32"/>
          <w:szCs w:val="32"/>
        </w:rPr>
      </w:pPr>
    </w:p>
    <w:p w14:paraId="343A1D56">
      <w:pPr>
        <w:snapToGrid w:val="0"/>
        <w:rPr>
          <w:rFonts w:ascii="方正仿宋_GBK" w:hAnsi="方正仿宋_GBK" w:eastAsia="方正仿宋_GBK" w:cs="方正仿宋_GBK"/>
          <w:color w:val="FF0000"/>
          <w:sz w:val="32"/>
          <w:szCs w:val="32"/>
        </w:rPr>
      </w:pPr>
    </w:p>
    <w:p w14:paraId="799C9BB2">
      <w:pPr>
        <w:snapToGrid w:val="0"/>
        <w:rPr>
          <w:rFonts w:ascii="方正仿宋_GBK" w:hAnsi="方正仿宋_GBK" w:eastAsia="方正仿宋_GBK" w:cs="方正仿宋_GBK"/>
          <w:color w:val="FF0000"/>
          <w:sz w:val="32"/>
          <w:szCs w:val="32"/>
        </w:rPr>
      </w:pPr>
    </w:p>
    <w:p w14:paraId="5C595E6A">
      <w:pPr>
        <w:snapToGrid w:val="0"/>
        <w:rPr>
          <w:rFonts w:hint="eastAsia" w:ascii="方正仿宋_GBK" w:hAnsi="方正仿宋_GBK" w:eastAsia="方正仿宋_GBK" w:cs="方正仿宋_GBK"/>
          <w:color w:val="FF0000"/>
          <w:sz w:val="32"/>
          <w:szCs w:val="32"/>
        </w:rPr>
      </w:pPr>
    </w:p>
    <w:p w14:paraId="4C060178">
      <w:pPr>
        <w:snapToGrid w:val="0"/>
        <w:rPr>
          <w:rFonts w:ascii="方正仿宋_GBK" w:hAnsi="方正仿宋_GBK" w:eastAsia="方正仿宋_GBK" w:cs="方正仿宋_GBK"/>
          <w:color w:val="FF0000"/>
          <w:sz w:val="32"/>
          <w:szCs w:val="32"/>
        </w:rPr>
      </w:pPr>
    </w:p>
    <w:p w14:paraId="05BEB6CF">
      <w:pPr>
        <w:snapToGrid w:val="0"/>
        <w:rPr>
          <w:rFonts w:hint="eastAsia" w:ascii="方正仿宋_GBK" w:hAnsi="方正仿宋_GBK" w:eastAsia="方正仿宋_GBK" w:cs="方正仿宋_GBK"/>
          <w:color w:val="FF0000"/>
          <w:sz w:val="32"/>
          <w:szCs w:val="32"/>
        </w:rPr>
      </w:pPr>
    </w:p>
    <w:p w14:paraId="7E35C805">
      <w:pPr>
        <w:snapToGrid w:val="0"/>
        <w:rPr>
          <w:rFonts w:ascii="黑体" w:hAnsi="Calibri" w:eastAsia="黑体" w:cs="Times New Roman"/>
          <w:b/>
          <w:sz w:val="28"/>
          <w:szCs w:val="28"/>
        </w:rPr>
      </w:pPr>
      <w:r>
        <w:rPr>
          <w:rFonts w:hint="eastAsia" w:ascii="方正仿宋_GBK" w:hAnsi="方正仿宋_GBK" w:eastAsia="方正仿宋_GBK" w:cs="方正仿宋_GBK"/>
          <w:color w:val="FF0000"/>
          <w:sz w:val="32"/>
          <w:szCs w:val="32"/>
        </w:rPr>
        <w:t>附件1：</w:t>
      </w:r>
      <w:r>
        <w:rPr>
          <w:rFonts w:hint="eastAsia" w:ascii="黑体" w:hAnsi="Calibri" w:eastAsia="黑体" w:cs="Times New Roman"/>
          <w:b/>
          <w:sz w:val="28"/>
          <w:szCs w:val="28"/>
        </w:rPr>
        <w:t>商学院</w:t>
      </w:r>
      <w:r>
        <w:rPr>
          <w:rFonts w:ascii="黑体" w:hAnsi="Calibri" w:eastAsia="黑体" w:cs="Times New Roman"/>
          <w:b/>
          <w:sz w:val="28"/>
          <w:szCs w:val="28"/>
        </w:rPr>
        <w:t>推免</w:t>
      </w:r>
      <w:r>
        <w:rPr>
          <w:rFonts w:hint="eastAsia" w:ascii="黑体" w:hAnsi="Calibri" w:eastAsia="黑体" w:cs="Times New Roman"/>
          <w:b/>
          <w:sz w:val="28"/>
          <w:szCs w:val="28"/>
        </w:rPr>
        <w:t>研究生创新能力测评（成果</w:t>
      </w:r>
      <w:r>
        <w:rPr>
          <w:rFonts w:ascii="黑体" w:hAnsi="Calibri" w:eastAsia="黑体" w:cs="Times New Roman"/>
          <w:b/>
          <w:sz w:val="28"/>
          <w:szCs w:val="28"/>
        </w:rPr>
        <w:t>量化</w:t>
      </w:r>
      <w:r>
        <w:rPr>
          <w:rFonts w:hint="eastAsia" w:ascii="黑体" w:hAnsi="Calibri" w:eastAsia="黑体" w:cs="Times New Roman"/>
          <w:b/>
          <w:sz w:val="28"/>
          <w:szCs w:val="28"/>
        </w:rPr>
        <w:t>）计分表</w:t>
      </w:r>
    </w:p>
    <w:p w14:paraId="38BCE198">
      <w:pPr>
        <w:snapToGrid w:val="0"/>
        <w:rPr>
          <w:rFonts w:ascii="方正书宋简体" w:hAnsi="Calibri" w:eastAsia="方正书宋简体" w:cs="Times New Roman"/>
          <w:sz w:val="24"/>
        </w:rPr>
      </w:pPr>
    </w:p>
    <w:tbl>
      <w:tblPr>
        <w:tblStyle w:val="5"/>
        <w:tblW w:w="8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635"/>
        <w:gridCol w:w="2717"/>
        <w:gridCol w:w="1842"/>
        <w:gridCol w:w="709"/>
        <w:gridCol w:w="741"/>
      </w:tblGrid>
      <w:tr w14:paraId="1F9B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481" w:type="dxa"/>
            <w:gridSpan w:val="2"/>
            <w:vAlign w:val="center"/>
          </w:tcPr>
          <w:p w14:paraId="59D3C78A">
            <w:pPr>
              <w:snapToGrid w:val="0"/>
              <w:spacing w:line="240" w:lineRule="atLeast"/>
              <w:ind w:left="420" w:leftChars="200"/>
              <w:rPr>
                <w:rFonts w:ascii="宋体" w:hAnsi="宋体" w:eastAsia="宋体" w:cs="Times New Roman"/>
                <w:b/>
                <w:szCs w:val="21"/>
              </w:rPr>
            </w:pPr>
            <w:r>
              <w:rPr>
                <w:rFonts w:hint="eastAsia" w:ascii="宋体" w:hAnsi="宋体" w:eastAsia="宋体" w:cs="Times New Roman"/>
                <w:b/>
                <w:szCs w:val="21"/>
              </w:rPr>
              <w:t>申请人姓名</w:t>
            </w:r>
          </w:p>
        </w:tc>
        <w:tc>
          <w:tcPr>
            <w:tcW w:w="2717" w:type="dxa"/>
            <w:vAlign w:val="center"/>
          </w:tcPr>
          <w:p w14:paraId="6D43BF8A">
            <w:pPr>
              <w:snapToGrid w:val="0"/>
              <w:spacing w:line="240" w:lineRule="atLeast"/>
              <w:ind w:left="420" w:leftChars="200"/>
              <w:rPr>
                <w:rFonts w:ascii="宋体" w:hAnsi="宋体" w:eastAsia="宋体" w:cs="Times New Roman"/>
                <w:b/>
                <w:szCs w:val="21"/>
              </w:rPr>
            </w:pPr>
          </w:p>
        </w:tc>
        <w:tc>
          <w:tcPr>
            <w:tcW w:w="1842" w:type="dxa"/>
            <w:vAlign w:val="center"/>
          </w:tcPr>
          <w:p w14:paraId="52B17545">
            <w:pPr>
              <w:snapToGrid w:val="0"/>
              <w:spacing w:line="240" w:lineRule="atLeast"/>
              <w:ind w:left="595"/>
              <w:rPr>
                <w:rFonts w:ascii="宋体" w:hAnsi="宋体" w:eastAsia="宋体" w:cs="Times New Roman"/>
                <w:b/>
                <w:szCs w:val="21"/>
              </w:rPr>
            </w:pPr>
            <w:r>
              <w:rPr>
                <w:rFonts w:hint="eastAsia" w:ascii="宋体" w:hAnsi="宋体" w:eastAsia="宋体" w:cs="Times New Roman"/>
                <w:b/>
                <w:szCs w:val="21"/>
              </w:rPr>
              <w:t>学号</w:t>
            </w:r>
          </w:p>
        </w:tc>
        <w:tc>
          <w:tcPr>
            <w:tcW w:w="1450" w:type="dxa"/>
            <w:gridSpan w:val="2"/>
            <w:vAlign w:val="center"/>
          </w:tcPr>
          <w:p w14:paraId="0424BD73">
            <w:pPr>
              <w:snapToGrid w:val="0"/>
              <w:spacing w:line="240" w:lineRule="atLeast"/>
              <w:ind w:left="595"/>
              <w:rPr>
                <w:rFonts w:ascii="宋体" w:hAnsi="宋体" w:eastAsia="宋体" w:cs="Times New Roman"/>
                <w:szCs w:val="21"/>
              </w:rPr>
            </w:pPr>
          </w:p>
        </w:tc>
      </w:tr>
      <w:tr w14:paraId="6035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040" w:type="dxa"/>
            <w:gridSpan w:val="4"/>
            <w:vAlign w:val="center"/>
          </w:tcPr>
          <w:p w14:paraId="194882EC">
            <w:pPr>
              <w:snapToGrid w:val="0"/>
              <w:spacing w:line="240" w:lineRule="atLeast"/>
              <w:ind w:firstLine="241" w:firstLineChars="115"/>
              <w:jc w:val="center"/>
              <w:rPr>
                <w:rFonts w:ascii="宋体" w:hAnsi="宋体" w:eastAsia="宋体" w:cs="Times New Roman"/>
                <w:szCs w:val="21"/>
              </w:rPr>
            </w:pPr>
            <w:r>
              <w:rPr>
                <w:rFonts w:hint="eastAsia" w:ascii="宋体" w:hAnsi="宋体" w:eastAsia="宋体" w:cs="Times New Roman"/>
                <w:szCs w:val="21"/>
              </w:rPr>
              <w:t>内容及分值</w:t>
            </w:r>
          </w:p>
        </w:tc>
        <w:tc>
          <w:tcPr>
            <w:tcW w:w="709" w:type="dxa"/>
            <w:tcBorders>
              <w:top w:val="nil"/>
              <w:bottom w:val="single" w:color="auto" w:sz="4" w:space="0"/>
            </w:tcBorders>
            <w:vAlign w:val="center"/>
          </w:tcPr>
          <w:p w14:paraId="272EE131">
            <w:pPr>
              <w:widowControl/>
              <w:snapToGrid w:val="0"/>
              <w:spacing w:line="240" w:lineRule="atLeast"/>
              <w:jc w:val="center"/>
              <w:rPr>
                <w:rFonts w:ascii="宋体" w:hAnsi="宋体" w:eastAsia="宋体" w:cs="Times New Roman"/>
                <w:szCs w:val="21"/>
              </w:rPr>
            </w:pPr>
            <w:r>
              <w:rPr>
                <w:rFonts w:hint="eastAsia" w:ascii="宋体" w:hAnsi="宋体" w:eastAsia="宋体" w:cs="Times New Roman"/>
                <w:szCs w:val="21"/>
              </w:rPr>
              <w:t>自评</w:t>
            </w:r>
          </w:p>
          <w:p w14:paraId="0F7FC947">
            <w:pPr>
              <w:widowControl/>
              <w:snapToGrid w:val="0"/>
              <w:spacing w:line="240" w:lineRule="atLeast"/>
              <w:jc w:val="center"/>
              <w:rPr>
                <w:rFonts w:ascii="宋体" w:hAnsi="宋体" w:eastAsia="宋体" w:cs="Times New Roman"/>
                <w:szCs w:val="21"/>
              </w:rPr>
            </w:pPr>
            <w:r>
              <w:rPr>
                <w:rFonts w:hint="eastAsia" w:ascii="宋体" w:hAnsi="宋体" w:eastAsia="宋体" w:cs="Times New Roman"/>
                <w:szCs w:val="21"/>
              </w:rPr>
              <w:t>得分</w:t>
            </w:r>
          </w:p>
        </w:tc>
        <w:tc>
          <w:tcPr>
            <w:tcW w:w="741" w:type="dxa"/>
            <w:tcBorders>
              <w:top w:val="nil"/>
              <w:bottom w:val="single" w:color="auto" w:sz="4" w:space="0"/>
            </w:tcBorders>
            <w:vAlign w:val="center"/>
          </w:tcPr>
          <w:p w14:paraId="1ACCE805">
            <w:pPr>
              <w:widowControl/>
              <w:snapToGrid w:val="0"/>
              <w:spacing w:line="240" w:lineRule="atLeast"/>
              <w:jc w:val="center"/>
              <w:rPr>
                <w:rFonts w:ascii="宋体" w:hAnsi="宋体" w:eastAsia="宋体" w:cs="Times New Roman"/>
                <w:szCs w:val="21"/>
              </w:rPr>
            </w:pPr>
            <w:r>
              <w:rPr>
                <w:rFonts w:hint="eastAsia" w:ascii="宋体" w:hAnsi="宋体" w:eastAsia="宋体" w:cs="Times New Roman"/>
                <w:szCs w:val="21"/>
              </w:rPr>
              <w:t>审核</w:t>
            </w:r>
          </w:p>
          <w:p w14:paraId="19FC2156">
            <w:pPr>
              <w:widowControl/>
              <w:snapToGrid w:val="0"/>
              <w:spacing w:line="240" w:lineRule="atLeast"/>
              <w:jc w:val="center"/>
              <w:rPr>
                <w:rFonts w:ascii="宋体" w:hAnsi="宋体" w:eastAsia="宋体" w:cs="Times New Roman"/>
                <w:szCs w:val="21"/>
              </w:rPr>
            </w:pPr>
            <w:r>
              <w:rPr>
                <w:rFonts w:hint="eastAsia" w:ascii="宋体" w:hAnsi="宋体" w:eastAsia="宋体" w:cs="Times New Roman"/>
                <w:szCs w:val="21"/>
              </w:rPr>
              <w:t>得分</w:t>
            </w:r>
          </w:p>
        </w:tc>
      </w:tr>
      <w:tr w14:paraId="40FA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4" w:hRule="atLeast"/>
          <w:jc w:val="center"/>
        </w:trPr>
        <w:tc>
          <w:tcPr>
            <w:tcW w:w="846" w:type="dxa"/>
            <w:vAlign w:val="center"/>
          </w:tcPr>
          <w:p w14:paraId="30EF2E64">
            <w:pPr>
              <w:snapToGrid w:val="0"/>
              <w:spacing w:line="240" w:lineRule="atLeast"/>
              <w:jc w:val="center"/>
              <w:rPr>
                <w:rFonts w:ascii="宋体" w:hAnsi="宋体" w:eastAsia="宋体" w:cs="Times New Roman"/>
                <w:b/>
                <w:szCs w:val="21"/>
              </w:rPr>
            </w:pPr>
            <w:r>
              <w:rPr>
                <w:rFonts w:hint="eastAsia" w:ascii="宋体" w:hAnsi="宋体" w:eastAsia="宋体" w:cs="Times New Roman"/>
                <w:b/>
                <w:szCs w:val="21"/>
              </w:rPr>
              <w:t>科学</w:t>
            </w:r>
            <w:r>
              <w:rPr>
                <w:rFonts w:ascii="宋体" w:hAnsi="宋体" w:eastAsia="宋体" w:cs="Times New Roman"/>
                <w:b/>
                <w:szCs w:val="21"/>
              </w:rPr>
              <w:t>研究成果</w:t>
            </w:r>
          </w:p>
        </w:tc>
        <w:tc>
          <w:tcPr>
            <w:tcW w:w="6194" w:type="dxa"/>
            <w:gridSpan w:val="3"/>
            <w:vAlign w:val="center"/>
          </w:tcPr>
          <w:p w14:paraId="18BDE91B">
            <w:pPr>
              <w:snapToGrid w:val="0"/>
              <w:spacing w:after="156" w:afterLines="50" w:line="240" w:lineRule="atLeast"/>
              <w:rPr>
                <w:rFonts w:ascii="宋体" w:hAnsi="宋体" w:eastAsia="宋体" w:cs="Times New Roman"/>
                <w:szCs w:val="21"/>
              </w:rPr>
            </w:pPr>
            <w:r>
              <w:rPr>
                <w:rFonts w:hint="eastAsia" w:ascii="宋体" w:hAnsi="宋体" w:eastAsia="宋体" w:cs="宋体-18030"/>
                <w:b/>
                <w:szCs w:val="21"/>
              </w:rPr>
              <w:t>1.本科阶段</w:t>
            </w:r>
            <w:r>
              <w:rPr>
                <w:rFonts w:hint="eastAsia" w:ascii="宋体" w:hAnsi="宋体" w:eastAsia="宋体" w:cs="Times New Roman"/>
                <w:szCs w:val="21"/>
              </w:rPr>
              <w:t>在校定</w:t>
            </w:r>
            <w:r>
              <w:rPr>
                <w:rFonts w:ascii="宋体" w:hAnsi="宋体" w:eastAsia="宋体" w:cs="Times New Roman"/>
                <w:szCs w:val="21"/>
              </w:rPr>
              <w:t>D2类及以上刊物独立或</w:t>
            </w:r>
            <w:r>
              <w:rPr>
                <w:rFonts w:hint="eastAsia" w:ascii="宋体" w:hAnsi="宋体" w:eastAsia="宋体" w:cs="Times New Roman"/>
                <w:szCs w:val="21"/>
              </w:rPr>
              <w:t>以</w:t>
            </w:r>
            <w:r>
              <w:rPr>
                <w:rFonts w:ascii="宋体" w:hAnsi="宋体" w:eastAsia="宋体" w:cs="Times New Roman"/>
                <w:szCs w:val="21"/>
              </w:rPr>
              <w:t>第一作者发表与</w:t>
            </w:r>
            <w:r>
              <w:rPr>
                <w:rFonts w:hint="eastAsia" w:ascii="宋体" w:hAnsi="宋体" w:eastAsia="宋体" w:cs="Times New Roman"/>
                <w:szCs w:val="21"/>
              </w:rPr>
              <w:t>本</w:t>
            </w:r>
            <w:r>
              <w:rPr>
                <w:rFonts w:ascii="宋体" w:hAnsi="宋体" w:eastAsia="宋体" w:cs="Times New Roman"/>
                <w:szCs w:val="21"/>
              </w:rPr>
              <w:t>专业相关的科研论文：D2类2分，D1类3分，C类5分，B类10，A类15分。</w:t>
            </w:r>
          </w:p>
          <w:p w14:paraId="67AA29C9">
            <w:pPr>
              <w:snapToGrid w:val="0"/>
              <w:spacing w:line="240" w:lineRule="atLeast"/>
              <w:rPr>
                <w:rFonts w:ascii="宋体" w:hAnsi="宋体" w:eastAsia="宋体" w:cs="Times New Roman"/>
                <w:szCs w:val="21"/>
              </w:rPr>
            </w:pPr>
            <w:r>
              <w:rPr>
                <w:rFonts w:hint="eastAsia" w:ascii="宋体" w:hAnsi="宋体" w:eastAsia="宋体" w:cs="宋体-18030"/>
                <w:b/>
                <w:szCs w:val="21"/>
              </w:rPr>
              <w:t>2.</w:t>
            </w:r>
            <w:r>
              <w:rPr>
                <w:rFonts w:hint="eastAsia" w:ascii="宋体" w:hAnsi="宋体" w:eastAsia="宋体" w:cs="Times New Roman"/>
                <w:szCs w:val="21"/>
              </w:rPr>
              <w:t>主持或参加“西南政法大学年度学生科研创新项目”：已结项的，项目负责人计</w:t>
            </w:r>
            <w:r>
              <w:rPr>
                <w:rFonts w:ascii="宋体" w:hAnsi="宋体" w:eastAsia="宋体" w:cs="Times New Roman"/>
                <w:szCs w:val="21"/>
              </w:rPr>
              <w:t>2分，其他成员计0.5分；</w:t>
            </w:r>
            <w:r>
              <w:rPr>
                <w:rFonts w:hint="eastAsia" w:ascii="宋体" w:hAnsi="宋体" w:eastAsia="宋体" w:cs="Times New Roman"/>
                <w:szCs w:val="21"/>
              </w:rPr>
              <w:t>立项</w:t>
            </w:r>
            <w:r>
              <w:rPr>
                <w:rFonts w:ascii="宋体" w:hAnsi="宋体" w:eastAsia="宋体" w:cs="Times New Roman"/>
                <w:szCs w:val="21"/>
              </w:rPr>
              <w:t>未结项的，项目负责人计0.5分</w:t>
            </w:r>
            <w:r>
              <w:rPr>
                <w:rFonts w:hint="eastAsia" w:ascii="宋体" w:hAnsi="宋体" w:eastAsia="宋体" w:cs="Times New Roman"/>
                <w:szCs w:val="21"/>
              </w:rPr>
              <w:t>。</w:t>
            </w:r>
          </w:p>
        </w:tc>
        <w:tc>
          <w:tcPr>
            <w:tcW w:w="709" w:type="dxa"/>
            <w:vAlign w:val="center"/>
          </w:tcPr>
          <w:p w14:paraId="2C09638E">
            <w:pPr>
              <w:widowControl/>
              <w:snapToGrid w:val="0"/>
              <w:spacing w:line="240" w:lineRule="atLeast"/>
              <w:jc w:val="left"/>
              <w:rPr>
                <w:rFonts w:ascii="宋体" w:hAnsi="宋体" w:eastAsia="宋体" w:cs="Times New Roman"/>
                <w:szCs w:val="21"/>
              </w:rPr>
            </w:pPr>
          </w:p>
        </w:tc>
        <w:tc>
          <w:tcPr>
            <w:tcW w:w="741" w:type="dxa"/>
            <w:vAlign w:val="center"/>
          </w:tcPr>
          <w:p w14:paraId="537DB2D5">
            <w:pPr>
              <w:widowControl/>
              <w:snapToGrid w:val="0"/>
              <w:spacing w:line="240" w:lineRule="atLeast"/>
              <w:jc w:val="left"/>
              <w:rPr>
                <w:rFonts w:ascii="宋体" w:hAnsi="宋体" w:eastAsia="宋体" w:cs="Times New Roman"/>
                <w:szCs w:val="21"/>
              </w:rPr>
            </w:pPr>
          </w:p>
        </w:tc>
      </w:tr>
      <w:tr w14:paraId="27E9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6" w:hRule="atLeast"/>
          <w:jc w:val="center"/>
        </w:trPr>
        <w:tc>
          <w:tcPr>
            <w:tcW w:w="846" w:type="dxa"/>
            <w:textDirection w:val="tbRlV"/>
            <w:vAlign w:val="center"/>
          </w:tcPr>
          <w:p w14:paraId="730E12D0">
            <w:pPr>
              <w:snapToGrid w:val="0"/>
              <w:spacing w:line="240" w:lineRule="atLeast"/>
              <w:jc w:val="center"/>
              <w:rPr>
                <w:rFonts w:ascii="宋体" w:hAnsi="宋体" w:eastAsia="宋体" w:cs="宋体-18030"/>
                <w:b/>
                <w:szCs w:val="21"/>
              </w:rPr>
            </w:pPr>
            <w:r>
              <w:rPr>
                <w:rFonts w:hint="eastAsia" w:ascii="宋体" w:hAnsi="宋体" w:eastAsia="宋体" w:cs="宋体-18030"/>
                <w:b/>
                <w:szCs w:val="21"/>
              </w:rPr>
              <w:t>创新</w:t>
            </w:r>
            <w:r>
              <w:rPr>
                <w:rFonts w:ascii="宋体" w:hAnsi="宋体" w:eastAsia="宋体" w:cs="宋体-18030"/>
                <w:b/>
                <w:szCs w:val="21"/>
              </w:rPr>
              <w:t>创业</w:t>
            </w:r>
            <w:r>
              <w:rPr>
                <w:rFonts w:hint="eastAsia" w:ascii="宋体" w:hAnsi="宋体" w:eastAsia="宋体" w:cs="宋体-18030"/>
                <w:b/>
                <w:szCs w:val="21"/>
              </w:rPr>
              <w:t>成果</w:t>
            </w:r>
          </w:p>
        </w:tc>
        <w:tc>
          <w:tcPr>
            <w:tcW w:w="6194" w:type="dxa"/>
            <w:gridSpan w:val="3"/>
            <w:vAlign w:val="center"/>
          </w:tcPr>
          <w:p w14:paraId="2C0E7D6B">
            <w:pPr>
              <w:adjustRightInd w:val="0"/>
              <w:snapToGrid w:val="0"/>
              <w:spacing w:before="156" w:beforeLines="50" w:after="156" w:afterLines="50" w:line="240" w:lineRule="atLeast"/>
              <w:rPr>
                <w:rFonts w:ascii="宋体" w:hAnsi="宋体" w:eastAsia="宋体" w:cs="Times New Roman"/>
                <w:szCs w:val="21"/>
              </w:rPr>
            </w:pPr>
            <w:r>
              <w:rPr>
                <w:rFonts w:ascii="宋体" w:hAnsi="宋体" w:eastAsia="宋体" w:cs="Times New Roman"/>
                <w:szCs w:val="21"/>
              </w:rPr>
              <w:t>1.大学生</w:t>
            </w:r>
            <w:r>
              <w:rPr>
                <w:rFonts w:hint="eastAsia" w:ascii="宋体" w:hAnsi="宋体" w:eastAsia="宋体" w:cs="Times New Roman"/>
                <w:szCs w:val="21"/>
              </w:rPr>
              <w:t>创新创业训练计划项目或省（市）级以上创新创业扶持项目：</w:t>
            </w:r>
            <w:r>
              <w:rPr>
                <w:rFonts w:ascii="宋体" w:hAnsi="宋体" w:eastAsia="宋体" w:cs="Times New Roman"/>
                <w:szCs w:val="21"/>
              </w:rPr>
              <w:t>已</w:t>
            </w:r>
            <w:r>
              <w:rPr>
                <w:rFonts w:hint="eastAsia" w:ascii="宋体" w:hAnsi="宋体" w:eastAsia="宋体" w:cs="Times New Roman"/>
                <w:szCs w:val="21"/>
              </w:rPr>
              <w:t>结项的国家级、重庆市和校级项目，项目负责人分别计</w:t>
            </w:r>
            <w:r>
              <w:rPr>
                <w:rFonts w:ascii="宋体" w:hAnsi="宋体" w:eastAsia="宋体" w:cs="Times New Roman"/>
                <w:szCs w:val="21"/>
              </w:rPr>
              <w:t>3、2、1分，其他成</w:t>
            </w:r>
            <w:r>
              <w:rPr>
                <w:rFonts w:hint="eastAsia" w:ascii="宋体" w:hAnsi="宋体" w:eastAsia="宋体" w:cs="Times New Roman"/>
                <w:szCs w:val="21"/>
              </w:rPr>
              <w:t>员分别计</w:t>
            </w:r>
            <w:r>
              <w:rPr>
                <w:rFonts w:ascii="宋体" w:hAnsi="宋体" w:eastAsia="宋体" w:cs="Times New Roman"/>
                <w:szCs w:val="21"/>
              </w:rPr>
              <w:t>1、0.5、0.2分；上述</w:t>
            </w:r>
            <w:r>
              <w:rPr>
                <w:rFonts w:hint="eastAsia" w:ascii="宋体" w:hAnsi="宋体" w:eastAsia="宋体" w:cs="Times New Roman"/>
                <w:szCs w:val="21"/>
              </w:rPr>
              <w:t>项目国家级和重庆市级未结项的，项目负责人分别计</w:t>
            </w:r>
            <w:r>
              <w:rPr>
                <w:rFonts w:ascii="宋体" w:hAnsi="宋体" w:eastAsia="宋体" w:cs="Times New Roman"/>
                <w:szCs w:val="21"/>
              </w:rPr>
              <w:t>1、0.5</w:t>
            </w:r>
            <w:r>
              <w:rPr>
                <w:rFonts w:hint="eastAsia" w:ascii="宋体" w:hAnsi="宋体" w:eastAsia="宋体" w:cs="Times New Roman"/>
                <w:szCs w:val="21"/>
              </w:rPr>
              <w:t>分</w:t>
            </w:r>
            <w:r>
              <w:rPr>
                <w:rFonts w:ascii="宋体" w:hAnsi="宋体" w:eastAsia="宋体" w:cs="Times New Roman"/>
                <w:szCs w:val="21"/>
              </w:rPr>
              <w:t>。</w:t>
            </w:r>
          </w:p>
          <w:p w14:paraId="52B674A7">
            <w:pPr>
              <w:adjustRightInd w:val="0"/>
              <w:snapToGrid w:val="0"/>
              <w:spacing w:after="156" w:afterLines="50" w:line="240" w:lineRule="atLeast"/>
              <w:rPr>
                <w:rFonts w:ascii="宋体" w:hAnsi="宋体" w:eastAsia="宋体" w:cs="Times New Roman"/>
                <w:szCs w:val="21"/>
              </w:rPr>
            </w:pPr>
            <w:r>
              <w:rPr>
                <w:rFonts w:ascii="宋体" w:hAnsi="宋体" w:eastAsia="宋体" w:cs="Times New Roman"/>
                <w:szCs w:val="21"/>
              </w:rPr>
              <w:t>2.互</w:t>
            </w:r>
            <w:r>
              <w:rPr>
                <w:rFonts w:hint="eastAsia" w:ascii="宋体" w:hAnsi="宋体" w:eastAsia="宋体" w:cs="Times New Roman"/>
                <w:szCs w:val="21"/>
              </w:rPr>
              <w:t>联网</w:t>
            </w:r>
            <w:r>
              <w:rPr>
                <w:rFonts w:ascii="宋体" w:hAnsi="宋体" w:eastAsia="宋体" w:cs="Times New Roman"/>
                <w:szCs w:val="21"/>
              </w:rPr>
              <w:t>+大学生</w:t>
            </w:r>
            <w:r>
              <w:rPr>
                <w:rFonts w:hint="eastAsia" w:ascii="宋体" w:hAnsi="宋体" w:eastAsia="宋体" w:cs="Times New Roman"/>
                <w:szCs w:val="21"/>
              </w:rPr>
              <w:t>创新创业大赛、</w:t>
            </w:r>
            <w:r>
              <w:rPr>
                <w:rFonts w:ascii="宋体" w:hAnsi="宋体" w:eastAsia="宋体" w:cs="Times New Roman"/>
                <w:szCs w:val="21"/>
              </w:rPr>
              <w:t>“挑</w:t>
            </w:r>
            <w:r>
              <w:rPr>
                <w:rFonts w:hint="eastAsia" w:ascii="宋体" w:hAnsi="宋体" w:eastAsia="宋体" w:cs="Times New Roman"/>
                <w:szCs w:val="21"/>
              </w:rPr>
              <w:t>战杯</w:t>
            </w:r>
            <w:r>
              <w:rPr>
                <w:rFonts w:ascii="宋体" w:hAnsi="宋体" w:eastAsia="宋体" w:cs="Times New Roman"/>
                <w:szCs w:val="21"/>
              </w:rPr>
              <w:t>”全国大学生</w:t>
            </w:r>
            <w:r>
              <w:rPr>
                <w:rFonts w:hint="eastAsia" w:ascii="宋体" w:hAnsi="宋体" w:eastAsia="宋体" w:cs="Times New Roman"/>
                <w:szCs w:val="21"/>
              </w:rPr>
              <w:t>课外学术科技作品竞赛：</w:t>
            </w:r>
            <w:r>
              <w:rPr>
                <w:rFonts w:ascii="宋体" w:hAnsi="宋体" w:eastAsia="宋体" w:cs="Times New Roman"/>
                <w:szCs w:val="21"/>
              </w:rPr>
              <w:t>国家</w:t>
            </w:r>
            <w:r>
              <w:rPr>
                <w:rFonts w:hint="eastAsia" w:ascii="宋体" w:hAnsi="宋体" w:eastAsia="宋体" w:cs="Times New Roman"/>
                <w:szCs w:val="21"/>
              </w:rPr>
              <w:t>级金奖、银奖、铜奖，分别计</w:t>
            </w:r>
            <w:r>
              <w:rPr>
                <w:rFonts w:ascii="宋体" w:hAnsi="宋体" w:eastAsia="宋体" w:cs="Times New Roman"/>
                <w:szCs w:val="21"/>
              </w:rPr>
              <w:t>8、6、4分/</w:t>
            </w:r>
            <w:r>
              <w:rPr>
                <w:rFonts w:hint="eastAsia" w:ascii="宋体" w:hAnsi="宋体" w:eastAsia="宋体" w:cs="Times New Roman"/>
                <w:szCs w:val="21"/>
              </w:rPr>
              <w:t>项</w:t>
            </w:r>
            <w:r>
              <w:rPr>
                <w:rFonts w:ascii="宋体" w:hAnsi="宋体" w:eastAsia="宋体" w:cs="Times New Roman"/>
                <w:szCs w:val="21"/>
              </w:rPr>
              <w:t>/人；省市</w:t>
            </w:r>
            <w:r>
              <w:rPr>
                <w:rFonts w:hint="eastAsia" w:ascii="宋体" w:hAnsi="宋体" w:eastAsia="宋体" w:cs="Times New Roman"/>
                <w:szCs w:val="21"/>
              </w:rPr>
              <w:t>级金奖、银奖、铜奖，分别计</w:t>
            </w:r>
            <w:r>
              <w:rPr>
                <w:rFonts w:ascii="宋体" w:hAnsi="宋体" w:eastAsia="宋体" w:cs="Times New Roman"/>
                <w:szCs w:val="21"/>
              </w:rPr>
              <w:t>6、4、2分/</w:t>
            </w:r>
            <w:r>
              <w:rPr>
                <w:rFonts w:hint="eastAsia" w:ascii="宋体" w:hAnsi="宋体" w:eastAsia="宋体" w:cs="Times New Roman"/>
                <w:szCs w:val="21"/>
              </w:rPr>
              <w:t>项</w:t>
            </w:r>
            <w:r>
              <w:rPr>
                <w:rFonts w:ascii="宋体" w:hAnsi="宋体" w:eastAsia="宋体" w:cs="Times New Roman"/>
                <w:szCs w:val="21"/>
              </w:rPr>
              <w:t>/人</w:t>
            </w:r>
            <w:r>
              <w:rPr>
                <w:rFonts w:hint="eastAsia" w:ascii="宋体" w:hAnsi="宋体" w:eastAsia="宋体" w:cs="Times New Roman"/>
                <w:szCs w:val="21"/>
              </w:rPr>
              <w:t>。</w:t>
            </w:r>
          </w:p>
          <w:p w14:paraId="0DC536DE">
            <w:pPr>
              <w:adjustRightInd w:val="0"/>
              <w:snapToGrid w:val="0"/>
              <w:spacing w:after="156" w:afterLines="50" w:line="240" w:lineRule="atLeast"/>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经学校认定的其它创新创业类竞（比）赛：</w:t>
            </w:r>
            <w:r>
              <w:rPr>
                <w:rFonts w:ascii="宋体" w:hAnsi="宋体" w:eastAsia="宋体" w:cs="Times New Roman"/>
                <w:szCs w:val="21"/>
              </w:rPr>
              <w:t>国家</w:t>
            </w:r>
            <w:r>
              <w:rPr>
                <w:rFonts w:hint="eastAsia" w:ascii="宋体" w:hAnsi="宋体" w:eastAsia="宋体" w:cs="Times New Roman"/>
                <w:szCs w:val="21"/>
              </w:rPr>
              <w:t>级金奖、银奖、铜奖，分别计</w:t>
            </w:r>
            <w:r>
              <w:rPr>
                <w:rFonts w:ascii="宋体" w:hAnsi="宋体" w:eastAsia="宋体" w:cs="Times New Roman"/>
                <w:szCs w:val="21"/>
              </w:rPr>
              <w:t>6、4、2分/</w:t>
            </w:r>
            <w:r>
              <w:rPr>
                <w:rFonts w:hint="eastAsia" w:ascii="宋体" w:hAnsi="宋体" w:eastAsia="宋体" w:cs="Times New Roman"/>
                <w:szCs w:val="21"/>
              </w:rPr>
              <w:t>项</w:t>
            </w:r>
            <w:r>
              <w:rPr>
                <w:rFonts w:ascii="宋体" w:hAnsi="宋体" w:eastAsia="宋体" w:cs="Times New Roman"/>
                <w:szCs w:val="21"/>
              </w:rPr>
              <w:t>/人；省市</w:t>
            </w:r>
            <w:r>
              <w:rPr>
                <w:rFonts w:hint="eastAsia" w:ascii="宋体" w:hAnsi="宋体" w:eastAsia="宋体" w:cs="Times New Roman"/>
                <w:szCs w:val="21"/>
              </w:rPr>
              <w:t>级金奖、银奖、铜奖，分别计</w:t>
            </w:r>
            <w:r>
              <w:rPr>
                <w:rFonts w:ascii="宋体" w:hAnsi="宋体" w:eastAsia="宋体" w:cs="Times New Roman"/>
                <w:szCs w:val="21"/>
              </w:rPr>
              <w:t>4、2、1分/</w:t>
            </w:r>
            <w:r>
              <w:rPr>
                <w:rFonts w:hint="eastAsia" w:ascii="宋体" w:hAnsi="宋体" w:eastAsia="宋体" w:cs="Times New Roman"/>
                <w:szCs w:val="21"/>
              </w:rPr>
              <w:t>项</w:t>
            </w:r>
            <w:r>
              <w:rPr>
                <w:rFonts w:ascii="宋体" w:hAnsi="宋体" w:eastAsia="宋体" w:cs="Times New Roman"/>
                <w:szCs w:val="21"/>
              </w:rPr>
              <w:t>/人。</w:t>
            </w:r>
          </w:p>
          <w:p w14:paraId="757943C9">
            <w:pPr>
              <w:adjustRightInd w:val="0"/>
              <w:snapToGrid w:val="0"/>
              <w:spacing w:line="240" w:lineRule="atLeast"/>
              <w:jc w:val="center"/>
              <w:rPr>
                <w:rFonts w:ascii="宋体" w:hAnsi="宋体" w:eastAsia="宋体" w:cs="Times New Roman"/>
                <w:szCs w:val="21"/>
              </w:rPr>
            </w:pPr>
          </w:p>
        </w:tc>
        <w:tc>
          <w:tcPr>
            <w:tcW w:w="709" w:type="dxa"/>
            <w:vAlign w:val="center"/>
          </w:tcPr>
          <w:p w14:paraId="7A632250">
            <w:pPr>
              <w:widowControl/>
              <w:spacing w:line="240" w:lineRule="atLeast"/>
              <w:jc w:val="left"/>
              <w:rPr>
                <w:rFonts w:ascii="宋体" w:hAnsi="宋体" w:eastAsia="宋体" w:cs="Times New Roman"/>
                <w:szCs w:val="21"/>
              </w:rPr>
            </w:pPr>
          </w:p>
        </w:tc>
        <w:tc>
          <w:tcPr>
            <w:tcW w:w="741" w:type="dxa"/>
            <w:vAlign w:val="center"/>
          </w:tcPr>
          <w:p w14:paraId="4992AAA3">
            <w:pPr>
              <w:widowControl/>
              <w:snapToGrid w:val="0"/>
              <w:spacing w:line="240" w:lineRule="atLeast"/>
              <w:jc w:val="left"/>
              <w:rPr>
                <w:rFonts w:ascii="宋体" w:hAnsi="宋体" w:eastAsia="宋体" w:cs="Times New Roman"/>
                <w:szCs w:val="21"/>
              </w:rPr>
            </w:pPr>
          </w:p>
        </w:tc>
      </w:tr>
      <w:tr w14:paraId="09D1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4" w:hRule="atLeast"/>
          <w:jc w:val="center"/>
        </w:trPr>
        <w:tc>
          <w:tcPr>
            <w:tcW w:w="846" w:type="dxa"/>
            <w:tcBorders>
              <w:bottom w:val="single" w:color="auto" w:sz="4" w:space="0"/>
            </w:tcBorders>
            <w:textDirection w:val="tbRlV"/>
            <w:vAlign w:val="center"/>
          </w:tcPr>
          <w:p w14:paraId="4B74ED57">
            <w:pPr>
              <w:snapToGrid w:val="0"/>
              <w:spacing w:line="240" w:lineRule="atLeast"/>
              <w:jc w:val="center"/>
              <w:rPr>
                <w:rFonts w:ascii="宋体" w:hAnsi="宋体" w:eastAsia="宋体" w:cs="宋体-18030"/>
                <w:b/>
                <w:szCs w:val="21"/>
              </w:rPr>
            </w:pPr>
            <w:r>
              <w:rPr>
                <w:rFonts w:hint="eastAsia" w:ascii="宋体" w:hAnsi="宋体" w:eastAsia="宋体" w:cs="宋体-18030"/>
                <w:b/>
                <w:szCs w:val="21"/>
              </w:rPr>
              <w:t>学业竞赛成果</w:t>
            </w:r>
          </w:p>
        </w:tc>
        <w:tc>
          <w:tcPr>
            <w:tcW w:w="6194" w:type="dxa"/>
            <w:gridSpan w:val="3"/>
            <w:tcBorders>
              <w:bottom w:val="single" w:color="auto" w:sz="4" w:space="0"/>
            </w:tcBorders>
            <w:vAlign w:val="center"/>
          </w:tcPr>
          <w:p w14:paraId="62DCB17C">
            <w:pPr>
              <w:adjustRightInd w:val="0"/>
              <w:snapToGrid w:val="0"/>
              <w:spacing w:before="156" w:beforeLines="50" w:after="156" w:afterLines="50" w:line="240" w:lineRule="atLeast"/>
              <w:rPr>
                <w:rFonts w:ascii="宋体" w:hAnsi="宋体" w:eastAsia="宋体" w:cs="Times New Roman"/>
                <w:szCs w:val="21"/>
              </w:rPr>
            </w:pPr>
            <w:r>
              <w:rPr>
                <w:rFonts w:ascii="宋体" w:hAnsi="宋体" w:eastAsia="宋体" w:cs="Times New Roman"/>
                <w:szCs w:val="21"/>
              </w:rPr>
              <w:t>1.获得国家级竞赛一等奖（第一名），计5分/项/人；</w:t>
            </w:r>
          </w:p>
          <w:p w14:paraId="6A144091">
            <w:pPr>
              <w:adjustRightInd w:val="0"/>
              <w:snapToGrid w:val="0"/>
              <w:spacing w:after="156" w:afterLines="50" w:line="240" w:lineRule="atLeast"/>
              <w:rPr>
                <w:rFonts w:ascii="宋体" w:hAnsi="宋体" w:eastAsia="宋体" w:cs="Times New Roman"/>
                <w:szCs w:val="21"/>
              </w:rPr>
            </w:pPr>
            <w:r>
              <w:rPr>
                <w:rFonts w:ascii="宋体" w:hAnsi="宋体" w:eastAsia="宋体" w:cs="Times New Roman"/>
                <w:szCs w:val="21"/>
              </w:rPr>
              <w:t>2.获得国家级竞赛二等奖（第二名）、省部级竞赛一等奖（第一名），或在国家级、省部级竞赛决赛阶段获得最佳单项奖，计3.5分/项/人；</w:t>
            </w:r>
          </w:p>
          <w:p w14:paraId="15E0E46E">
            <w:pPr>
              <w:adjustRightInd w:val="0"/>
              <w:snapToGrid w:val="0"/>
              <w:spacing w:after="156" w:afterLines="50" w:line="240" w:lineRule="atLeast"/>
              <w:rPr>
                <w:rFonts w:ascii="宋体" w:hAnsi="宋体" w:eastAsia="宋体" w:cs="Times New Roman"/>
                <w:szCs w:val="21"/>
              </w:rPr>
            </w:pPr>
            <w:r>
              <w:rPr>
                <w:rFonts w:ascii="宋体" w:hAnsi="宋体" w:eastAsia="宋体" w:cs="Times New Roman"/>
                <w:szCs w:val="21"/>
              </w:rPr>
              <w:t>3.获得国家级竞赛三等奖（第三名）、省部级竞赛二等奖（第二名），计2分/项/人；</w:t>
            </w:r>
          </w:p>
          <w:p w14:paraId="2056D67E">
            <w:pPr>
              <w:adjustRightInd w:val="0"/>
              <w:snapToGrid w:val="0"/>
              <w:spacing w:after="156" w:afterLines="50" w:line="240" w:lineRule="atLeast"/>
              <w:rPr>
                <w:rFonts w:ascii="宋体" w:hAnsi="宋体" w:eastAsia="宋体" w:cs="Times New Roman"/>
                <w:szCs w:val="21"/>
              </w:rPr>
            </w:pPr>
            <w:r>
              <w:rPr>
                <w:rFonts w:ascii="宋体" w:hAnsi="宋体" w:eastAsia="宋体" w:cs="Times New Roman"/>
                <w:szCs w:val="21"/>
              </w:rPr>
              <w:t>4.获得国际性比赛（包括邀请赛）前三名或最佳单项奖，计5分/项/人；获得国际性比赛（包括邀请赛）优胜奖（第四、五、六名），计3分/项/人（国际性比赛的国内选拔赛视为省部级竞赛）。</w:t>
            </w:r>
          </w:p>
        </w:tc>
        <w:tc>
          <w:tcPr>
            <w:tcW w:w="709" w:type="dxa"/>
            <w:vAlign w:val="center"/>
          </w:tcPr>
          <w:p w14:paraId="2F3A164B">
            <w:pPr>
              <w:widowControl/>
              <w:spacing w:line="240" w:lineRule="atLeast"/>
              <w:jc w:val="left"/>
              <w:rPr>
                <w:rFonts w:ascii="宋体" w:hAnsi="宋体" w:eastAsia="宋体" w:cs="Times New Roman"/>
                <w:szCs w:val="21"/>
              </w:rPr>
            </w:pPr>
          </w:p>
        </w:tc>
        <w:tc>
          <w:tcPr>
            <w:tcW w:w="741" w:type="dxa"/>
            <w:vAlign w:val="center"/>
          </w:tcPr>
          <w:p w14:paraId="6973A5FD">
            <w:pPr>
              <w:widowControl/>
              <w:spacing w:line="240" w:lineRule="atLeast"/>
              <w:jc w:val="left"/>
              <w:rPr>
                <w:rFonts w:ascii="宋体" w:hAnsi="宋体" w:eastAsia="宋体" w:cs="Times New Roman"/>
                <w:szCs w:val="21"/>
              </w:rPr>
            </w:pPr>
          </w:p>
        </w:tc>
      </w:tr>
      <w:tr w14:paraId="378D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6" w:hRule="atLeast"/>
          <w:jc w:val="center"/>
        </w:trPr>
        <w:tc>
          <w:tcPr>
            <w:tcW w:w="846" w:type="dxa"/>
            <w:vAlign w:val="center"/>
          </w:tcPr>
          <w:p w14:paraId="3CAE2FF9">
            <w:pPr>
              <w:snapToGrid w:val="0"/>
              <w:spacing w:line="240" w:lineRule="atLeast"/>
              <w:jc w:val="center"/>
            </w:pPr>
            <w:r>
              <w:rPr>
                <w:rFonts w:hint="eastAsia" w:ascii="宋体" w:hAnsi="宋体" w:eastAsia="宋体" w:cs="Times New Roman"/>
                <w:b/>
                <w:szCs w:val="21"/>
              </w:rPr>
              <w:t>参军</w:t>
            </w:r>
            <w:r>
              <w:rPr>
                <w:rFonts w:ascii="宋体" w:hAnsi="宋体" w:eastAsia="宋体" w:cs="Times New Roman"/>
                <w:b/>
                <w:szCs w:val="21"/>
              </w:rPr>
              <w:t>入伍</w:t>
            </w:r>
          </w:p>
        </w:tc>
        <w:tc>
          <w:tcPr>
            <w:tcW w:w="6194" w:type="dxa"/>
            <w:gridSpan w:val="3"/>
            <w:tcBorders>
              <w:bottom w:val="single" w:color="auto" w:sz="4" w:space="0"/>
            </w:tcBorders>
            <w:vAlign w:val="center"/>
          </w:tcPr>
          <w:p w14:paraId="442CB394">
            <w:pPr>
              <w:snapToGrid w:val="0"/>
              <w:spacing w:line="240" w:lineRule="atLeast"/>
              <w:rPr>
                <w:rFonts w:ascii="宋体" w:hAnsi="宋体" w:eastAsia="宋体" w:cs="Times New Roman"/>
                <w:szCs w:val="21"/>
              </w:rPr>
            </w:pPr>
            <w:r>
              <w:rPr>
                <w:rFonts w:hint="eastAsia" w:ascii="宋体" w:hAnsi="宋体" w:eastAsia="宋体" w:cs="Times New Roman"/>
                <w:szCs w:val="21"/>
              </w:rPr>
              <w:t>1分/年，获得嘉奖或者表彰的，在此基础上酌情奖励加分，最高不超过</w:t>
            </w:r>
            <w:r>
              <w:rPr>
                <w:rFonts w:ascii="宋体" w:hAnsi="宋体" w:eastAsia="宋体" w:cs="Times New Roman"/>
                <w:szCs w:val="21"/>
              </w:rPr>
              <w:t>2分。</w:t>
            </w:r>
          </w:p>
        </w:tc>
        <w:tc>
          <w:tcPr>
            <w:tcW w:w="709" w:type="dxa"/>
            <w:vAlign w:val="center"/>
          </w:tcPr>
          <w:p w14:paraId="4CDE6109">
            <w:pPr>
              <w:widowControl/>
              <w:spacing w:line="240" w:lineRule="atLeast"/>
              <w:jc w:val="left"/>
              <w:rPr>
                <w:rFonts w:ascii="宋体" w:hAnsi="宋体" w:eastAsia="宋体" w:cs="Times New Roman"/>
                <w:szCs w:val="21"/>
              </w:rPr>
            </w:pPr>
          </w:p>
        </w:tc>
        <w:tc>
          <w:tcPr>
            <w:tcW w:w="741" w:type="dxa"/>
            <w:vAlign w:val="center"/>
          </w:tcPr>
          <w:p w14:paraId="26B7C464">
            <w:pPr>
              <w:widowControl/>
              <w:spacing w:line="240" w:lineRule="atLeast"/>
              <w:jc w:val="left"/>
              <w:rPr>
                <w:rFonts w:ascii="宋体" w:hAnsi="宋体" w:eastAsia="宋体" w:cs="Times New Roman"/>
                <w:szCs w:val="21"/>
              </w:rPr>
            </w:pPr>
          </w:p>
        </w:tc>
      </w:tr>
      <w:tr w14:paraId="3720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846" w:type="dxa"/>
            <w:vAlign w:val="center"/>
          </w:tcPr>
          <w:p w14:paraId="1D906C83">
            <w:pPr>
              <w:snapToGrid w:val="0"/>
              <w:spacing w:line="240" w:lineRule="atLeast"/>
              <w:jc w:val="center"/>
              <w:rPr>
                <w:rFonts w:ascii="宋体" w:hAnsi="宋体" w:eastAsia="宋体" w:cs="Times New Roman"/>
                <w:b/>
                <w:szCs w:val="21"/>
              </w:rPr>
            </w:pPr>
            <w:r>
              <w:rPr>
                <w:rFonts w:ascii="宋体" w:hAnsi="宋体" w:eastAsia="宋体" w:cs="Times New Roman"/>
                <w:b/>
                <w:szCs w:val="21"/>
              </w:rPr>
              <w:t>志愿服务</w:t>
            </w:r>
          </w:p>
        </w:tc>
        <w:tc>
          <w:tcPr>
            <w:tcW w:w="6194" w:type="dxa"/>
            <w:gridSpan w:val="3"/>
            <w:tcBorders>
              <w:top w:val="single" w:color="auto" w:sz="4" w:space="0"/>
              <w:left w:val="single" w:color="auto" w:sz="4" w:space="0"/>
              <w:right w:val="single" w:color="auto" w:sz="4" w:space="0"/>
            </w:tcBorders>
            <w:vAlign w:val="center"/>
          </w:tcPr>
          <w:p w14:paraId="3A367ED7">
            <w:pPr>
              <w:adjustRightInd w:val="0"/>
              <w:snapToGrid w:val="0"/>
              <w:spacing w:line="240" w:lineRule="atLeast"/>
              <w:rPr>
                <w:rFonts w:ascii="宋体" w:hAnsi="宋体" w:eastAsia="宋体" w:cs="Times New Roman"/>
                <w:szCs w:val="21"/>
              </w:rPr>
            </w:pPr>
            <w:r>
              <w:rPr>
                <w:rFonts w:hint="eastAsia" w:ascii="宋体" w:hAnsi="宋体" w:eastAsia="宋体" w:cs="Times New Roman"/>
                <w:szCs w:val="21"/>
              </w:rPr>
              <w:t>参加学校、学院或官方组织的志愿服务，获得国家级奖励</w:t>
            </w:r>
            <w:r>
              <w:rPr>
                <w:rFonts w:ascii="宋体" w:hAnsi="宋体" w:eastAsia="宋体" w:cs="Times New Roman"/>
                <w:szCs w:val="21"/>
              </w:rPr>
              <w:t>的</w:t>
            </w:r>
            <w:r>
              <w:rPr>
                <w:rFonts w:hint="eastAsia" w:ascii="宋体" w:hAnsi="宋体" w:eastAsia="宋体" w:cs="Times New Roman"/>
                <w:szCs w:val="21"/>
              </w:rPr>
              <w:t>，计</w:t>
            </w:r>
            <w:r>
              <w:rPr>
                <w:rFonts w:ascii="宋体" w:hAnsi="宋体" w:eastAsia="宋体" w:cs="Times New Roman"/>
                <w:szCs w:val="21"/>
              </w:rPr>
              <w:t>2分；</w:t>
            </w:r>
            <w:r>
              <w:rPr>
                <w:rFonts w:hint="eastAsia" w:ascii="宋体" w:hAnsi="宋体" w:eastAsia="宋体" w:cs="Times New Roman"/>
                <w:szCs w:val="21"/>
              </w:rPr>
              <w:t>获得</w:t>
            </w:r>
            <w:r>
              <w:rPr>
                <w:rFonts w:ascii="宋体" w:hAnsi="宋体" w:eastAsia="宋体" w:cs="Times New Roman"/>
                <w:szCs w:val="21"/>
              </w:rPr>
              <w:t>省部级</w:t>
            </w:r>
            <w:r>
              <w:rPr>
                <w:rFonts w:hint="eastAsia" w:ascii="宋体" w:hAnsi="宋体" w:eastAsia="宋体" w:cs="Times New Roman"/>
                <w:szCs w:val="21"/>
              </w:rPr>
              <w:t>奖励</w:t>
            </w:r>
            <w:r>
              <w:rPr>
                <w:rFonts w:ascii="宋体" w:hAnsi="宋体" w:eastAsia="宋体" w:cs="Times New Roman"/>
                <w:szCs w:val="21"/>
              </w:rPr>
              <w:t>的，</w:t>
            </w:r>
            <w:r>
              <w:rPr>
                <w:rFonts w:hint="eastAsia" w:ascii="宋体" w:hAnsi="宋体" w:eastAsia="宋体" w:cs="Times New Roman"/>
                <w:szCs w:val="21"/>
              </w:rPr>
              <w:t>计</w:t>
            </w:r>
            <w:r>
              <w:rPr>
                <w:rFonts w:ascii="宋体" w:hAnsi="宋体" w:eastAsia="宋体" w:cs="Times New Roman"/>
                <w:szCs w:val="21"/>
              </w:rPr>
              <w:t>1分</w:t>
            </w:r>
            <w:r>
              <w:rPr>
                <w:rFonts w:hint="eastAsia" w:ascii="宋体" w:hAnsi="宋体" w:eastAsia="宋体" w:cs="Times New Roman"/>
                <w:szCs w:val="21"/>
              </w:rPr>
              <w:t>。最高不超过</w:t>
            </w:r>
            <w:r>
              <w:rPr>
                <w:rFonts w:ascii="宋体" w:hAnsi="宋体" w:eastAsia="宋体" w:cs="Times New Roman"/>
                <w:szCs w:val="21"/>
              </w:rPr>
              <w:t>2分。</w:t>
            </w:r>
          </w:p>
        </w:tc>
        <w:tc>
          <w:tcPr>
            <w:tcW w:w="709" w:type="dxa"/>
            <w:vAlign w:val="center"/>
          </w:tcPr>
          <w:p w14:paraId="57F3AC0F">
            <w:pPr>
              <w:adjustRightInd w:val="0"/>
              <w:snapToGrid w:val="0"/>
              <w:spacing w:line="240" w:lineRule="atLeast"/>
              <w:ind w:firstLine="105" w:firstLineChars="50"/>
              <w:rPr>
                <w:rFonts w:ascii="宋体" w:hAnsi="宋体" w:eastAsia="宋体" w:cs="Times New Roman"/>
                <w:szCs w:val="21"/>
              </w:rPr>
            </w:pPr>
          </w:p>
        </w:tc>
        <w:tc>
          <w:tcPr>
            <w:tcW w:w="741" w:type="dxa"/>
            <w:vAlign w:val="center"/>
          </w:tcPr>
          <w:p w14:paraId="43BA65D7">
            <w:pPr>
              <w:widowControl/>
              <w:spacing w:line="240" w:lineRule="atLeast"/>
              <w:jc w:val="left"/>
              <w:rPr>
                <w:rFonts w:ascii="宋体" w:hAnsi="宋体" w:eastAsia="宋体" w:cs="Times New Roman"/>
                <w:szCs w:val="21"/>
              </w:rPr>
            </w:pPr>
          </w:p>
        </w:tc>
      </w:tr>
      <w:tr w14:paraId="1AAC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846" w:type="dxa"/>
            <w:vMerge w:val="restart"/>
            <w:vAlign w:val="center"/>
          </w:tcPr>
          <w:p w14:paraId="482E3DFC">
            <w:pPr>
              <w:snapToGrid w:val="0"/>
              <w:spacing w:line="240" w:lineRule="atLeast"/>
              <w:jc w:val="center"/>
              <w:rPr>
                <w:rFonts w:ascii="宋体" w:hAnsi="宋体" w:eastAsia="宋体" w:cs="Times New Roman"/>
                <w:b/>
                <w:szCs w:val="21"/>
              </w:rPr>
            </w:pPr>
            <w:r>
              <w:rPr>
                <w:rFonts w:hint="eastAsia" w:ascii="宋体" w:hAnsi="宋体" w:eastAsia="宋体" w:cs="Times New Roman"/>
                <w:b/>
                <w:szCs w:val="21"/>
              </w:rPr>
              <w:t>到</w:t>
            </w:r>
            <w:r>
              <w:rPr>
                <w:rFonts w:ascii="宋体" w:hAnsi="宋体" w:eastAsia="宋体" w:cs="Times New Roman"/>
                <w:b/>
                <w:szCs w:val="21"/>
              </w:rPr>
              <w:t>国际组织</w:t>
            </w:r>
            <w:r>
              <w:rPr>
                <w:rFonts w:hint="eastAsia" w:ascii="宋体" w:hAnsi="宋体" w:eastAsia="宋体" w:cs="Times New Roman"/>
                <w:b/>
                <w:szCs w:val="21"/>
              </w:rPr>
              <w:t>实习</w:t>
            </w:r>
          </w:p>
        </w:tc>
        <w:tc>
          <w:tcPr>
            <w:tcW w:w="6194" w:type="dxa"/>
            <w:gridSpan w:val="3"/>
            <w:vMerge w:val="restart"/>
            <w:tcBorders>
              <w:top w:val="single" w:color="auto" w:sz="4" w:space="0"/>
              <w:left w:val="single" w:color="auto" w:sz="4" w:space="0"/>
              <w:right w:val="single" w:color="auto" w:sz="4" w:space="0"/>
            </w:tcBorders>
            <w:vAlign w:val="center"/>
          </w:tcPr>
          <w:p w14:paraId="1205A37F">
            <w:pPr>
              <w:snapToGrid w:val="0"/>
              <w:spacing w:line="240" w:lineRule="atLeast"/>
              <w:rPr>
                <w:rFonts w:ascii="宋体" w:hAnsi="宋体" w:eastAsia="宋体" w:cs="Times New Roman"/>
                <w:szCs w:val="21"/>
              </w:rPr>
            </w:pPr>
            <w:r>
              <w:rPr>
                <w:rFonts w:hint="eastAsia" w:ascii="宋体" w:hAnsi="宋体" w:eastAsia="宋体" w:cs="Times New Roman"/>
                <w:szCs w:val="21"/>
              </w:rPr>
              <w:t>1分/年，获得表彰的，在此基础上酌情奖励加分，最高不超过</w:t>
            </w:r>
            <w:r>
              <w:rPr>
                <w:rFonts w:ascii="宋体" w:hAnsi="宋体" w:eastAsia="宋体" w:cs="Times New Roman"/>
                <w:szCs w:val="21"/>
              </w:rPr>
              <w:t>2分。</w:t>
            </w:r>
          </w:p>
        </w:tc>
        <w:tc>
          <w:tcPr>
            <w:tcW w:w="709" w:type="dxa"/>
            <w:vAlign w:val="center"/>
          </w:tcPr>
          <w:p w14:paraId="714D4504">
            <w:pPr>
              <w:widowControl/>
              <w:spacing w:line="240" w:lineRule="atLeast"/>
              <w:jc w:val="left"/>
              <w:rPr>
                <w:rFonts w:ascii="宋体" w:hAnsi="宋体" w:eastAsia="宋体" w:cs="Times New Roman"/>
                <w:szCs w:val="21"/>
              </w:rPr>
            </w:pPr>
          </w:p>
        </w:tc>
        <w:tc>
          <w:tcPr>
            <w:tcW w:w="741" w:type="dxa"/>
            <w:vAlign w:val="center"/>
          </w:tcPr>
          <w:p w14:paraId="2C3CF72F">
            <w:pPr>
              <w:widowControl/>
              <w:spacing w:line="240" w:lineRule="atLeast"/>
              <w:jc w:val="left"/>
              <w:rPr>
                <w:rFonts w:ascii="宋体" w:hAnsi="宋体" w:eastAsia="宋体" w:cs="Times New Roman"/>
                <w:szCs w:val="21"/>
              </w:rPr>
            </w:pPr>
          </w:p>
        </w:tc>
      </w:tr>
      <w:tr w14:paraId="46DA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846" w:type="dxa"/>
            <w:vMerge w:val="continue"/>
            <w:vAlign w:val="center"/>
          </w:tcPr>
          <w:p w14:paraId="1CEDDB25">
            <w:pPr>
              <w:adjustRightInd w:val="0"/>
              <w:snapToGrid w:val="0"/>
              <w:spacing w:line="240" w:lineRule="atLeast"/>
              <w:rPr>
                <w:rFonts w:ascii="宋体" w:hAnsi="宋体" w:eastAsia="宋体" w:cs="Times New Roman"/>
                <w:szCs w:val="21"/>
              </w:rPr>
            </w:pPr>
          </w:p>
        </w:tc>
        <w:tc>
          <w:tcPr>
            <w:tcW w:w="6194" w:type="dxa"/>
            <w:gridSpan w:val="3"/>
            <w:vMerge w:val="continue"/>
            <w:tcBorders>
              <w:left w:val="single" w:color="auto" w:sz="4" w:space="0"/>
              <w:bottom w:val="single" w:color="auto" w:sz="4" w:space="0"/>
              <w:right w:val="single" w:color="auto" w:sz="4" w:space="0"/>
            </w:tcBorders>
            <w:vAlign w:val="center"/>
          </w:tcPr>
          <w:p w14:paraId="5F7C77A0">
            <w:pPr>
              <w:adjustRightInd w:val="0"/>
              <w:snapToGrid w:val="0"/>
              <w:spacing w:line="240" w:lineRule="atLeast"/>
              <w:jc w:val="center"/>
              <w:rPr>
                <w:rFonts w:ascii="宋体" w:hAnsi="宋体" w:eastAsia="宋体" w:cs="Times New Roman"/>
                <w:szCs w:val="21"/>
              </w:rPr>
            </w:pPr>
          </w:p>
        </w:tc>
        <w:tc>
          <w:tcPr>
            <w:tcW w:w="709" w:type="dxa"/>
            <w:vAlign w:val="center"/>
          </w:tcPr>
          <w:p w14:paraId="4C93B8D3">
            <w:pPr>
              <w:widowControl/>
              <w:spacing w:line="240" w:lineRule="atLeast"/>
              <w:jc w:val="left"/>
              <w:rPr>
                <w:rFonts w:ascii="宋体" w:hAnsi="宋体" w:eastAsia="宋体" w:cs="Times New Roman"/>
                <w:szCs w:val="21"/>
              </w:rPr>
            </w:pPr>
          </w:p>
        </w:tc>
        <w:tc>
          <w:tcPr>
            <w:tcW w:w="741" w:type="dxa"/>
            <w:vAlign w:val="center"/>
          </w:tcPr>
          <w:p w14:paraId="6371176C">
            <w:pPr>
              <w:widowControl/>
              <w:spacing w:line="240" w:lineRule="atLeast"/>
              <w:jc w:val="left"/>
              <w:rPr>
                <w:rFonts w:ascii="宋体" w:hAnsi="宋体" w:eastAsia="宋体" w:cs="Times New Roman"/>
                <w:szCs w:val="21"/>
              </w:rPr>
            </w:pPr>
          </w:p>
        </w:tc>
      </w:tr>
      <w:tr w14:paraId="543F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846" w:type="dxa"/>
            <w:vAlign w:val="center"/>
          </w:tcPr>
          <w:p w14:paraId="58477FAA">
            <w:pPr>
              <w:snapToGrid w:val="0"/>
              <w:spacing w:line="240" w:lineRule="atLeast"/>
              <w:jc w:val="center"/>
              <w:rPr>
                <w:rFonts w:ascii="宋体" w:hAnsi="宋体" w:eastAsia="宋体" w:cs="Times New Roman"/>
                <w:szCs w:val="21"/>
              </w:rPr>
            </w:pPr>
            <w:r>
              <w:rPr>
                <w:rFonts w:hint="eastAsia" w:ascii="宋体" w:hAnsi="宋体" w:eastAsia="宋体" w:cs="Times New Roman"/>
                <w:b/>
                <w:szCs w:val="21"/>
              </w:rPr>
              <w:t>社会工作</w:t>
            </w:r>
          </w:p>
        </w:tc>
        <w:tc>
          <w:tcPr>
            <w:tcW w:w="6194" w:type="dxa"/>
            <w:gridSpan w:val="3"/>
            <w:tcBorders>
              <w:top w:val="single" w:color="auto" w:sz="4" w:space="0"/>
              <w:left w:val="single" w:color="auto" w:sz="4" w:space="0"/>
              <w:bottom w:val="single" w:color="auto" w:sz="4" w:space="0"/>
              <w:right w:val="single" w:color="auto" w:sz="4" w:space="0"/>
            </w:tcBorders>
            <w:vAlign w:val="center"/>
          </w:tcPr>
          <w:p w14:paraId="578E32DA">
            <w:pPr>
              <w:snapToGrid w:val="0"/>
              <w:spacing w:line="240" w:lineRule="atLeast"/>
              <w:rPr>
                <w:rFonts w:ascii="宋体" w:hAnsi="宋体" w:eastAsia="宋体" w:cs="Times New Roman"/>
                <w:szCs w:val="21"/>
              </w:rPr>
            </w:pPr>
            <w:r>
              <w:rPr>
                <w:rFonts w:hint="eastAsia" w:ascii="宋体" w:hAnsi="宋体" w:eastAsia="宋体" w:cs="Times New Roman"/>
                <w:szCs w:val="21"/>
              </w:rPr>
              <w:t>国家级</w:t>
            </w:r>
            <w:r>
              <w:rPr>
                <w:rFonts w:ascii="宋体" w:hAnsi="宋体" w:eastAsia="宋体" w:cs="Times New Roman"/>
                <w:szCs w:val="21"/>
              </w:rPr>
              <w:t>获奖</w:t>
            </w:r>
            <w:r>
              <w:rPr>
                <w:rFonts w:hint="eastAsia" w:ascii="宋体" w:hAnsi="宋体" w:eastAsia="宋体" w:cs="Times New Roman"/>
                <w:szCs w:val="21"/>
              </w:rPr>
              <w:t>，计2分；省部级</w:t>
            </w:r>
            <w:r>
              <w:rPr>
                <w:rFonts w:ascii="宋体" w:hAnsi="宋体" w:eastAsia="宋体" w:cs="Times New Roman"/>
                <w:szCs w:val="21"/>
              </w:rPr>
              <w:t>获奖</w:t>
            </w:r>
            <w:r>
              <w:rPr>
                <w:rFonts w:hint="eastAsia" w:ascii="宋体" w:hAnsi="宋体" w:eastAsia="宋体" w:cs="Times New Roman"/>
                <w:szCs w:val="21"/>
              </w:rPr>
              <w:t>，计1分。最高不超过</w:t>
            </w:r>
            <w:r>
              <w:rPr>
                <w:rFonts w:ascii="宋体" w:hAnsi="宋体" w:eastAsia="宋体" w:cs="Times New Roman"/>
                <w:szCs w:val="21"/>
              </w:rPr>
              <w:t>2分。</w:t>
            </w:r>
          </w:p>
        </w:tc>
        <w:tc>
          <w:tcPr>
            <w:tcW w:w="709" w:type="dxa"/>
            <w:vAlign w:val="center"/>
          </w:tcPr>
          <w:p w14:paraId="7FF0064F">
            <w:pPr>
              <w:widowControl/>
              <w:spacing w:line="240" w:lineRule="atLeast"/>
              <w:jc w:val="left"/>
              <w:rPr>
                <w:rFonts w:ascii="宋体" w:hAnsi="宋体" w:eastAsia="宋体" w:cs="Times New Roman"/>
                <w:szCs w:val="21"/>
              </w:rPr>
            </w:pPr>
          </w:p>
        </w:tc>
        <w:tc>
          <w:tcPr>
            <w:tcW w:w="741" w:type="dxa"/>
            <w:vAlign w:val="center"/>
          </w:tcPr>
          <w:p w14:paraId="37640B03">
            <w:pPr>
              <w:widowControl/>
              <w:spacing w:line="240" w:lineRule="atLeast"/>
              <w:jc w:val="left"/>
              <w:rPr>
                <w:rFonts w:ascii="宋体" w:hAnsi="宋体" w:eastAsia="宋体" w:cs="Times New Roman"/>
                <w:szCs w:val="21"/>
              </w:rPr>
            </w:pPr>
          </w:p>
        </w:tc>
      </w:tr>
      <w:tr w14:paraId="3B2B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jc w:val="center"/>
        </w:trPr>
        <w:tc>
          <w:tcPr>
            <w:tcW w:w="846" w:type="dxa"/>
            <w:vAlign w:val="center"/>
          </w:tcPr>
          <w:p w14:paraId="788FDECE">
            <w:pPr>
              <w:snapToGrid w:val="0"/>
              <w:spacing w:line="240" w:lineRule="atLeast"/>
              <w:jc w:val="center"/>
              <w:rPr>
                <w:rFonts w:ascii="宋体" w:hAnsi="宋体" w:eastAsia="宋体" w:cs="Times New Roman"/>
                <w:sz w:val="20"/>
                <w:szCs w:val="20"/>
              </w:rPr>
            </w:pPr>
            <w:r>
              <w:rPr>
                <w:rFonts w:hint="eastAsia" w:ascii="宋体" w:hAnsi="宋体" w:eastAsia="宋体" w:cs="Times New Roman"/>
                <w:b/>
                <w:szCs w:val="21"/>
              </w:rPr>
              <w:t>文体</w:t>
            </w:r>
            <w:r>
              <w:rPr>
                <w:rFonts w:ascii="宋体" w:hAnsi="宋体" w:eastAsia="宋体" w:cs="Times New Roman"/>
                <w:b/>
                <w:szCs w:val="21"/>
              </w:rPr>
              <w:t>竞赛</w:t>
            </w:r>
          </w:p>
        </w:tc>
        <w:tc>
          <w:tcPr>
            <w:tcW w:w="6194" w:type="dxa"/>
            <w:gridSpan w:val="3"/>
            <w:tcBorders>
              <w:top w:val="single" w:color="auto" w:sz="4" w:space="0"/>
              <w:left w:val="single" w:color="auto" w:sz="4" w:space="0"/>
              <w:bottom w:val="single" w:color="auto" w:sz="4" w:space="0"/>
              <w:right w:val="single" w:color="auto" w:sz="4" w:space="0"/>
            </w:tcBorders>
            <w:vAlign w:val="center"/>
          </w:tcPr>
          <w:p w14:paraId="2268367C">
            <w:pPr>
              <w:adjustRightInd w:val="0"/>
              <w:snapToGrid w:val="0"/>
              <w:spacing w:line="240" w:lineRule="atLeast"/>
              <w:rPr>
                <w:rFonts w:ascii="宋体" w:hAnsi="宋体" w:eastAsia="宋体" w:cs="Times New Roman"/>
                <w:szCs w:val="21"/>
              </w:rPr>
            </w:pPr>
            <w:r>
              <w:rPr>
                <w:rFonts w:ascii="宋体" w:hAnsi="宋体" w:eastAsia="宋体" w:cs="Times New Roman"/>
                <w:szCs w:val="21"/>
              </w:rPr>
              <w:t>获得国家级竞赛一等奖（第一名），计2分</w:t>
            </w:r>
            <w:r>
              <w:rPr>
                <w:rFonts w:hint="eastAsia" w:ascii="宋体" w:hAnsi="宋体" w:eastAsia="宋体" w:cs="Times New Roman"/>
                <w:szCs w:val="21"/>
              </w:rPr>
              <w:t>；</w:t>
            </w:r>
            <w:r>
              <w:rPr>
                <w:rFonts w:ascii="宋体" w:hAnsi="宋体" w:eastAsia="宋体" w:cs="Times New Roman"/>
                <w:szCs w:val="21"/>
              </w:rPr>
              <w:t>获得国家级竞赛二等奖（第二名）、省部级竞赛一等奖（第一名），计1.5分；获得国家级竞赛三等奖（第三名）、省部级竞赛二等奖（第二名），计1分</w:t>
            </w:r>
            <w:r>
              <w:rPr>
                <w:rFonts w:hint="eastAsia" w:ascii="宋体" w:hAnsi="宋体" w:eastAsia="宋体" w:cs="Times New Roman"/>
                <w:szCs w:val="21"/>
              </w:rPr>
              <w:t>。最高不超过</w:t>
            </w:r>
            <w:r>
              <w:rPr>
                <w:rFonts w:ascii="宋体" w:hAnsi="宋体" w:eastAsia="宋体" w:cs="Times New Roman"/>
                <w:szCs w:val="21"/>
              </w:rPr>
              <w:t>2分。</w:t>
            </w:r>
          </w:p>
        </w:tc>
        <w:tc>
          <w:tcPr>
            <w:tcW w:w="709" w:type="dxa"/>
            <w:vAlign w:val="center"/>
          </w:tcPr>
          <w:p w14:paraId="40359C38">
            <w:pPr>
              <w:widowControl/>
              <w:spacing w:line="240" w:lineRule="atLeast"/>
              <w:jc w:val="left"/>
              <w:rPr>
                <w:rFonts w:ascii="宋体" w:hAnsi="宋体" w:eastAsia="宋体" w:cs="Times New Roman"/>
                <w:szCs w:val="21"/>
              </w:rPr>
            </w:pPr>
          </w:p>
        </w:tc>
        <w:tc>
          <w:tcPr>
            <w:tcW w:w="741" w:type="dxa"/>
            <w:vAlign w:val="center"/>
          </w:tcPr>
          <w:p w14:paraId="05ACBF01">
            <w:pPr>
              <w:widowControl/>
              <w:spacing w:line="240" w:lineRule="atLeast"/>
              <w:jc w:val="left"/>
              <w:rPr>
                <w:rFonts w:ascii="宋体" w:hAnsi="宋体" w:eastAsia="宋体" w:cs="Times New Roman"/>
                <w:szCs w:val="21"/>
              </w:rPr>
            </w:pPr>
          </w:p>
        </w:tc>
      </w:tr>
      <w:tr w14:paraId="41F2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exact"/>
          <w:jc w:val="center"/>
        </w:trPr>
        <w:tc>
          <w:tcPr>
            <w:tcW w:w="7040" w:type="dxa"/>
            <w:gridSpan w:val="4"/>
            <w:vAlign w:val="center"/>
          </w:tcPr>
          <w:p w14:paraId="64E7FF60">
            <w:pPr>
              <w:adjustRightInd w:val="0"/>
              <w:snapToGrid w:val="0"/>
              <w:spacing w:line="240" w:lineRule="atLeast"/>
              <w:jc w:val="center"/>
              <w:rPr>
                <w:rFonts w:ascii="宋体" w:hAnsi="宋体" w:eastAsia="宋体" w:cs="Times New Roman"/>
              </w:rPr>
            </w:pPr>
            <w:r>
              <w:rPr>
                <w:rFonts w:hint="eastAsia" w:ascii="宋体" w:hAnsi="宋体" w:eastAsia="宋体" w:cs="Times New Roman"/>
              </w:rPr>
              <w:t>总分（不超过</w:t>
            </w:r>
            <w:r>
              <w:rPr>
                <w:rFonts w:ascii="宋体" w:hAnsi="宋体" w:eastAsia="宋体" w:cs="Times New Roman"/>
              </w:rPr>
              <w:t>15</w:t>
            </w:r>
            <w:r>
              <w:rPr>
                <w:rFonts w:hint="eastAsia" w:ascii="宋体" w:hAnsi="宋体" w:eastAsia="宋体" w:cs="Times New Roman"/>
              </w:rPr>
              <w:t>分）</w:t>
            </w:r>
          </w:p>
        </w:tc>
        <w:tc>
          <w:tcPr>
            <w:tcW w:w="709" w:type="dxa"/>
            <w:vAlign w:val="center"/>
          </w:tcPr>
          <w:p w14:paraId="7C738D2F">
            <w:pPr>
              <w:widowControl/>
              <w:spacing w:line="240" w:lineRule="atLeast"/>
              <w:jc w:val="left"/>
              <w:rPr>
                <w:rFonts w:ascii="宋体" w:hAnsi="宋体" w:eastAsia="宋体" w:cs="Times New Roman"/>
                <w:szCs w:val="21"/>
              </w:rPr>
            </w:pPr>
          </w:p>
        </w:tc>
        <w:tc>
          <w:tcPr>
            <w:tcW w:w="741" w:type="dxa"/>
            <w:vAlign w:val="center"/>
          </w:tcPr>
          <w:p w14:paraId="07D68B90">
            <w:pPr>
              <w:widowControl/>
              <w:spacing w:line="240" w:lineRule="atLeast"/>
              <w:jc w:val="left"/>
              <w:rPr>
                <w:rFonts w:ascii="宋体" w:hAnsi="宋体" w:eastAsia="宋体" w:cs="Times New Roman"/>
                <w:szCs w:val="21"/>
              </w:rPr>
            </w:pPr>
          </w:p>
        </w:tc>
      </w:tr>
    </w:tbl>
    <w:p w14:paraId="50F9F8EB">
      <w:pPr>
        <w:spacing w:line="260" w:lineRule="exact"/>
        <w:ind w:left="-420" w:leftChars="-200" w:right="-420" w:rightChars="-200"/>
        <w:rPr>
          <w:rFonts w:ascii="宋体" w:hAnsi="宋体" w:eastAsia="宋体" w:cs="宋体"/>
          <w:sz w:val="18"/>
          <w:szCs w:val="21"/>
        </w:rPr>
      </w:pPr>
    </w:p>
    <w:p w14:paraId="02409577">
      <w:pPr>
        <w:spacing w:line="260" w:lineRule="exact"/>
        <w:ind w:left="-420" w:leftChars="-200" w:right="-420" w:rightChars="-200"/>
        <w:rPr>
          <w:rFonts w:ascii="宋体" w:hAnsi="宋体" w:eastAsia="宋体" w:cs="宋体"/>
          <w:sz w:val="18"/>
          <w:szCs w:val="21"/>
        </w:rPr>
      </w:pPr>
    </w:p>
    <w:p w14:paraId="380BF394">
      <w:pPr>
        <w:spacing w:line="260" w:lineRule="exact"/>
        <w:ind w:left="-420" w:leftChars="-200" w:right="-420" w:rightChars="-200"/>
        <w:rPr>
          <w:rFonts w:ascii="宋体" w:hAnsi="宋体" w:eastAsia="宋体" w:cs="宋体"/>
          <w:b/>
          <w:szCs w:val="21"/>
        </w:rPr>
      </w:pPr>
      <w:r>
        <w:rPr>
          <w:rFonts w:hint="eastAsia" w:ascii="宋体" w:hAnsi="宋体" w:eastAsia="宋体" w:cs="宋体"/>
          <w:b/>
          <w:szCs w:val="21"/>
        </w:rPr>
        <w:t>说明</w:t>
      </w:r>
      <w:r>
        <w:rPr>
          <w:rFonts w:ascii="宋体" w:hAnsi="宋体" w:eastAsia="宋体" w:cs="宋体"/>
          <w:b/>
          <w:szCs w:val="21"/>
        </w:rPr>
        <w:t>：</w:t>
      </w:r>
    </w:p>
    <w:p w14:paraId="24F28A1B">
      <w:pPr>
        <w:spacing w:line="260" w:lineRule="exact"/>
        <w:ind w:left="-420" w:leftChars="-200" w:right="-420" w:rightChars="-200"/>
        <w:rPr>
          <w:rFonts w:ascii="宋体" w:hAnsi="宋体" w:eastAsia="宋体" w:cs="宋体"/>
          <w:szCs w:val="21"/>
        </w:rPr>
      </w:pPr>
      <w:r>
        <w:rPr>
          <w:rFonts w:hint="eastAsia" w:ascii="宋体" w:hAnsi="宋体" w:eastAsia="宋体" w:cs="宋体"/>
          <w:szCs w:val="21"/>
        </w:rPr>
        <w:t>1.为</w:t>
      </w:r>
      <w:r>
        <w:rPr>
          <w:rFonts w:ascii="宋体" w:hAnsi="宋体" w:eastAsia="宋体" w:cs="宋体"/>
          <w:szCs w:val="21"/>
        </w:rPr>
        <w:t>激励</w:t>
      </w:r>
      <w:r>
        <w:rPr>
          <w:rFonts w:hint="eastAsia" w:ascii="宋体" w:hAnsi="宋体" w:eastAsia="宋体" w:cs="宋体"/>
          <w:szCs w:val="21"/>
        </w:rPr>
        <w:t>学生德智体美劳全面</w:t>
      </w:r>
      <w:r>
        <w:rPr>
          <w:rFonts w:ascii="宋体" w:hAnsi="宋体" w:eastAsia="宋体" w:cs="宋体"/>
          <w:szCs w:val="21"/>
        </w:rPr>
        <w:t>发展，</w:t>
      </w:r>
      <w:r>
        <w:rPr>
          <w:rFonts w:hint="eastAsia" w:ascii="宋体" w:hAnsi="宋体" w:eastAsia="宋体" w:cs="宋体"/>
          <w:szCs w:val="21"/>
        </w:rPr>
        <w:t>某一方面有多项加分情况时，</w:t>
      </w:r>
      <w:r>
        <w:rPr>
          <w:rFonts w:ascii="宋体" w:hAnsi="宋体" w:eastAsia="宋体" w:cs="宋体"/>
          <w:szCs w:val="21"/>
        </w:rPr>
        <w:t>只</w:t>
      </w:r>
      <w:r>
        <w:rPr>
          <w:rFonts w:hint="eastAsia" w:ascii="宋体" w:hAnsi="宋体" w:eastAsia="宋体" w:cs="宋体"/>
          <w:szCs w:val="21"/>
        </w:rPr>
        <w:t>计最高</w:t>
      </w:r>
      <w:r>
        <w:rPr>
          <w:rFonts w:ascii="宋体" w:hAnsi="宋体" w:eastAsia="宋体" w:cs="宋体"/>
          <w:szCs w:val="21"/>
        </w:rPr>
        <w:t>项</w:t>
      </w:r>
      <w:r>
        <w:rPr>
          <w:rFonts w:hint="eastAsia" w:ascii="宋体" w:hAnsi="宋体" w:eastAsia="宋体" w:cs="宋体"/>
          <w:szCs w:val="21"/>
        </w:rPr>
        <w:t>；同一成果符合多项加分条件，或同一竞赛获得多个奖项时，按最高项加分，不重复加分。</w:t>
      </w:r>
    </w:p>
    <w:p w14:paraId="22E697A8">
      <w:pPr>
        <w:spacing w:line="260" w:lineRule="exact"/>
        <w:ind w:left="-420" w:leftChars="-200" w:right="-420" w:rightChars="-200"/>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科研论文的</w:t>
      </w:r>
      <w:r>
        <w:rPr>
          <w:rFonts w:ascii="宋体" w:hAnsi="宋体" w:eastAsia="宋体" w:cs="宋体"/>
          <w:szCs w:val="21"/>
        </w:rPr>
        <w:t>级别</w:t>
      </w:r>
      <w:r>
        <w:rPr>
          <w:rFonts w:hint="eastAsia" w:ascii="宋体" w:hAnsi="宋体" w:eastAsia="宋体" w:cs="宋体"/>
          <w:szCs w:val="21"/>
        </w:rPr>
        <w:t>依据发文</w:t>
      </w:r>
      <w:r>
        <w:rPr>
          <w:rFonts w:ascii="宋体" w:hAnsi="宋体" w:eastAsia="宋体" w:cs="宋体"/>
          <w:szCs w:val="21"/>
        </w:rPr>
        <w:t>时</w:t>
      </w:r>
      <w:r>
        <w:rPr>
          <w:rFonts w:hint="eastAsia" w:ascii="宋体" w:hAnsi="宋体" w:eastAsia="宋体" w:cs="宋体"/>
          <w:szCs w:val="21"/>
        </w:rPr>
        <w:t>科研处发布的期刊分类标准确定</w:t>
      </w:r>
      <w:r>
        <w:rPr>
          <w:rFonts w:ascii="宋体" w:hAnsi="宋体" w:eastAsia="宋体" w:cs="宋体"/>
          <w:szCs w:val="21"/>
        </w:rPr>
        <w:t>。</w:t>
      </w:r>
    </w:p>
    <w:p w14:paraId="221D4962">
      <w:pPr>
        <w:spacing w:line="260" w:lineRule="exact"/>
        <w:ind w:left="-420" w:leftChars="-200" w:right="-420" w:rightChars="-200"/>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国家级奖是指以中央（国务院）或相关部委名义颁发奖。省（市）级奖是指以省级政府或重庆市教委和市级部门名义颁发的奖（学会或协会等机构颁发的奖除外），省级以上（含）高教学会或教学指导委员会、教学研究会等教育主管协会颁发奖项按照省部级别予以认定。国家级、省（市）级项目、</w:t>
      </w:r>
      <w:r>
        <w:rPr>
          <w:rFonts w:ascii="宋体" w:hAnsi="宋体" w:eastAsia="宋体" w:cs="宋体"/>
          <w:szCs w:val="21"/>
        </w:rPr>
        <w:t>竞赛或</w:t>
      </w:r>
      <w:r>
        <w:rPr>
          <w:rFonts w:hint="eastAsia" w:ascii="宋体" w:hAnsi="宋体" w:eastAsia="宋体" w:cs="宋体"/>
          <w:szCs w:val="21"/>
        </w:rPr>
        <w:t>荣誉原则上需要经过下级层层选拔推荐。</w:t>
      </w:r>
    </w:p>
    <w:p w14:paraId="5680DEBE">
      <w:pPr>
        <w:spacing w:line="260" w:lineRule="exact"/>
        <w:ind w:left="-420" w:leftChars="-200" w:right="-420" w:rightChars="-200"/>
        <w:rPr>
          <w:rFonts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.所有竞赛获奖名次均以竞赛奖项实际排名为准，例如竞赛设特等奖，则一等奖适用本办法二等奖加分规定，依次类推；如竞赛设金奖、银奖、铜奖，则分别适用本办法一、二、三等奖加分规定。</w:t>
      </w:r>
    </w:p>
    <w:p w14:paraId="23DF3B94">
      <w:pPr>
        <w:spacing w:line="260" w:lineRule="exact"/>
        <w:ind w:left="-420" w:leftChars="-200" w:right="-420" w:rightChars="-200"/>
        <w:rPr>
          <w:rFonts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.学生与直系亲属或学历、职称、职务明显高于本人者合作的科研成果、竞赛奖项等仅作为参考，同等条件下可优先考虑。</w:t>
      </w:r>
    </w:p>
    <w:p w14:paraId="0801EF39">
      <w:pPr>
        <w:spacing w:line="260" w:lineRule="exact"/>
        <w:ind w:left="-420" w:leftChars="-200" w:right="-420" w:rightChars="-200"/>
        <w:rPr>
          <w:rFonts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w:t>
      </w:r>
      <w:r>
        <w:rPr>
          <w:rFonts w:ascii="宋体" w:hAnsi="宋体" w:eastAsia="宋体" w:cs="宋体"/>
          <w:szCs w:val="21"/>
        </w:rPr>
        <w:t>各</w:t>
      </w:r>
      <w:r>
        <w:rPr>
          <w:rFonts w:hint="eastAsia" w:ascii="宋体" w:hAnsi="宋体" w:eastAsia="宋体" w:cs="宋体"/>
          <w:szCs w:val="21"/>
        </w:rPr>
        <w:t>加</w:t>
      </w:r>
      <w:r>
        <w:rPr>
          <w:rFonts w:ascii="宋体" w:hAnsi="宋体" w:eastAsia="宋体" w:cs="宋体"/>
          <w:szCs w:val="21"/>
        </w:rPr>
        <w:t>分项目均需提供相应证明材料</w:t>
      </w:r>
      <w:r>
        <w:rPr>
          <w:rFonts w:hint="eastAsia" w:ascii="宋体" w:hAnsi="宋体" w:eastAsia="宋体" w:cs="宋体"/>
          <w:szCs w:val="21"/>
        </w:rPr>
        <w:t>原件</w:t>
      </w:r>
      <w:r>
        <w:rPr>
          <w:rFonts w:ascii="宋体" w:hAnsi="宋体" w:eastAsia="宋体" w:cs="宋体"/>
          <w:szCs w:val="21"/>
        </w:rPr>
        <w:t>，并经</w:t>
      </w:r>
      <w:r>
        <w:rPr>
          <w:rFonts w:hint="eastAsia" w:ascii="宋体" w:hAnsi="宋体" w:eastAsia="宋体" w:cs="宋体"/>
          <w:szCs w:val="21"/>
        </w:rPr>
        <w:t>学院</w:t>
      </w:r>
      <w:r>
        <w:rPr>
          <w:rFonts w:ascii="宋体" w:hAnsi="宋体" w:eastAsia="宋体" w:cs="宋体"/>
          <w:szCs w:val="21"/>
        </w:rPr>
        <w:t>推免领导小组认定，</w:t>
      </w:r>
      <w:r>
        <w:rPr>
          <w:rFonts w:hint="eastAsia" w:ascii="宋体" w:hAnsi="宋体" w:eastAsia="宋体" w:cs="宋体"/>
          <w:szCs w:val="21"/>
        </w:rPr>
        <w:t>如</w:t>
      </w:r>
      <w:r>
        <w:rPr>
          <w:rFonts w:ascii="宋体" w:hAnsi="宋体" w:eastAsia="宋体" w:cs="宋体"/>
          <w:szCs w:val="21"/>
        </w:rPr>
        <w:t>发现弄虚作假，直接取消推免资格</w:t>
      </w:r>
      <w:r>
        <w:rPr>
          <w:rFonts w:hint="eastAsia" w:ascii="宋体" w:hAnsi="宋体" w:eastAsia="宋体" w:cs="宋体"/>
          <w:szCs w:val="21"/>
        </w:rPr>
        <w:t>。</w:t>
      </w:r>
    </w:p>
    <w:p w14:paraId="7FD88E97">
      <w:pPr>
        <w:spacing w:line="260" w:lineRule="exact"/>
        <w:ind w:left="-420" w:leftChars="-200" w:right="-420" w:rightChars="-200"/>
        <w:rPr>
          <w:rFonts w:ascii="方正仿宋_GBK" w:hAnsi="方正仿宋_GBK" w:eastAsia="方正仿宋_GBK" w:cs="方正仿宋_GBK"/>
          <w:color w:val="FF0000"/>
          <w:sz w:val="32"/>
          <w:szCs w:val="32"/>
        </w:rPr>
      </w:pPr>
      <w:r>
        <w:rPr>
          <w:rFonts w:hint="eastAsia" w:ascii="宋体" w:hAnsi="宋体" w:eastAsia="宋体" w:cs="宋体"/>
          <w:szCs w:val="21"/>
          <w:lang w:val="en-US" w:eastAsia="zh-CN"/>
        </w:rPr>
        <w:t>7</w:t>
      </w:r>
      <w:r>
        <w:rPr>
          <w:rFonts w:ascii="宋体" w:hAnsi="宋体" w:eastAsia="宋体" w:cs="宋体"/>
          <w:szCs w:val="21"/>
        </w:rPr>
        <w:t>.</w:t>
      </w:r>
      <w:r>
        <w:rPr>
          <w:rFonts w:hint="eastAsia" w:ascii="宋体" w:hAnsi="宋体" w:eastAsia="宋体" w:cs="宋体"/>
          <w:szCs w:val="21"/>
        </w:rPr>
        <w:t>本</w:t>
      </w:r>
      <w:r>
        <w:rPr>
          <w:rFonts w:ascii="宋体" w:hAnsi="宋体" w:eastAsia="宋体" w:cs="宋体"/>
          <w:szCs w:val="21"/>
        </w:rPr>
        <w:t>部分</w:t>
      </w:r>
      <w:r>
        <w:rPr>
          <w:rFonts w:hint="eastAsia" w:ascii="宋体" w:hAnsi="宋体" w:eastAsia="宋体" w:cs="宋体"/>
          <w:szCs w:val="21"/>
        </w:rPr>
        <w:t>成果</w:t>
      </w:r>
      <w:r>
        <w:rPr>
          <w:rFonts w:ascii="宋体" w:hAnsi="宋体" w:eastAsia="宋体" w:cs="宋体"/>
          <w:szCs w:val="21"/>
        </w:rPr>
        <w:t>量化</w:t>
      </w:r>
      <w:r>
        <w:rPr>
          <w:rFonts w:hint="eastAsia" w:ascii="宋体" w:hAnsi="宋体" w:eastAsia="宋体" w:cs="宋体"/>
          <w:szCs w:val="21"/>
        </w:rPr>
        <w:t>总分值占</w:t>
      </w:r>
      <w:r>
        <w:rPr>
          <w:rFonts w:ascii="宋体" w:hAnsi="宋体" w:eastAsia="宋体" w:cs="宋体"/>
          <w:szCs w:val="21"/>
        </w:rPr>
        <w:t>总评</w:t>
      </w:r>
      <w:r>
        <w:rPr>
          <w:rFonts w:hint="eastAsia" w:ascii="宋体" w:hAnsi="宋体" w:eastAsia="宋体" w:cs="宋体"/>
          <w:szCs w:val="21"/>
        </w:rPr>
        <w:t>成绩（百分制）的15</w:t>
      </w:r>
      <w:r>
        <w:rPr>
          <w:rFonts w:ascii="宋体" w:hAnsi="宋体" w:eastAsia="宋体" w:cs="宋体"/>
          <w:szCs w:val="21"/>
        </w:rPr>
        <w:t>%</w:t>
      </w:r>
      <w:r>
        <w:rPr>
          <w:rFonts w:hint="eastAsia" w:ascii="宋体" w:hAnsi="宋体" w:eastAsia="宋体" w:cs="宋体"/>
          <w:szCs w:val="21"/>
        </w:rPr>
        <w:t>，即最高</w:t>
      </w:r>
      <w:r>
        <w:rPr>
          <w:rFonts w:ascii="宋体" w:hAnsi="宋体" w:eastAsia="宋体" w:cs="宋体"/>
          <w:szCs w:val="21"/>
        </w:rPr>
        <w:t>不</w:t>
      </w:r>
      <w:r>
        <w:rPr>
          <w:rFonts w:hint="eastAsia" w:ascii="宋体" w:hAnsi="宋体" w:eastAsia="宋体" w:cs="宋体"/>
          <w:szCs w:val="21"/>
        </w:rPr>
        <w:t>超过15分，经量化确认</w:t>
      </w:r>
      <w:r>
        <w:rPr>
          <w:rFonts w:ascii="宋体" w:hAnsi="宋体" w:eastAsia="宋体" w:cs="宋体"/>
          <w:szCs w:val="21"/>
        </w:rPr>
        <w:t>实际得分</w:t>
      </w:r>
      <w:r>
        <w:rPr>
          <w:rFonts w:hint="eastAsia" w:ascii="宋体" w:hAnsi="宋体" w:eastAsia="宋体" w:cs="宋体"/>
          <w:szCs w:val="21"/>
        </w:rPr>
        <w:t>后</w:t>
      </w:r>
      <w:r>
        <w:rPr>
          <w:rFonts w:ascii="宋体" w:hAnsi="宋体" w:eastAsia="宋体" w:cs="宋体"/>
          <w:szCs w:val="21"/>
        </w:rPr>
        <w:t>直接加入总评成绩</w:t>
      </w:r>
      <w:r>
        <w:rPr>
          <w:rFonts w:hint="eastAsia" w:ascii="宋体" w:hAnsi="宋体" w:eastAsia="宋体" w:cs="宋体"/>
          <w:szCs w:val="21"/>
        </w:rPr>
        <w:t>，</w:t>
      </w:r>
      <w:r>
        <w:rPr>
          <w:rFonts w:ascii="宋体" w:hAnsi="宋体" w:eastAsia="宋体" w:cs="宋体"/>
          <w:szCs w:val="21"/>
        </w:rPr>
        <w:t>无须折算。</w:t>
      </w:r>
    </w:p>
    <w:p w14:paraId="4B8767D1">
      <w:pPr>
        <w:spacing w:line="580" w:lineRule="exact"/>
        <w:jc w:val="center"/>
        <w:rPr>
          <w:rFonts w:ascii="方正仿宋_GBK" w:hAnsi="方正仿宋_GBK" w:eastAsia="方正仿宋_GBK" w:cs="方正仿宋_GBK"/>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D6738C-0695-4B8A-B921-627C1E85AF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05CA612-6B11-4470-98B4-75B38A8D870D}"/>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00000001" w:usb1="080E0000" w:usb2="00000000" w:usb3="00000000" w:csb0="00040000" w:csb1="00000000"/>
    <w:embedRegular r:id="rId3" w:fontKey="{2E2CA868-7FDE-47D2-8E85-D1FAEC93C75F}"/>
  </w:font>
  <w:font w:name="方正仿宋_GBK">
    <w:panose1 w:val="02000000000000000000"/>
    <w:charset w:val="86"/>
    <w:family w:val="auto"/>
    <w:pitch w:val="default"/>
    <w:sig w:usb0="00000001" w:usb1="080E0000" w:usb2="00000000" w:usb3="00000000" w:csb0="00040000" w:csb1="00000000"/>
    <w:embedRegular r:id="rId4" w:fontKey="{7354548F-18D7-45DA-AD3E-79FE3D278CB6}"/>
  </w:font>
  <w:font w:name="方正书宋简体">
    <w:altName w:val="微软雅黑"/>
    <w:panose1 w:val="00000000000000000000"/>
    <w:charset w:val="86"/>
    <w:family w:val="script"/>
    <w:pitch w:val="default"/>
    <w:sig w:usb0="00000000" w:usb1="00000000" w:usb2="00000010" w:usb3="00000000" w:csb0="00040000" w:csb1="00000000"/>
    <w:embedRegular r:id="rId5" w:fontKey="{E100FE1B-E991-487F-8311-D5F140C96CE7}"/>
  </w:font>
  <w:font w:name="宋体-18030">
    <w:altName w:val="宋体"/>
    <w:panose1 w:val="00000000000000000000"/>
    <w:charset w:val="86"/>
    <w:family w:val="modern"/>
    <w:pitch w:val="default"/>
    <w:sig w:usb0="00000000" w:usb1="00000000" w:usb2="000A005E" w:usb3="00000000" w:csb0="00040001" w:csb1="00000000"/>
    <w:embedRegular r:id="rId6" w:fontKey="{783F4659-5099-438D-B735-B5646F981B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E9C8C">
    <w:pPr>
      <w:spacing w:line="259" w:lineRule="auto"/>
      <w:ind w:right="159"/>
      <w:jc w:val="right"/>
    </w:pPr>
    <w:r>
      <w:rPr>
        <w:sz w:val="28"/>
      </w:rPr>
      <w:t xml:space="preserve">- </w:t>
    </w:r>
    <w:r>
      <w:rPr>
        <w:sz w:val="28"/>
      </w:rPr>
      <w:fldChar w:fldCharType="begin"/>
    </w:r>
    <w:r>
      <w:rPr>
        <w:sz w:val="28"/>
      </w:rPr>
      <w:instrText xml:space="preserve"> PAGE   \* MERGEFORMAT </w:instrText>
    </w:r>
    <w:r>
      <w:rPr>
        <w:sz w:val="28"/>
      </w:rPr>
      <w:fldChar w:fldCharType="separate"/>
    </w:r>
    <w:r>
      <w:rPr>
        <w:sz w:val="28"/>
      </w:rPr>
      <w:t>3</w:t>
    </w:r>
    <w:r>
      <w:rPr>
        <w:sz w:val="28"/>
      </w:rPr>
      <w:fldChar w:fldCharType="end"/>
    </w:r>
    <w:r>
      <w:rPr>
        <w:sz w:val="28"/>
      </w:rPr>
      <w:t xml:space="preserve"> -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3B71C1"/>
    <w:rsid w:val="00016C4F"/>
    <w:rsid w:val="00293F4D"/>
    <w:rsid w:val="00361AFC"/>
    <w:rsid w:val="00652E3A"/>
    <w:rsid w:val="00877E55"/>
    <w:rsid w:val="00C95CFE"/>
    <w:rsid w:val="00CE727B"/>
    <w:rsid w:val="00DA70B6"/>
    <w:rsid w:val="00E422B7"/>
    <w:rsid w:val="00F455EA"/>
    <w:rsid w:val="0106663B"/>
    <w:rsid w:val="019F3337"/>
    <w:rsid w:val="01FB5C4F"/>
    <w:rsid w:val="055A4246"/>
    <w:rsid w:val="0B661144"/>
    <w:rsid w:val="0DE85960"/>
    <w:rsid w:val="10B25DF3"/>
    <w:rsid w:val="12111232"/>
    <w:rsid w:val="128072E8"/>
    <w:rsid w:val="13C540FC"/>
    <w:rsid w:val="140D7D73"/>
    <w:rsid w:val="151113A0"/>
    <w:rsid w:val="183C369E"/>
    <w:rsid w:val="184F4570"/>
    <w:rsid w:val="1AAC1E50"/>
    <w:rsid w:val="1CFF0B15"/>
    <w:rsid w:val="1D617DC0"/>
    <w:rsid w:val="1E1778EF"/>
    <w:rsid w:val="1EA57152"/>
    <w:rsid w:val="20F56A22"/>
    <w:rsid w:val="21492C29"/>
    <w:rsid w:val="25120A61"/>
    <w:rsid w:val="267D7CB3"/>
    <w:rsid w:val="27AC2923"/>
    <w:rsid w:val="2DBB2B93"/>
    <w:rsid w:val="2F7B2B74"/>
    <w:rsid w:val="31A121F4"/>
    <w:rsid w:val="339B5B37"/>
    <w:rsid w:val="34052FE8"/>
    <w:rsid w:val="37C06E90"/>
    <w:rsid w:val="38057C75"/>
    <w:rsid w:val="3A281EF8"/>
    <w:rsid w:val="3A621D5E"/>
    <w:rsid w:val="3A6563A9"/>
    <w:rsid w:val="3AA627C7"/>
    <w:rsid w:val="3C5F759A"/>
    <w:rsid w:val="3F4F3FBF"/>
    <w:rsid w:val="40DD41D2"/>
    <w:rsid w:val="41E740AD"/>
    <w:rsid w:val="42124EF1"/>
    <w:rsid w:val="42752A18"/>
    <w:rsid w:val="436B4229"/>
    <w:rsid w:val="457D2990"/>
    <w:rsid w:val="46E02216"/>
    <w:rsid w:val="48C2276C"/>
    <w:rsid w:val="49DC3DB7"/>
    <w:rsid w:val="49F266E1"/>
    <w:rsid w:val="4A2758B7"/>
    <w:rsid w:val="4AD50ED2"/>
    <w:rsid w:val="4C457E30"/>
    <w:rsid w:val="4CDF47AB"/>
    <w:rsid w:val="4D8B26C5"/>
    <w:rsid w:val="4E2E4192"/>
    <w:rsid w:val="4F136CC9"/>
    <w:rsid w:val="50594DE2"/>
    <w:rsid w:val="50B463F5"/>
    <w:rsid w:val="5137314B"/>
    <w:rsid w:val="51861FD1"/>
    <w:rsid w:val="527B24DD"/>
    <w:rsid w:val="52D67374"/>
    <w:rsid w:val="56106BC1"/>
    <w:rsid w:val="56137B46"/>
    <w:rsid w:val="58A7304A"/>
    <w:rsid w:val="5CF20592"/>
    <w:rsid w:val="5E0E40DE"/>
    <w:rsid w:val="656C13FD"/>
    <w:rsid w:val="663E784C"/>
    <w:rsid w:val="67303483"/>
    <w:rsid w:val="67F14C93"/>
    <w:rsid w:val="6A3F62E5"/>
    <w:rsid w:val="6A655A1D"/>
    <w:rsid w:val="6B7F19ED"/>
    <w:rsid w:val="6B861377"/>
    <w:rsid w:val="6C9D0B3F"/>
    <w:rsid w:val="6ED74F67"/>
    <w:rsid w:val="6F96629E"/>
    <w:rsid w:val="70A873E0"/>
    <w:rsid w:val="70B679FB"/>
    <w:rsid w:val="70B7547C"/>
    <w:rsid w:val="70CD1B9F"/>
    <w:rsid w:val="7125222D"/>
    <w:rsid w:val="713B71C1"/>
    <w:rsid w:val="742319CB"/>
    <w:rsid w:val="77F160D3"/>
    <w:rsid w:val="7A587B47"/>
    <w:rsid w:val="7BF42DEB"/>
    <w:rsid w:val="7C9603F6"/>
    <w:rsid w:val="7D2334DD"/>
    <w:rsid w:val="7DF30332"/>
    <w:rsid w:val="7EC11065"/>
    <w:rsid w:val="7FC94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keepNext/>
      <w:keepLines/>
      <w:spacing w:after="140" w:line="259" w:lineRule="auto"/>
      <w:ind w:left="10" w:right="161" w:hanging="10"/>
      <w:jc w:val="center"/>
      <w:outlineLvl w:val="1"/>
    </w:pPr>
    <w:rPr>
      <w:rFonts w:ascii="微软雅黑" w:hAnsi="微软雅黑" w:eastAsia="微软雅黑" w:cs="微软雅黑"/>
      <w:color w:val="000000"/>
      <w:kern w:val="2"/>
      <w:sz w:val="3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spacing w:beforeAutospacing="1" w:afterAutospacing="1"/>
      <w:jc w:val="left"/>
    </w:pPr>
    <w:rPr>
      <w:rFonts w:ascii="Calibri" w:hAnsi="Calibri" w:eastAsia="宋体"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3688</Words>
  <Characters>3754</Characters>
  <Lines>27</Lines>
  <Paragraphs>7</Paragraphs>
  <TotalTime>10</TotalTime>
  <ScaleCrop>false</ScaleCrop>
  <LinksUpToDate>false</LinksUpToDate>
  <CharactersWithSpaces>3812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2022-01-05T02:22:00Z</dcterms:created>
  <dc:creator>HUANGSIHAN</dc:creator>
  <cp:lastModifiedBy>陈香</cp:lastModifiedBy>
  <cp:lastPrinted>2022-03-02T00:44:00Z</cp:lastPrinted>
  <dcterms:modified xsi:type="dcterms:W3CDTF">2025-07-01T01:36:36Z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eyJoZGlkIjoiNmQ0ODJkOGE2MTY5M2UwNGI0MjI0MjNjYWJiYmVmMTgiLCJ1c2VySWQiOiIzMTY3ODk2ODAifQ==</vt:lpwstr>
  </property>
  <property fmtid="{D5CDD505-2E9C-101B-9397-08002B2CF9AE}" pid="4" name="ICV">
    <vt:lpwstr>7243CD759DB84A8AB9BF1D31913C8E1E_12</vt:lpwstr>
  </property>
</Properties>
</file>