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D9D0A">
      <w:pPr>
        <w:spacing w:line="360" w:lineRule="auto"/>
        <w:jc w:val="center"/>
        <w:rPr>
          <w:b/>
          <w:sz w:val="32"/>
          <w:szCs w:val="32"/>
          <w:highlight w:val="none"/>
        </w:rPr>
      </w:pPr>
      <w:r>
        <w:rPr>
          <w:rFonts w:hint="eastAsia"/>
          <w:b/>
          <w:sz w:val="32"/>
          <w:szCs w:val="32"/>
          <w:highlight w:val="none"/>
        </w:rPr>
        <w:t>含弘学院推荐“吴宓班”“袁隆平班”202</w:t>
      </w:r>
      <w:r>
        <w:rPr>
          <w:rFonts w:hint="eastAsia"/>
          <w:b/>
          <w:sz w:val="32"/>
          <w:szCs w:val="32"/>
          <w:highlight w:val="none"/>
          <w:lang w:val="en-US" w:eastAsia="zh-CN"/>
        </w:rPr>
        <w:t>6</w:t>
      </w:r>
      <w:r>
        <w:rPr>
          <w:rFonts w:hint="eastAsia"/>
          <w:b/>
          <w:sz w:val="32"/>
          <w:szCs w:val="32"/>
          <w:highlight w:val="none"/>
        </w:rPr>
        <w:t>届优秀应届本科毕业生免试攻读硕士学位研究生工作方案</w:t>
      </w:r>
    </w:p>
    <w:p w14:paraId="1A9F15AE">
      <w:pPr>
        <w:spacing w:line="360" w:lineRule="auto"/>
        <w:jc w:val="center"/>
        <w:rPr>
          <w:b/>
          <w:sz w:val="32"/>
          <w:szCs w:val="32"/>
          <w:highlight w:val="none"/>
        </w:rPr>
      </w:pPr>
    </w:p>
    <w:p w14:paraId="0ED7E2A4">
      <w:pPr>
        <w:spacing w:line="360" w:lineRule="auto"/>
        <w:ind w:firstLine="480"/>
        <w:rPr>
          <w:sz w:val="28"/>
          <w:szCs w:val="28"/>
          <w:highlight w:val="none"/>
        </w:rPr>
      </w:pPr>
      <w:r>
        <w:rPr>
          <w:rFonts w:hint="eastAsia"/>
          <w:sz w:val="28"/>
          <w:szCs w:val="28"/>
          <w:highlight w:val="none"/>
        </w:rPr>
        <w:t>为做好“吴宓班”“袁隆平班”202</w:t>
      </w:r>
      <w:r>
        <w:rPr>
          <w:rFonts w:hint="eastAsia"/>
          <w:sz w:val="28"/>
          <w:szCs w:val="28"/>
          <w:highlight w:val="none"/>
          <w:lang w:val="en-US" w:eastAsia="zh-CN"/>
        </w:rPr>
        <w:t>6</w:t>
      </w:r>
      <w:r>
        <w:rPr>
          <w:rFonts w:hint="eastAsia"/>
          <w:sz w:val="28"/>
          <w:szCs w:val="28"/>
          <w:highlight w:val="none"/>
        </w:rPr>
        <w:t>届推荐优秀应届本科毕业生免试攻读硕士学位研究生的相关工作，根据《关于印发《西南大学推荐 优秀应届本科毕业生免试攻读研究生 工作管理办法》的通知</w:t>
      </w:r>
      <w:r>
        <w:rPr>
          <w:rFonts w:hint="eastAsia"/>
          <w:sz w:val="28"/>
          <w:szCs w:val="28"/>
          <w:highlight w:val="none"/>
        </w:rPr>
        <w:t>》（西校[202</w:t>
      </w:r>
      <w:r>
        <w:rPr>
          <w:rFonts w:hint="eastAsia"/>
          <w:sz w:val="28"/>
          <w:szCs w:val="28"/>
          <w:highlight w:val="none"/>
          <w:lang w:val="en-US" w:eastAsia="zh-CN"/>
        </w:rPr>
        <w:t>5</w:t>
      </w:r>
      <w:r>
        <w:rPr>
          <w:rFonts w:hint="eastAsia"/>
          <w:sz w:val="28"/>
          <w:szCs w:val="28"/>
          <w:highlight w:val="none"/>
        </w:rPr>
        <w:t>]</w:t>
      </w:r>
      <w:r>
        <w:rPr>
          <w:rFonts w:hint="eastAsia"/>
          <w:sz w:val="28"/>
          <w:szCs w:val="28"/>
          <w:highlight w:val="none"/>
          <w:lang w:val="en-US" w:eastAsia="zh-CN"/>
        </w:rPr>
        <w:t>96</w:t>
      </w:r>
      <w:r>
        <w:rPr>
          <w:rFonts w:hint="eastAsia"/>
          <w:sz w:val="28"/>
          <w:szCs w:val="28"/>
          <w:highlight w:val="none"/>
        </w:rPr>
        <w:t>号）</w:t>
      </w:r>
      <w:r>
        <w:rPr>
          <w:rFonts w:hint="eastAsia"/>
          <w:sz w:val="28"/>
          <w:szCs w:val="28"/>
          <w:highlight w:val="none"/>
          <w:lang w:eastAsia="zh-CN"/>
        </w:rPr>
        <w:t>，</w:t>
      </w:r>
      <w:r>
        <w:rPr>
          <w:rFonts w:hint="eastAsia"/>
          <w:sz w:val="28"/>
          <w:szCs w:val="28"/>
          <w:highlight w:val="none"/>
        </w:rPr>
        <w:t>结合“吴宓班”“袁隆平班”实际，制订本工作方案。</w:t>
      </w:r>
    </w:p>
    <w:p w14:paraId="79869A71">
      <w:pPr>
        <w:spacing w:line="360" w:lineRule="auto"/>
        <w:ind w:firstLine="480"/>
        <w:rPr>
          <w:b/>
          <w:sz w:val="28"/>
          <w:szCs w:val="28"/>
          <w:highlight w:val="none"/>
        </w:rPr>
      </w:pPr>
      <w:r>
        <w:rPr>
          <w:rFonts w:hint="eastAsia"/>
          <w:b/>
          <w:sz w:val="28"/>
          <w:szCs w:val="28"/>
          <w:highlight w:val="none"/>
        </w:rPr>
        <w:t>一、工作程序</w:t>
      </w:r>
    </w:p>
    <w:p w14:paraId="52E3C311">
      <w:pPr>
        <w:spacing w:line="360" w:lineRule="auto"/>
        <w:ind w:firstLine="480"/>
        <w:rPr>
          <w:sz w:val="28"/>
          <w:szCs w:val="28"/>
          <w:highlight w:val="none"/>
        </w:rPr>
      </w:pPr>
      <w:r>
        <w:rPr>
          <w:rFonts w:hint="eastAsia"/>
          <w:sz w:val="28"/>
          <w:szCs w:val="28"/>
          <w:highlight w:val="none"/>
        </w:rPr>
        <w:t>（一）西南大学创新创业学院成立202</w:t>
      </w:r>
      <w:r>
        <w:rPr>
          <w:rFonts w:hint="eastAsia"/>
          <w:sz w:val="28"/>
          <w:szCs w:val="28"/>
          <w:highlight w:val="none"/>
          <w:lang w:val="en-US" w:eastAsia="zh-CN"/>
        </w:rPr>
        <w:t>6</w:t>
      </w:r>
      <w:r>
        <w:rPr>
          <w:rFonts w:hint="eastAsia"/>
          <w:sz w:val="28"/>
          <w:szCs w:val="28"/>
          <w:highlight w:val="none"/>
        </w:rPr>
        <w:t>届“吴宓班”“袁隆平班”推免工作小组，组成如下：</w:t>
      </w:r>
    </w:p>
    <w:p w14:paraId="432D9AF4">
      <w:pPr>
        <w:spacing w:line="360" w:lineRule="auto"/>
        <w:ind w:firstLine="480"/>
        <w:rPr>
          <w:rFonts w:hint="default" w:eastAsiaTheme="minorEastAsia"/>
          <w:sz w:val="28"/>
          <w:szCs w:val="28"/>
          <w:highlight w:val="none"/>
          <w:lang w:val="en-US" w:eastAsia="zh-CN"/>
        </w:rPr>
      </w:pPr>
      <w:r>
        <w:rPr>
          <w:rFonts w:hint="eastAsia"/>
          <w:sz w:val="28"/>
          <w:szCs w:val="28"/>
          <w:highlight w:val="none"/>
        </w:rPr>
        <w:t xml:space="preserve">组 </w:t>
      </w:r>
      <w:r>
        <w:rPr>
          <w:sz w:val="28"/>
          <w:szCs w:val="28"/>
          <w:highlight w:val="none"/>
        </w:rPr>
        <w:t xml:space="preserve"> </w:t>
      </w:r>
      <w:r>
        <w:rPr>
          <w:rFonts w:hint="eastAsia"/>
          <w:sz w:val="28"/>
          <w:szCs w:val="28"/>
          <w:highlight w:val="none"/>
        </w:rPr>
        <w:t>长：</w:t>
      </w:r>
      <w:r>
        <w:rPr>
          <w:rFonts w:hint="eastAsia"/>
          <w:sz w:val="28"/>
          <w:szCs w:val="28"/>
          <w:highlight w:val="none"/>
          <w:lang w:val="en-US" w:eastAsia="zh-CN"/>
        </w:rPr>
        <w:t>吴能表</w:t>
      </w:r>
    </w:p>
    <w:p w14:paraId="530CB75E">
      <w:pPr>
        <w:spacing w:line="360" w:lineRule="auto"/>
        <w:ind w:firstLine="480"/>
        <w:rPr>
          <w:rFonts w:hint="default" w:eastAsiaTheme="minorEastAsia"/>
          <w:sz w:val="28"/>
          <w:szCs w:val="28"/>
          <w:highlight w:val="none"/>
          <w:lang w:val="en-US" w:eastAsia="zh-CN"/>
        </w:rPr>
      </w:pPr>
      <w:r>
        <w:rPr>
          <w:rFonts w:hint="eastAsia"/>
          <w:sz w:val="28"/>
          <w:szCs w:val="28"/>
          <w:highlight w:val="none"/>
        </w:rPr>
        <w:t>副组长：封云</w:t>
      </w:r>
      <w:r>
        <w:rPr>
          <w:rFonts w:hint="eastAsia"/>
          <w:sz w:val="28"/>
          <w:szCs w:val="28"/>
          <w:highlight w:val="none"/>
          <w:lang w:eastAsia="zh-CN"/>
        </w:rPr>
        <w:t>、</w:t>
      </w:r>
      <w:r>
        <w:rPr>
          <w:rFonts w:hint="eastAsia"/>
          <w:sz w:val="28"/>
          <w:szCs w:val="28"/>
          <w:highlight w:val="none"/>
          <w:lang w:val="en-US" w:eastAsia="zh-CN"/>
        </w:rPr>
        <w:t>青玲</w:t>
      </w:r>
    </w:p>
    <w:p w14:paraId="44222180">
      <w:pPr>
        <w:spacing w:line="360" w:lineRule="auto"/>
        <w:ind w:firstLine="480"/>
        <w:rPr>
          <w:sz w:val="28"/>
          <w:szCs w:val="28"/>
          <w:highlight w:val="none"/>
        </w:rPr>
      </w:pPr>
      <w:r>
        <w:rPr>
          <w:rFonts w:hint="eastAsia"/>
          <w:sz w:val="28"/>
          <w:szCs w:val="28"/>
          <w:highlight w:val="none"/>
        </w:rPr>
        <w:t xml:space="preserve">成 </w:t>
      </w:r>
      <w:r>
        <w:rPr>
          <w:sz w:val="28"/>
          <w:szCs w:val="28"/>
          <w:highlight w:val="none"/>
        </w:rPr>
        <w:t xml:space="preserve"> </w:t>
      </w:r>
      <w:r>
        <w:rPr>
          <w:rFonts w:hint="eastAsia"/>
          <w:sz w:val="28"/>
          <w:szCs w:val="28"/>
          <w:highlight w:val="none"/>
        </w:rPr>
        <w:t>员：</w:t>
      </w:r>
      <w:r>
        <w:rPr>
          <w:rFonts w:hint="eastAsia"/>
          <w:sz w:val="28"/>
          <w:szCs w:val="28"/>
          <w:highlight w:val="none"/>
          <w:lang w:val="en-US" w:eastAsia="zh-CN"/>
        </w:rPr>
        <w:t>熊作军</w:t>
      </w:r>
      <w:r>
        <w:rPr>
          <w:rFonts w:hint="eastAsia"/>
          <w:sz w:val="28"/>
          <w:szCs w:val="28"/>
          <w:highlight w:val="none"/>
        </w:rPr>
        <w:t>、</w:t>
      </w:r>
      <w:r>
        <w:rPr>
          <w:rFonts w:hint="eastAsia"/>
          <w:sz w:val="28"/>
          <w:szCs w:val="28"/>
          <w:highlight w:val="none"/>
          <w:lang w:val="en-US" w:eastAsia="zh-CN"/>
        </w:rPr>
        <w:t>韩先锋、</w:t>
      </w:r>
      <w:r>
        <w:rPr>
          <w:rFonts w:hint="eastAsia"/>
          <w:sz w:val="28"/>
          <w:szCs w:val="28"/>
          <w:highlight w:val="none"/>
        </w:rPr>
        <w:t>陈争妍、宇杰、肖雨琳、廖爽</w:t>
      </w:r>
    </w:p>
    <w:p w14:paraId="3AA68833">
      <w:pPr>
        <w:spacing w:line="360" w:lineRule="auto"/>
        <w:ind w:firstLine="480"/>
        <w:rPr>
          <w:sz w:val="28"/>
          <w:szCs w:val="28"/>
          <w:highlight w:val="none"/>
        </w:rPr>
      </w:pPr>
      <w:r>
        <w:rPr>
          <w:rFonts w:hint="eastAsia"/>
          <w:sz w:val="28"/>
          <w:szCs w:val="28"/>
          <w:highlight w:val="none"/>
        </w:rPr>
        <w:t>（二）创新创业学院“吴宓班”“袁隆平班”推免工作小组根据学校通知并结合实际，制定202</w:t>
      </w:r>
      <w:r>
        <w:rPr>
          <w:rFonts w:hint="eastAsia"/>
          <w:sz w:val="28"/>
          <w:szCs w:val="28"/>
          <w:highlight w:val="none"/>
          <w:lang w:val="en-US" w:eastAsia="zh-CN"/>
        </w:rPr>
        <w:t>6</w:t>
      </w:r>
      <w:r>
        <w:rPr>
          <w:rFonts w:hint="eastAsia"/>
          <w:sz w:val="28"/>
          <w:szCs w:val="28"/>
          <w:highlight w:val="none"/>
        </w:rPr>
        <w:t>届“吴宓班”“袁隆平班”推免工作方案。</w:t>
      </w:r>
    </w:p>
    <w:p w14:paraId="1E360DF4">
      <w:pPr>
        <w:spacing w:line="360" w:lineRule="auto"/>
        <w:ind w:firstLine="480"/>
        <w:rPr>
          <w:sz w:val="28"/>
          <w:szCs w:val="28"/>
          <w:highlight w:val="none"/>
        </w:rPr>
      </w:pPr>
      <w:r>
        <w:rPr>
          <w:rFonts w:hint="eastAsia"/>
          <w:sz w:val="28"/>
          <w:szCs w:val="28"/>
          <w:highlight w:val="none"/>
        </w:rPr>
        <w:t>（三）符合推荐条件的学生自愿申请，填写《含弘学院推荐免试攻读硕士学位研究生资格申请表》并在规定时间内提交相应证明材料。</w:t>
      </w:r>
    </w:p>
    <w:p w14:paraId="0E082D68">
      <w:pPr>
        <w:spacing w:line="360" w:lineRule="auto"/>
        <w:ind w:firstLine="480"/>
        <w:rPr>
          <w:sz w:val="28"/>
          <w:szCs w:val="28"/>
          <w:highlight w:val="none"/>
        </w:rPr>
      </w:pPr>
      <w:r>
        <w:rPr>
          <w:rFonts w:hint="eastAsia"/>
          <w:sz w:val="28"/>
          <w:szCs w:val="28"/>
          <w:highlight w:val="none"/>
        </w:rPr>
        <w:t>（四）创新创业学院根据学校下达的推免生名额和202</w:t>
      </w:r>
      <w:r>
        <w:rPr>
          <w:rFonts w:hint="eastAsia"/>
          <w:sz w:val="28"/>
          <w:szCs w:val="28"/>
          <w:highlight w:val="none"/>
          <w:lang w:val="en-US" w:eastAsia="zh-CN"/>
        </w:rPr>
        <w:t>6</w:t>
      </w:r>
      <w:r>
        <w:rPr>
          <w:rFonts w:hint="eastAsia"/>
          <w:sz w:val="28"/>
          <w:szCs w:val="28"/>
          <w:highlight w:val="none"/>
        </w:rPr>
        <w:t>届“吴宓班”“袁隆平班”推免工作方案，对学生进行综合积分排名并公示。</w:t>
      </w:r>
    </w:p>
    <w:p w14:paraId="1A9E5BEB">
      <w:pPr>
        <w:spacing w:line="360" w:lineRule="auto"/>
        <w:ind w:firstLine="480"/>
        <w:rPr>
          <w:sz w:val="28"/>
          <w:szCs w:val="28"/>
          <w:highlight w:val="none"/>
        </w:rPr>
      </w:pPr>
      <w:r>
        <w:rPr>
          <w:rFonts w:hint="eastAsia"/>
          <w:sz w:val="28"/>
          <w:szCs w:val="28"/>
          <w:highlight w:val="none"/>
        </w:rPr>
        <w:t>（五）公示无异议，经创新创业学院党政联席会议审议、推免生工作小组组长签字、单位盖章，报学校推免</w:t>
      </w:r>
      <w:r>
        <w:rPr>
          <w:rFonts w:hint="eastAsia"/>
          <w:sz w:val="28"/>
          <w:szCs w:val="28"/>
          <w:highlight w:val="none"/>
          <w:lang w:val="en-US" w:eastAsia="zh-CN"/>
        </w:rPr>
        <w:t>办公室</w:t>
      </w:r>
      <w:r>
        <w:rPr>
          <w:rFonts w:hint="eastAsia"/>
          <w:sz w:val="28"/>
          <w:szCs w:val="28"/>
          <w:highlight w:val="none"/>
        </w:rPr>
        <w:t>审定。</w:t>
      </w:r>
    </w:p>
    <w:p w14:paraId="341B2FA4">
      <w:pPr>
        <w:spacing w:line="360" w:lineRule="auto"/>
        <w:ind w:firstLine="480"/>
        <w:rPr>
          <w:sz w:val="28"/>
          <w:szCs w:val="28"/>
          <w:highlight w:val="none"/>
        </w:rPr>
      </w:pPr>
      <w:r>
        <w:rPr>
          <w:rFonts w:hint="eastAsia"/>
          <w:sz w:val="28"/>
          <w:szCs w:val="28"/>
          <w:highlight w:val="none"/>
        </w:rPr>
        <w:t>（六）在教育部“全国推荐优秀应届本科毕业生免试攻读研究生信息公开暨管理服务系统”（网址:http://yz.chsi.com.cn/tm）完成推免工作和网上报考录取工作。</w:t>
      </w:r>
    </w:p>
    <w:p w14:paraId="364E857B">
      <w:pPr>
        <w:spacing w:line="360" w:lineRule="auto"/>
        <w:ind w:firstLine="480"/>
        <w:rPr>
          <w:sz w:val="28"/>
          <w:szCs w:val="28"/>
          <w:highlight w:val="none"/>
        </w:rPr>
      </w:pPr>
      <w:r>
        <w:rPr>
          <w:rFonts w:hint="eastAsia"/>
          <w:sz w:val="28"/>
          <w:szCs w:val="28"/>
          <w:highlight w:val="none"/>
        </w:rPr>
        <w:t>（七）获得推免资格的应届本科毕业生，学校原则上不予办理出国、就业手续。</w:t>
      </w:r>
    </w:p>
    <w:p w14:paraId="1E806435">
      <w:pPr>
        <w:spacing w:line="360" w:lineRule="auto"/>
        <w:ind w:firstLine="480"/>
        <w:rPr>
          <w:b/>
          <w:sz w:val="28"/>
          <w:szCs w:val="28"/>
          <w:highlight w:val="none"/>
        </w:rPr>
      </w:pPr>
      <w:r>
        <w:rPr>
          <w:rFonts w:hint="eastAsia"/>
          <w:b/>
          <w:sz w:val="28"/>
          <w:szCs w:val="28"/>
          <w:highlight w:val="none"/>
        </w:rPr>
        <w:t>二、推荐条件</w:t>
      </w:r>
    </w:p>
    <w:p w14:paraId="0298E0AE">
      <w:pPr>
        <w:spacing w:line="360" w:lineRule="auto"/>
        <w:ind w:firstLine="480"/>
        <w:rPr>
          <w:sz w:val="28"/>
          <w:szCs w:val="28"/>
          <w:highlight w:val="none"/>
        </w:rPr>
      </w:pPr>
      <w:r>
        <w:rPr>
          <w:rFonts w:hint="eastAsia"/>
          <w:sz w:val="28"/>
          <w:szCs w:val="28"/>
          <w:highlight w:val="none"/>
        </w:rPr>
        <w:t>（一）基本条件</w:t>
      </w:r>
    </w:p>
    <w:p w14:paraId="64C2437F">
      <w:pPr>
        <w:spacing w:line="360" w:lineRule="auto"/>
        <w:ind w:firstLine="560" w:firstLineChars="200"/>
        <w:rPr>
          <w:sz w:val="28"/>
          <w:szCs w:val="28"/>
          <w:highlight w:val="none"/>
        </w:rPr>
      </w:pPr>
      <w:r>
        <w:rPr>
          <w:rFonts w:hint="eastAsia"/>
          <w:sz w:val="28"/>
          <w:szCs w:val="28"/>
          <w:highlight w:val="none"/>
        </w:rPr>
        <w:t>1</w:t>
      </w:r>
      <w:r>
        <w:rPr>
          <w:sz w:val="28"/>
          <w:szCs w:val="28"/>
          <w:highlight w:val="none"/>
        </w:rPr>
        <w:t xml:space="preserve">. </w:t>
      </w:r>
      <w:r>
        <w:rPr>
          <w:rFonts w:hint="eastAsia"/>
          <w:sz w:val="28"/>
          <w:szCs w:val="28"/>
          <w:highlight w:val="none"/>
        </w:rPr>
        <w:t>纳入国家普通本科招生计划录取，德智体美劳全面发展，能在规定学制年限内完成学业的</w:t>
      </w:r>
      <w:r>
        <w:rPr>
          <w:rFonts w:hint="eastAsia"/>
          <w:sz w:val="28"/>
          <w:szCs w:val="28"/>
          <w:highlight w:val="none"/>
          <w:lang w:val="en-US" w:eastAsia="zh-CN"/>
        </w:rPr>
        <w:t>本校</w:t>
      </w:r>
      <w:r>
        <w:rPr>
          <w:rFonts w:hint="eastAsia"/>
          <w:sz w:val="28"/>
          <w:szCs w:val="28"/>
          <w:highlight w:val="none"/>
        </w:rPr>
        <w:t>应届普通本科毕业生。</w:t>
      </w:r>
    </w:p>
    <w:p w14:paraId="48DC7019">
      <w:pPr>
        <w:spacing w:line="360" w:lineRule="auto"/>
        <w:ind w:firstLine="560" w:firstLineChars="200"/>
        <w:rPr>
          <w:sz w:val="28"/>
          <w:szCs w:val="28"/>
          <w:highlight w:val="none"/>
        </w:rPr>
      </w:pPr>
      <w:r>
        <w:rPr>
          <w:sz w:val="28"/>
          <w:szCs w:val="28"/>
          <w:highlight w:val="none"/>
        </w:rPr>
        <w:t xml:space="preserve">2. </w:t>
      </w:r>
      <w:r>
        <w:rPr>
          <w:rFonts w:hint="eastAsia"/>
          <w:sz w:val="28"/>
          <w:szCs w:val="28"/>
          <w:highlight w:val="none"/>
        </w:rPr>
        <w:t>具有高尚的爱国主义情操和集体主义精神，社会主义信念坚定，社会责任感强，遵纪守法，积极向上，身心健康。</w:t>
      </w:r>
    </w:p>
    <w:p w14:paraId="09B11867">
      <w:pPr>
        <w:spacing w:line="360" w:lineRule="auto"/>
        <w:ind w:firstLine="555"/>
        <w:rPr>
          <w:rFonts w:hint="eastAsia"/>
          <w:sz w:val="28"/>
          <w:szCs w:val="28"/>
          <w:highlight w:val="none"/>
        </w:rPr>
      </w:pPr>
      <w:r>
        <w:rPr>
          <w:sz w:val="28"/>
          <w:szCs w:val="28"/>
          <w:highlight w:val="none"/>
        </w:rPr>
        <w:t xml:space="preserve">3. </w:t>
      </w:r>
      <w:r>
        <w:rPr>
          <w:rFonts w:hint="eastAsia"/>
          <w:sz w:val="28"/>
          <w:szCs w:val="28"/>
          <w:highlight w:val="none"/>
        </w:rPr>
        <w:t>勤奋学习，刻苦钻研，成绩优秀，本专业培养方案规定的所有必修课程正考成绩合格（缓考成绩视作正考成绩，必修课程无不及格情况）。学术研究兴趣浓厚，有较强的创新意识、创新能力、科研潜质和专业发展能力。</w:t>
      </w:r>
    </w:p>
    <w:p w14:paraId="00448AFB">
      <w:pPr>
        <w:spacing w:line="360" w:lineRule="auto"/>
        <w:ind w:firstLine="555"/>
        <w:rPr>
          <w:rFonts w:hint="eastAsia"/>
          <w:sz w:val="28"/>
          <w:szCs w:val="28"/>
          <w:highlight w:val="none"/>
        </w:rPr>
      </w:pPr>
      <w:r>
        <w:rPr>
          <w:rFonts w:hint="eastAsia"/>
          <w:sz w:val="28"/>
          <w:szCs w:val="28"/>
          <w:highlight w:val="none"/>
        </w:rPr>
        <w:t>4</w:t>
      </w:r>
      <w:r>
        <w:rPr>
          <w:sz w:val="28"/>
          <w:szCs w:val="28"/>
          <w:highlight w:val="none"/>
        </w:rPr>
        <w:t xml:space="preserve">. </w:t>
      </w:r>
      <w:r>
        <w:rPr>
          <w:rFonts w:hint="eastAsia"/>
          <w:sz w:val="28"/>
          <w:szCs w:val="28"/>
          <w:highlight w:val="none"/>
        </w:rPr>
        <w:t>诚实守信，学风端正，无任何考试作弊和剽窃他人学术成果记录。品行表现优良，无任何违法违纪受处分记录。</w:t>
      </w:r>
    </w:p>
    <w:p w14:paraId="0393F8C2">
      <w:pPr>
        <w:spacing w:line="360" w:lineRule="auto"/>
        <w:rPr>
          <w:sz w:val="28"/>
          <w:szCs w:val="28"/>
          <w:highlight w:val="none"/>
        </w:rPr>
      </w:pPr>
      <w:r>
        <w:rPr>
          <w:rFonts w:hint="eastAsia"/>
          <w:sz w:val="28"/>
          <w:szCs w:val="28"/>
          <w:highlight w:val="none"/>
        </w:rPr>
        <w:t xml:space="preserve">    </w:t>
      </w:r>
      <w:r>
        <w:rPr>
          <w:rFonts w:hint="eastAsia"/>
          <w:sz w:val="28"/>
          <w:szCs w:val="28"/>
          <w:highlight w:val="none"/>
          <w:lang w:val="en-US" w:eastAsia="zh-CN"/>
        </w:rPr>
        <w:t>5</w:t>
      </w:r>
      <w:r>
        <w:rPr>
          <w:sz w:val="28"/>
          <w:szCs w:val="28"/>
          <w:highlight w:val="none"/>
        </w:rPr>
        <w:t xml:space="preserve">. </w:t>
      </w:r>
      <w:r>
        <w:rPr>
          <w:rFonts w:hint="eastAsia"/>
          <w:sz w:val="28"/>
          <w:szCs w:val="28"/>
          <w:highlight w:val="none"/>
        </w:rPr>
        <w:t>除上述四个条件外，学生尚需具备下列条件之一，方可申请推免资格：</w:t>
      </w:r>
    </w:p>
    <w:p w14:paraId="7A4104A5">
      <w:pPr>
        <w:spacing w:line="360" w:lineRule="auto"/>
        <w:rPr>
          <w:color w:val="auto"/>
          <w:sz w:val="28"/>
          <w:szCs w:val="28"/>
          <w:highlight w:val="none"/>
        </w:rPr>
      </w:pPr>
      <w:r>
        <w:rPr>
          <w:rFonts w:hint="eastAsia"/>
          <w:sz w:val="28"/>
          <w:szCs w:val="28"/>
          <w:highlight w:val="none"/>
        </w:rPr>
        <w:t xml:space="preserve">    （</w:t>
      </w:r>
      <w:r>
        <w:rPr>
          <w:sz w:val="28"/>
          <w:szCs w:val="28"/>
          <w:highlight w:val="none"/>
        </w:rPr>
        <w:t>1</w:t>
      </w:r>
      <w:r>
        <w:rPr>
          <w:rFonts w:hint="eastAsia"/>
          <w:sz w:val="28"/>
          <w:szCs w:val="28"/>
          <w:highlight w:val="none"/>
        </w:rPr>
        <w:t>）在学习期间（入学至</w:t>
      </w:r>
      <w:r>
        <w:rPr>
          <w:rFonts w:hint="eastAsia"/>
          <w:sz w:val="28"/>
          <w:szCs w:val="28"/>
          <w:highlight w:val="none"/>
          <w:lang w:val="en-US" w:eastAsia="zh-CN"/>
        </w:rPr>
        <w:t>申请</w:t>
      </w:r>
      <w:r>
        <w:rPr>
          <w:rFonts w:hint="eastAsia"/>
          <w:sz w:val="28"/>
          <w:szCs w:val="28"/>
          <w:highlight w:val="none"/>
        </w:rPr>
        <w:t>推免所在年份8月31日前）按含弘学院要求参加雅思托福考试并且雅思考试成绩6.0分及以上或托福考试成绩80分（1</w:t>
      </w:r>
      <w:r>
        <w:rPr>
          <w:sz w:val="28"/>
          <w:szCs w:val="28"/>
          <w:highlight w:val="none"/>
        </w:rPr>
        <w:t>20</w:t>
      </w:r>
      <w:r>
        <w:rPr>
          <w:rFonts w:hint="eastAsia"/>
          <w:sz w:val="28"/>
          <w:szCs w:val="28"/>
          <w:highlight w:val="none"/>
        </w:rPr>
        <w:t>分制）及以上，并且有一个月</w:t>
      </w:r>
      <w:r>
        <w:rPr>
          <w:rFonts w:hint="eastAsia"/>
          <w:sz w:val="28"/>
          <w:szCs w:val="28"/>
          <w:highlight w:val="none"/>
          <w:lang w:eastAsia="zh-CN"/>
        </w:rPr>
        <w:t>（</w:t>
      </w:r>
      <w:r>
        <w:rPr>
          <w:rFonts w:hint="eastAsia"/>
          <w:sz w:val="28"/>
          <w:szCs w:val="28"/>
          <w:highlight w:val="none"/>
          <w:lang w:val="en-US" w:eastAsia="zh-CN"/>
        </w:rPr>
        <w:t>四周</w:t>
      </w:r>
      <w:r>
        <w:rPr>
          <w:rFonts w:hint="eastAsia"/>
          <w:sz w:val="28"/>
          <w:szCs w:val="28"/>
          <w:highlight w:val="none"/>
          <w:lang w:eastAsia="zh-CN"/>
        </w:rPr>
        <w:t>）</w:t>
      </w:r>
      <w:r>
        <w:rPr>
          <w:rFonts w:hint="eastAsia"/>
          <w:sz w:val="28"/>
          <w:szCs w:val="28"/>
          <w:highlight w:val="none"/>
        </w:rPr>
        <w:t>以上的</w:t>
      </w:r>
      <w:r>
        <w:rPr>
          <w:rFonts w:hint="eastAsia"/>
          <w:color w:val="auto"/>
          <w:sz w:val="28"/>
          <w:szCs w:val="28"/>
          <w:highlight w:val="none"/>
        </w:rPr>
        <w:t>境外</w:t>
      </w:r>
      <w:r>
        <w:rPr>
          <w:rFonts w:hint="eastAsia"/>
          <w:color w:val="auto"/>
          <w:sz w:val="28"/>
          <w:szCs w:val="28"/>
          <w:highlight w:val="none"/>
          <w:lang w:val="en-US" w:eastAsia="zh-CN"/>
        </w:rPr>
        <w:t>学分项目</w:t>
      </w:r>
      <w:r>
        <w:rPr>
          <w:rFonts w:hint="eastAsia"/>
          <w:color w:val="auto"/>
          <w:sz w:val="28"/>
          <w:szCs w:val="28"/>
          <w:highlight w:val="none"/>
        </w:rPr>
        <w:t>交流学习经历或者三个月以上的境外实习实践经历（学校或学院已有相关政策允诺其他符合境外交流学习经历的项目）。</w:t>
      </w:r>
    </w:p>
    <w:p w14:paraId="2BD977E7">
      <w:pPr>
        <w:spacing w:line="360" w:lineRule="auto"/>
        <w:rPr>
          <w:color w:val="auto"/>
          <w:sz w:val="28"/>
          <w:szCs w:val="28"/>
          <w:highlight w:val="none"/>
        </w:rPr>
      </w:pPr>
      <w:r>
        <w:rPr>
          <w:rFonts w:hint="eastAsia"/>
          <w:color w:val="auto"/>
          <w:sz w:val="28"/>
          <w:szCs w:val="28"/>
          <w:highlight w:val="none"/>
        </w:rPr>
        <w:t xml:space="preserve">    （2）学校下达指标扣除</w:t>
      </w:r>
      <w:bookmarkStart w:id="0" w:name="_Hlk124445384"/>
      <w:r>
        <w:rPr>
          <w:rFonts w:hint="eastAsia"/>
          <w:color w:val="auto"/>
          <w:sz w:val="28"/>
          <w:szCs w:val="28"/>
          <w:highlight w:val="none"/>
        </w:rPr>
        <w:t>符合条件</w:t>
      </w:r>
      <w:r>
        <w:rPr>
          <w:rFonts w:hint="eastAsia"/>
          <w:color w:val="auto"/>
          <w:sz w:val="28"/>
          <w:szCs w:val="28"/>
          <w:highlight w:val="none"/>
          <w:lang w:val="en-US" w:eastAsia="zh-CN"/>
        </w:rPr>
        <w:t>5</w:t>
      </w:r>
      <w:r>
        <w:rPr>
          <w:rFonts w:hint="eastAsia"/>
          <w:color w:val="auto"/>
          <w:sz w:val="28"/>
          <w:szCs w:val="28"/>
          <w:highlight w:val="none"/>
        </w:rPr>
        <w:t>.（1）申请学生数</w:t>
      </w:r>
      <w:bookmarkEnd w:id="0"/>
      <w:r>
        <w:rPr>
          <w:rFonts w:hint="eastAsia"/>
          <w:color w:val="auto"/>
          <w:sz w:val="28"/>
          <w:szCs w:val="28"/>
          <w:highlight w:val="none"/>
          <w:lang w:eastAsia="zh-CN"/>
        </w:rPr>
        <w:t>，</w:t>
      </w:r>
      <w:r>
        <w:rPr>
          <w:rFonts w:hint="eastAsia"/>
          <w:color w:val="auto"/>
          <w:sz w:val="28"/>
          <w:szCs w:val="28"/>
          <w:highlight w:val="none"/>
        </w:rPr>
        <w:t>剩余指标</w:t>
      </w:r>
      <w:bookmarkStart w:id="1" w:name="_Hlk124445452"/>
      <w:r>
        <w:rPr>
          <w:rFonts w:hint="eastAsia"/>
          <w:color w:val="auto"/>
          <w:sz w:val="28"/>
          <w:szCs w:val="28"/>
          <w:highlight w:val="none"/>
        </w:rPr>
        <w:t>分班依照综合积分排名从高到低进行分配。</w:t>
      </w:r>
      <w:bookmarkEnd w:id="1"/>
      <w:r>
        <w:rPr>
          <w:rFonts w:hint="eastAsia"/>
          <w:color w:val="auto"/>
          <w:sz w:val="28"/>
          <w:szCs w:val="28"/>
          <w:highlight w:val="none"/>
        </w:rPr>
        <w:t>综合积分计算方法见后。</w:t>
      </w:r>
    </w:p>
    <w:p w14:paraId="3A1863DD">
      <w:pPr>
        <w:spacing w:line="360" w:lineRule="auto"/>
        <w:ind w:firstLine="560"/>
        <w:rPr>
          <w:b/>
          <w:color w:val="auto"/>
          <w:sz w:val="28"/>
          <w:szCs w:val="28"/>
          <w:highlight w:val="none"/>
        </w:rPr>
      </w:pPr>
      <w:r>
        <w:rPr>
          <w:rFonts w:hint="eastAsia"/>
          <w:b/>
          <w:color w:val="auto"/>
          <w:sz w:val="28"/>
          <w:szCs w:val="28"/>
          <w:highlight w:val="none"/>
        </w:rPr>
        <w:t>三、综合积分计算办法</w:t>
      </w:r>
    </w:p>
    <w:p w14:paraId="1D3316CB">
      <w:pPr>
        <w:spacing w:line="360" w:lineRule="auto"/>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综合积分由成绩积分和“五育”综合评价积分两部分构成，具体</w:t>
      </w:r>
      <w:bookmarkStart w:id="4" w:name="_GoBack"/>
      <w:bookmarkEnd w:id="4"/>
      <w:r>
        <w:rPr>
          <w:rFonts w:hint="eastAsia"/>
          <w:color w:val="auto"/>
          <w:sz w:val="28"/>
          <w:szCs w:val="28"/>
          <w:highlight w:val="none"/>
          <w:lang w:val="en-US" w:eastAsia="zh-CN"/>
        </w:rPr>
        <w:t>计算方法如下：</w:t>
      </w:r>
    </w:p>
    <w:p w14:paraId="036BC496">
      <w:pPr>
        <w:spacing w:line="360" w:lineRule="auto"/>
        <w:ind w:firstLine="560" w:firstLineChars="200"/>
        <w:rPr>
          <w:sz w:val="28"/>
          <w:szCs w:val="28"/>
          <w:highlight w:val="none"/>
        </w:rPr>
      </w:pPr>
      <w:r>
        <w:rPr>
          <w:rFonts w:hint="eastAsia"/>
          <w:color w:val="auto"/>
          <w:sz w:val="28"/>
          <w:szCs w:val="28"/>
          <w:highlight w:val="none"/>
        </w:rPr>
        <w:t>（一）</w:t>
      </w:r>
      <w:r>
        <w:rPr>
          <w:color w:val="auto"/>
          <w:sz w:val="28"/>
          <w:szCs w:val="28"/>
          <w:highlight w:val="none"/>
        </w:rPr>
        <w:t>按成绩</w:t>
      </w:r>
      <w:r>
        <w:rPr>
          <w:rFonts w:hint="eastAsia"/>
          <w:color w:val="auto"/>
          <w:sz w:val="28"/>
          <w:szCs w:val="28"/>
          <w:highlight w:val="none"/>
        </w:rPr>
        <w:t>积分</w:t>
      </w:r>
      <w:r>
        <w:rPr>
          <w:color w:val="auto"/>
          <w:sz w:val="28"/>
          <w:szCs w:val="28"/>
          <w:highlight w:val="none"/>
        </w:rPr>
        <w:t>占80%、</w:t>
      </w:r>
      <w:r>
        <w:rPr>
          <w:rFonts w:hint="eastAsia"/>
          <w:color w:val="auto"/>
          <w:sz w:val="28"/>
          <w:szCs w:val="28"/>
          <w:highlight w:val="none"/>
          <w:lang w:val="en-US" w:eastAsia="zh-CN"/>
        </w:rPr>
        <w:t>“五育”综合评价积分</w:t>
      </w:r>
      <w:r>
        <w:rPr>
          <w:color w:val="auto"/>
          <w:sz w:val="28"/>
          <w:szCs w:val="28"/>
          <w:highlight w:val="none"/>
        </w:rPr>
        <w:t>占20%的</w:t>
      </w:r>
      <w:r>
        <w:rPr>
          <w:rFonts w:hint="eastAsia"/>
          <w:color w:val="auto"/>
          <w:sz w:val="28"/>
          <w:szCs w:val="28"/>
          <w:highlight w:val="none"/>
        </w:rPr>
        <w:t>结构</w:t>
      </w:r>
      <w:r>
        <w:rPr>
          <w:rFonts w:hint="eastAsia"/>
          <w:sz w:val="28"/>
          <w:szCs w:val="28"/>
          <w:highlight w:val="none"/>
        </w:rPr>
        <w:t>比例计算综合积分。综合积分使用百分制计分，满分为</w:t>
      </w:r>
      <w:r>
        <w:rPr>
          <w:sz w:val="28"/>
          <w:szCs w:val="28"/>
          <w:highlight w:val="none"/>
        </w:rPr>
        <w:t>100分</w:t>
      </w:r>
      <w:r>
        <w:rPr>
          <w:rFonts w:hint="eastAsia"/>
          <w:sz w:val="28"/>
          <w:szCs w:val="28"/>
          <w:highlight w:val="none"/>
        </w:rPr>
        <w:t>，保留2位小数，若排名相同可增加小数位数。具体计算公式为：</w:t>
      </w:r>
    </w:p>
    <w:p w14:paraId="527D1CA2">
      <w:pPr>
        <w:widowControl/>
        <w:adjustRightInd w:val="0"/>
        <w:snapToGrid w:val="0"/>
        <w:spacing w:line="500" w:lineRule="exact"/>
        <w:ind w:firstLine="560" w:firstLineChars="200"/>
        <w:jc w:val="left"/>
        <w:rPr>
          <w:rFonts w:ascii="宋体" w:hAnsi="宋体"/>
          <w:color w:val="auto"/>
          <w:sz w:val="24"/>
          <w:highlight w:val="none"/>
        </w:rPr>
      </w:pPr>
      <w:r>
        <w:rPr>
          <w:rFonts w:hint="eastAsia"/>
          <w:sz w:val="28"/>
          <w:szCs w:val="28"/>
          <w:highlight w:val="none"/>
        </w:rPr>
        <w:t>综合积分（百分制）</w:t>
      </w:r>
      <w:r>
        <w:rPr>
          <w:sz w:val="28"/>
          <w:szCs w:val="28"/>
          <w:highlight w:val="none"/>
        </w:rPr>
        <w:t>=成绩积分</w:t>
      </w:r>
      <w:r>
        <w:rPr>
          <w:rFonts w:hint="eastAsia"/>
          <w:sz w:val="28"/>
          <w:szCs w:val="28"/>
          <w:highlight w:val="none"/>
        </w:rPr>
        <w:t>（百分制）</w:t>
      </w:r>
      <w:r>
        <w:rPr>
          <w:sz w:val="28"/>
          <w:szCs w:val="28"/>
          <w:highlight w:val="none"/>
        </w:rPr>
        <w:t>×80%+</w:t>
      </w:r>
      <w:r>
        <w:rPr>
          <w:rFonts w:hint="eastAsia"/>
          <w:color w:val="auto"/>
          <w:sz w:val="28"/>
          <w:szCs w:val="28"/>
          <w:highlight w:val="none"/>
          <w:lang w:val="en-US" w:eastAsia="zh-CN"/>
        </w:rPr>
        <w:t>“五育”综合评价积分（</w:t>
      </w:r>
      <w:r>
        <w:rPr>
          <w:rFonts w:hint="eastAsia"/>
          <w:color w:val="auto"/>
          <w:sz w:val="28"/>
          <w:szCs w:val="28"/>
          <w:highlight w:val="none"/>
        </w:rPr>
        <w:t>百分制）</w:t>
      </w:r>
      <w:r>
        <w:rPr>
          <w:color w:val="auto"/>
          <w:sz w:val="28"/>
          <w:szCs w:val="28"/>
          <w:highlight w:val="none"/>
        </w:rPr>
        <w:t>×20%</w:t>
      </w:r>
      <w:r>
        <w:rPr>
          <w:rFonts w:hint="eastAsia"/>
          <w:color w:val="auto"/>
          <w:sz w:val="28"/>
          <w:szCs w:val="28"/>
          <w:highlight w:val="none"/>
        </w:rPr>
        <w:t>。</w:t>
      </w:r>
    </w:p>
    <w:p w14:paraId="15B5FE89">
      <w:pPr>
        <w:spacing w:line="360" w:lineRule="auto"/>
        <w:ind w:firstLine="560" w:firstLineChars="200"/>
        <w:rPr>
          <w:color w:val="auto"/>
          <w:sz w:val="28"/>
          <w:szCs w:val="28"/>
          <w:highlight w:val="none"/>
        </w:rPr>
      </w:pPr>
      <w:r>
        <w:rPr>
          <w:rFonts w:hint="eastAsia"/>
          <w:color w:val="auto"/>
          <w:sz w:val="28"/>
          <w:szCs w:val="28"/>
          <w:highlight w:val="none"/>
        </w:rPr>
        <w:t>（二）</w:t>
      </w:r>
      <w:r>
        <w:rPr>
          <w:color w:val="auto"/>
          <w:sz w:val="28"/>
          <w:szCs w:val="28"/>
          <w:highlight w:val="none"/>
        </w:rPr>
        <w:t>成绩</w:t>
      </w:r>
      <w:r>
        <w:rPr>
          <w:rFonts w:hint="eastAsia"/>
          <w:color w:val="auto"/>
          <w:sz w:val="28"/>
          <w:szCs w:val="28"/>
          <w:highlight w:val="none"/>
        </w:rPr>
        <w:t>积分</w:t>
      </w:r>
      <w:r>
        <w:rPr>
          <w:rFonts w:hint="eastAsia"/>
          <w:color w:val="auto"/>
          <w:sz w:val="28"/>
          <w:szCs w:val="28"/>
          <w:highlight w:val="none"/>
          <w:lang w:val="en-US" w:eastAsia="zh-CN"/>
        </w:rPr>
        <w:t>由培养方案规定的所有必修课程</w:t>
      </w:r>
      <w:r>
        <w:rPr>
          <w:rFonts w:hint="eastAsia"/>
          <w:color w:val="auto"/>
          <w:sz w:val="28"/>
          <w:szCs w:val="28"/>
          <w:highlight w:val="none"/>
          <w:lang w:eastAsia="zh-CN"/>
        </w:rPr>
        <w:t>（</w:t>
      </w:r>
      <w:r>
        <w:rPr>
          <w:rFonts w:hint="eastAsia"/>
          <w:color w:val="auto"/>
          <w:sz w:val="28"/>
          <w:szCs w:val="28"/>
          <w:highlight w:val="none"/>
          <w:lang w:val="en-US" w:eastAsia="zh-CN"/>
        </w:rPr>
        <w:t>通识必修课、</w:t>
      </w:r>
      <w:r>
        <w:rPr>
          <w:rFonts w:hint="eastAsia"/>
          <w:color w:val="auto"/>
          <w:sz w:val="28"/>
          <w:szCs w:val="28"/>
          <w:highlight w:val="none"/>
        </w:rPr>
        <w:t>综合平台课、个性化培养方案必修课</w:t>
      </w:r>
      <w:r>
        <w:rPr>
          <w:rFonts w:hint="eastAsia"/>
          <w:color w:val="auto"/>
          <w:sz w:val="28"/>
          <w:szCs w:val="28"/>
          <w:highlight w:val="none"/>
          <w:lang w:eastAsia="zh-CN"/>
        </w:rPr>
        <w:t>）</w:t>
      </w:r>
      <w:r>
        <w:rPr>
          <w:rFonts w:hint="eastAsia"/>
          <w:color w:val="auto"/>
          <w:sz w:val="28"/>
          <w:szCs w:val="28"/>
          <w:highlight w:val="none"/>
        </w:rPr>
        <w:t>的加权</w:t>
      </w:r>
      <w:r>
        <w:rPr>
          <w:rFonts w:hint="eastAsia"/>
          <w:color w:val="auto"/>
          <w:sz w:val="28"/>
          <w:szCs w:val="28"/>
          <w:highlight w:val="none"/>
          <w:lang w:val="en-US" w:eastAsia="zh-CN"/>
        </w:rPr>
        <w:t>学分</w:t>
      </w:r>
      <w:r>
        <w:rPr>
          <w:rFonts w:hint="eastAsia"/>
          <w:color w:val="auto"/>
          <w:sz w:val="28"/>
          <w:szCs w:val="28"/>
          <w:highlight w:val="none"/>
        </w:rPr>
        <w:t>平均分</w:t>
      </w:r>
      <w:r>
        <w:rPr>
          <w:rFonts w:hint="eastAsia"/>
          <w:color w:val="auto"/>
          <w:sz w:val="28"/>
          <w:szCs w:val="28"/>
          <w:highlight w:val="none"/>
          <w:lang w:val="en-US" w:eastAsia="zh-CN"/>
        </w:rPr>
        <w:t>计算得出</w:t>
      </w:r>
      <w:r>
        <w:rPr>
          <w:rFonts w:hint="eastAsia"/>
          <w:color w:val="auto"/>
          <w:sz w:val="28"/>
          <w:szCs w:val="28"/>
          <w:highlight w:val="none"/>
        </w:rPr>
        <w:t xml:space="preserve">。 </w:t>
      </w:r>
    </w:p>
    <w:p w14:paraId="12315CB9">
      <w:pPr>
        <w:spacing w:line="360" w:lineRule="auto"/>
        <w:ind w:firstLine="560" w:firstLineChars="200"/>
        <w:rPr>
          <w:sz w:val="28"/>
          <w:szCs w:val="28"/>
          <w:highlight w:val="none"/>
        </w:rPr>
      </w:pPr>
      <w:r>
        <w:rPr>
          <w:rFonts w:hint="eastAsia"/>
          <w:color w:val="auto"/>
          <w:sz w:val="28"/>
          <w:szCs w:val="28"/>
          <w:highlight w:val="none"/>
        </w:rPr>
        <w:t>成绩积分(百分制)=∑参加计算的课程成绩*学分/∑参加计算的</w:t>
      </w:r>
      <w:r>
        <w:rPr>
          <w:rFonts w:hint="eastAsia"/>
          <w:sz w:val="28"/>
          <w:szCs w:val="28"/>
          <w:highlight w:val="none"/>
        </w:rPr>
        <w:t>课程学分</w:t>
      </w:r>
    </w:p>
    <w:p w14:paraId="4D9A8C21">
      <w:pPr>
        <w:spacing w:line="360" w:lineRule="auto"/>
        <w:ind w:firstLine="560" w:firstLineChars="200"/>
        <w:rPr>
          <w:sz w:val="28"/>
          <w:szCs w:val="28"/>
          <w:highlight w:val="none"/>
        </w:rPr>
      </w:pPr>
      <w:r>
        <w:rPr>
          <w:rFonts w:hint="eastAsia"/>
          <w:sz w:val="28"/>
          <w:szCs w:val="28"/>
          <w:highlight w:val="none"/>
        </w:rPr>
        <w:t>课程成绩均为百分制（课程成绩为等级的转换为百分制计算）且不计</w:t>
      </w:r>
      <w:r>
        <w:rPr>
          <w:sz w:val="28"/>
          <w:szCs w:val="28"/>
          <w:highlight w:val="none"/>
        </w:rPr>
        <w:t>重修</w:t>
      </w:r>
      <w:r>
        <w:rPr>
          <w:rFonts w:hint="eastAsia"/>
          <w:sz w:val="28"/>
          <w:szCs w:val="28"/>
          <w:highlight w:val="none"/>
        </w:rPr>
        <w:t>成绩。交换学生只以西南大学考试的相关成绩计算推免积分，在外校取得的成绩不管是整体兑换学分，或是已转换为具体成绩分数的课程，均不纳入推免成绩积分计算。</w:t>
      </w:r>
    </w:p>
    <w:p w14:paraId="231535D5">
      <w:pPr>
        <w:numPr>
          <w:ilvl w:val="0"/>
          <w:numId w:val="1"/>
        </w:numPr>
        <w:spacing w:line="360" w:lineRule="auto"/>
        <w:ind w:firstLine="560" w:firstLineChars="200"/>
        <w:rPr>
          <w:rFonts w:hint="eastAsia"/>
          <w:color w:val="auto"/>
          <w:sz w:val="28"/>
          <w:szCs w:val="28"/>
          <w:highlight w:val="none"/>
        </w:rPr>
      </w:pPr>
      <w:r>
        <w:rPr>
          <w:rFonts w:hint="eastAsia"/>
          <w:bCs/>
          <w:color w:val="auto"/>
          <w:sz w:val="28"/>
          <w:szCs w:val="28"/>
          <w:highlight w:val="none"/>
        </w:rPr>
        <w:t>“五育”综合评价积分计</w:t>
      </w:r>
      <w:r>
        <w:rPr>
          <w:rFonts w:hint="eastAsia"/>
          <w:color w:val="auto"/>
          <w:sz w:val="28"/>
          <w:szCs w:val="28"/>
          <w:highlight w:val="none"/>
        </w:rPr>
        <w:t>算办法：</w:t>
      </w:r>
    </w:p>
    <w:p w14:paraId="5A7C92F0">
      <w:pPr>
        <w:keepNext w:val="0"/>
        <w:keepLines w:val="0"/>
        <w:pageBreakBefore w:val="0"/>
        <w:kinsoku/>
        <w:wordWrap/>
        <w:overflowPunct/>
        <w:topLinePunct w:val="0"/>
        <w:autoSpaceDE/>
        <w:autoSpaceDN/>
        <w:bidi w:val="0"/>
        <w:spacing w:line="240" w:lineRule="auto"/>
        <w:ind w:firstLine="560" w:firstLineChars="200"/>
        <w:textAlignment w:val="auto"/>
        <w:rPr>
          <w:bCs/>
          <w:color w:val="auto"/>
          <w:sz w:val="28"/>
          <w:szCs w:val="28"/>
          <w:highlight w:val="none"/>
        </w:rPr>
      </w:pPr>
      <w:r>
        <w:rPr>
          <w:rFonts w:hint="eastAsia"/>
          <w:bCs/>
          <w:color w:val="auto"/>
          <w:sz w:val="28"/>
          <w:szCs w:val="28"/>
          <w:highlight w:val="none"/>
        </w:rPr>
        <w:t>“五育”综合评价积分上限为30分。其百分制计算方式为：</w:t>
      </w:r>
    </w:p>
    <w:p w14:paraId="2EFD2BA7">
      <w:pPr>
        <w:spacing w:line="360" w:lineRule="auto"/>
        <w:ind w:firstLine="560" w:firstLineChars="200"/>
        <w:rPr>
          <w:bCs/>
          <w:color w:val="auto"/>
          <w:sz w:val="28"/>
          <w:szCs w:val="28"/>
          <w:highlight w:val="none"/>
        </w:rPr>
      </w:pPr>
      <w:r>
        <w:rPr>
          <w:rFonts w:hint="eastAsia"/>
          <w:bCs/>
          <w:color w:val="auto"/>
          <w:sz w:val="28"/>
          <w:szCs w:val="28"/>
          <w:highlight w:val="none"/>
        </w:rPr>
        <w:t>“五育”综合评价积分（百分制）=“五育”综合评价积分/</w:t>
      </w:r>
      <w:r>
        <w:rPr>
          <w:rFonts w:hint="eastAsia"/>
          <w:bCs/>
          <w:color w:val="auto"/>
          <w:sz w:val="28"/>
          <w:szCs w:val="28"/>
          <w:highlight w:val="none"/>
          <w:lang w:val="en-US" w:eastAsia="zh-CN"/>
        </w:rPr>
        <w:t>3</w:t>
      </w:r>
      <w:r>
        <w:rPr>
          <w:rFonts w:hint="eastAsia"/>
          <w:bCs/>
          <w:color w:val="auto"/>
          <w:sz w:val="28"/>
          <w:szCs w:val="28"/>
          <w:highlight w:val="none"/>
        </w:rPr>
        <w:t>0x100</w:t>
      </w:r>
    </w:p>
    <w:p w14:paraId="09337FA2">
      <w:pPr>
        <w:numPr>
          <w:ilvl w:val="0"/>
          <w:numId w:val="1"/>
        </w:numPr>
        <w:spacing w:line="360" w:lineRule="auto"/>
        <w:ind w:left="0" w:leftChars="0" w:firstLine="560" w:firstLineChars="200"/>
        <w:rPr>
          <w:rFonts w:hint="eastAsia"/>
          <w:color w:val="auto"/>
          <w:sz w:val="28"/>
          <w:szCs w:val="28"/>
          <w:highlight w:val="none"/>
        </w:rPr>
      </w:pPr>
      <w:r>
        <w:rPr>
          <w:rFonts w:hint="eastAsia"/>
          <w:color w:val="auto"/>
          <w:sz w:val="28"/>
          <w:szCs w:val="28"/>
          <w:highlight w:val="none"/>
        </w:rPr>
        <w:t>成果的认定与</w:t>
      </w:r>
      <w:r>
        <w:rPr>
          <w:rFonts w:hint="eastAsia"/>
          <w:bCs/>
          <w:color w:val="auto"/>
          <w:sz w:val="28"/>
          <w:szCs w:val="28"/>
          <w:highlight w:val="none"/>
        </w:rPr>
        <w:t>“五育”综合评价积分</w:t>
      </w:r>
      <w:r>
        <w:rPr>
          <w:rFonts w:hint="eastAsia"/>
          <w:color w:val="auto"/>
          <w:sz w:val="28"/>
          <w:szCs w:val="28"/>
          <w:highlight w:val="none"/>
        </w:rPr>
        <w:t>：</w:t>
      </w:r>
    </w:p>
    <w:p w14:paraId="499E43C3">
      <w:pPr>
        <w:numPr>
          <w:ilvl w:val="0"/>
          <w:numId w:val="0"/>
        </w:numPr>
        <w:spacing w:line="360" w:lineRule="auto"/>
        <w:ind w:left="0" w:leftChars="0" w:firstLine="420" w:firstLineChars="150"/>
        <w:rPr>
          <w:rFonts w:hint="eastAsia"/>
          <w:color w:val="auto"/>
          <w:sz w:val="28"/>
          <w:szCs w:val="28"/>
          <w:highlight w:val="none"/>
        </w:rPr>
      </w:pPr>
      <w:r>
        <w:rPr>
          <w:rFonts w:hint="eastAsia" w:eastAsia="宋体" w:cs="Times New Roman"/>
          <w:color w:val="auto"/>
          <w:sz w:val="28"/>
          <w:szCs w:val="28"/>
          <w:highlight w:val="none"/>
          <w:lang w:eastAsia="zh-CN"/>
        </w:rPr>
        <w:t>“五育”综合评价积分</w:t>
      </w:r>
      <w:r>
        <w:rPr>
          <w:rFonts w:hint="eastAsia" w:eastAsia="宋体" w:cs="Times New Roman"/>
          <w:color w:val="auto"/>
          <w:sz w:val="28"/>
          <w:szCs w:val="28"/>
          <w:highlight w:val="none"/>
        </w:rPr>
        <w:t>为各级各类</w:t>
      </w:r>
      <w:r>
        <w:rPr>
          <w:rFonts w:hint="eastAsia" w:eastAsia="宋体" w:cs="Times New Roman"/>
          <w:color w:val="auto"/>
          <w:sz w:val="28"/>
          <w:szCs w:val="28"/>
          <w:highlight w:val="none"/>
          <w:lang w:val="en-US" w:eastAsia="zh-CN"/>
        </w:rPr>
        <w:t>学科</w:t>
      </w:r>
      <w:r>
        <w:rPr>
          <w:rFonts w:hint="eastAsia" w:eastAsia="宋体" w:cs="Times New Roman"/>
          <w:color w:val="auto"/>
          <w:sz w:val="28"/>
          <w:szCs w:val="28"/>
          <w:highlight w:val="none"/>
        </w:rPr>
        <w:t>竞赛比赛、论文专著、发明专利等的奖励性积分。</w:t>
      </w:r>
    </w:p>
    <w:p w14:paraId="14A8A464">
      <w:pPr>
        <w:numPr>
          <w:ilvl w:val="0"/>
          <w:numId w:val="0"/>
        </w:numPr>
        <w:spacing w:line="360" w:lineRule="auto"/>
        <w:ind w:firstLine="560" w:firstLineChars="200"/>
        <w:rPr>
          <w:color w:val="auto"/>
          <w:sz w:val="28"/>
          <w:szCs w:val="28"/>
          <w:highlight w:val="none"/>
        </w:rPr>
      </w:pPr>
      <w:r>
        <w:rPr>
          <w:rFonts w:hint="eastAsia"/>
          <w:color w:val="auto"/>
          <w:sz w:val="28"/>
          <w:szCs w:val="28"/>
          <w:highlight w:val="none"/>
          <w:lang w:val="en-US" w:eastAsia="zh-CN"/>
        </w:rPr>
        <w:t xml:space="preserve">1. </w:t>
      </w:r>
      <w:r>
        <w:rPr>
          <w:rFonts w:hint="eastAsia"/>
          <w:color w:val="auto"/>
          <w:sz w:val="28"/>
          <w:szCs w:val="28"/>
          <w:highlight w:val="none"/>
        </w:rPr>
        <w:t>属于下列条件之一者，计</w:t>
      </w:r>
      <w:r>
        <w:rPr>
          <w:rFonts w:hint="eastAsia"/>
          <w:bCs/>
          <w:color w:val="auto"/>
          <w:sz w:val="28"/>
          <w:szCs w:val="28"/>
          <w:highlight w:val="none"/>
        </w:rPr>
        <w:t>“五育”综合评价积分</w:t>
      </w:r>
      <w:r>
        <w:rPr>
          <w:rFonts w:hint="eastAsia"/>
          <w:color w:val="auto"/>
          <w:sz w:val="28"/>
          <w:szCs w:val="28"/>
          <w:highlight w:val="none"/>
        </w:rPr>
        <w:t>30分：</w:t>
      </w:r>
    </w:p>
    <w:p w14:paraId="1B1BD34B">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w:t>
      </w:r>
      <w:r>
        <w:rPr>
          <w:rFonts w:hint="eastAsia"/>
          <w:sz w:val="28"/>
          <w:szCs w:val="28"/>
          <w:highlight w:val="none"/>
          <w:lang w:eastAsia="zh-CN"/>
        </w:rPr>
        <w:t>）</w:t>
      </w:r>
      <w:r>
        <w:rPr>
          <w:rFonts w:hint="eastAsia"/>
          <w:sz w:val="28"/>
          <w:szCs w:val="28"/>
          <w:highlight w:val="none"/>
        </w:rPr>
        <w:t>学生在校期间作为主力成员参加中国国际大学生创新大赛、“挑战杯”全国大学生课外学术科技作品竞赛获得最高等级奖；</w:t>
      </w:r>
    </w:p>
    <w:p w14:paraId="46D6305B">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2</w:t>
      </w:r>
      <w:r>
        <w:rPr>
          <w:rFonts w:hint="eastAsia"/>
          <w:sz w:val="28"/>
          <w:szCs w:val="28"/>
          <w:highlight w:val="none"/>
          <w:lang w:eastAsia="zh-CN"/>
        </w:rPr>
        <w:t>）</w:t>
      </w:r>
      <w:r>
        <w:rPr>
          <w:rFonts w:hint="eastAsia"/>
          <w:sz w:val="28"/>
          <w:szCs w:val="28"/>
          <w:highlight w:val="none"/>
        </w:rPr>
        <w:t>以第一作者（指导老师为第一作者学生第二作者视为第一作者）在T级刊物发表与学业相关的科研论文1篇（按照《西南大学研究项目与成果分类分级办法（试行）》（西校〔2021〕74号）中的论文T级进行认定）。</w:t>
      </w:r>
    </w:p>
    <w:p w14:paraId="5A9AB8DD">
      <w:pPr>
        <w:numPr>
          <w:ilvl w:val="0"/>
          <w:numId w:val="0"/>
        </w:numPr>
        <w:spacing w:line="360" w:lineRule="auto"/>
        <w:ind w:firstLine="560" w:firstLineChars="200"/>
        <w:rPr>
          <w:rFonts w:hint="eastAsia"/>
          <w:sz w:val="28"/>
          <w:szCs w:val="28"/>
          <w:highlight w:val="none"/>
        </w:rPr>
      </w:pPr>
      <w:r>
        <w:rPr>
          <w:rFonts w:hint="eastAsia"/>
          <w:sz w:val="28"/>
          <w:szCs w:val="28"/>
          <w:highlight w:val="none"/>
        </w:rPr>
        <w:t>属于下列条件之一者，计“五育”综合评价积分10分：</w:t>
      </w:r>
    </w:p>
    <w:p w14:paraId="4FB5DFCF">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w:t>
      </w:r>
      <w:r>
        <w:rPr>
          <w:rFonts w:hint="eastAsia"/>
          <w:sz w:val="28"/>
          <w:szCs w:val="28"/>
          <w:highlight w:val="none"/>
          <w:lang w:eastAsia="zh-CN"/>
        </w:rPr>
        <w:t>）</w:t>
      </w:r>
      <w:r>
        <w:rPr>
          <w:rFonts w:hint="eastAsia"/>
          <w:sz w:val="28"/>
          <w:szCs w:val="28"/>
          <w:highlight w:val="none"/>
        </w:rPr>
        <w:t>学生在校期间作为主力成员参加中国国际大学生创新大赛、“挑战杯”全国大学生课外学术科技作品竞赛获得第二等级奖；全国大学生数学建模竞赛（不含网络和境外）、全国大学生电子设计竞赛、ACM-ICPC国际大学生程序设计竞赛获得最高等级奖；</w:t>
      </w:r>
    </w:p>
    <w:p w14:paraId="058AA731">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2</w:t>
      </w:r>
      <w:r>
        <w:rPr>
          <w:rFonts w:hint="eastAsia"/>
          <w:sz w:val="28"/>
          <w:szCs w:val="28"/>
          <w:highlight w:val="none"/>
          <w:lang w:eastAsia="zh-CN"/>
        </w:rPr>
        <w:t>）</w:t>
      </w:r>
      <w:r>
        <w:rPr>
          <w:rFonts w:hint="eastAsia"/>
          <w:sz w:val="28"/>
          <w:szCs w:val="28"/>
          <w:highlight w:val="none"/>
        </w:rPr>
        <w:t>以第一作者（指导老师为第一作者学生第二作者视为第一作者）在A1级刊物发表与学业相关的科研论文1篇（按照《西南大学研究项目与成果分类分级办法（试行）》（西校〔2021〕74号）中的论文A1级进行认定）。</w:t>
      </w:r>
    </w:p>
    <w:p w14:paraId="431258A1">
      <w:pPr>
        <w:numPr>
          <w:ilvl w:val="0"/>
          <w:numId w:val="0"/>
        </w:numPr>
        <w:spacing w:line="360" w:lineRule="auto"/>
        <w:ind w:firstLine="560" w:firstLineChars="200"/>
        <w:rPr>
          <w:rFonts w:hint="eastAsia"/>
          <w:sz w:val="28"/>
          <w:szCs w:val="28"/>
          <w:highlight w:val="none"/>
        </w:rPr>
      </w:pPr>
      <w:r>
        <w:rPr>
          <w:rFonts w:hint="eastAsia"/>
          <w:sz w:val="28"/>
          <w:szCs w:val="28"/>
          <w:highlight w:val="none"/>
          <w:lang w:val="en-US" w:eastAsia="zh-CN"/>
        </w:rPr>
        <w:t xml:space="preserve">3. </w:t>
      </w:r>
      <w:r>
        <w:rPr>
          <w:rFonts w:hint="eastAsia"/>
          <w:sz w:val="28"/>
          <w:szCs w:val="28"/>
          <w:highlight w:val="none"/>
        </w:rPr>
        <w:t>属于下列条件之一者，计“五育”综合评价积分6分：</w:t>
      </w:r>
    </w:p>
    <w:p w14:paraId="32F1F7F6">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w:t>
      </w:r>
      <w:r>
        <w:rPr>
          <w:rFonts w:hint="eastAsia"/>
          <w:sz w:val="28"/>
          <w:szCs w:val="28"/>
          <w:highlight w:val="none"/>
          <w:lang w:eastAsia="zh-CN"/>
        </w:rPr>
        <w:t>）</w:t>
      </w:r>
      <w:r>
        <w:rPr>
          <w:rFonts w:hint="eastAsia"/>
          <w:sz w:val="28"/>
          <w:szCs w:val="28"/>
          <w:highlight w:val="none"/>
        </w:rPr>
        <w:t>学生在校期间作为主力成员参加中国国际大学生创新大赛、“挑战杯”全国大学生课外学术科技作品竞赛获得第三等级奖；全国大学生数学建模竞赛（不含网络和境外）、全国大学生电子设计竞赛、ACM-ICPC国际大学生程序设计竞赛获得第二等级奖；教育部组织的其它学科及科技类竞赛获得最高等级奖；教育部教学指导委员会组织的各类比赛获得最高等级奖；</w:t>
      </w:r>
    </w:p>
    <w:p w14:paraId="5478D1E6">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2</w:t>
      </w:r>
      <w:r>
        <w:rPr>
          <w:rFonts w:hint="eastAsia"/>
          <w:sz w:val="28"/>
          <w:szCs w:val="28"/>
          <w:highlight w:val="none"/>
          <w:lang w:eastAsia="zh-CN"/>
        </w:rPr>
        <w:t>）</w:t>
      </w:r>
      <w:r>
        <w:rPr>
          <w:rFonts w:hint="eastAsia"/>
          <w:sz w:val="28"/>
          <w:szCs w:val="28"/>
          <w:highlight w:val="none"/>
        </w:rPr>
        <w:t>以第一作者（指导老师为第一作者学生第二作者视为第一作者）在A2级刊物发表与学业相关的科研论文1篇（按照《西南大学研究项目与成果分类分级办法（试行）》（西校〔2021〕74号）中的论文A2级进行认定）；</w:t>
      </w:r>
    </w:p>
    <w:p w14:paraId="15277893">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3</w:t>
      </w:r>
      <w:r>
        <w:rPr>
          <w:rFonts w:hint="eastAsia"/>
          <w:sz w:val="28"/>
          <w:szCs w:val="28"/>
          <w:highlight w:val="none"/>
          <w:lang w:eastAsia="zh-CN"/>
        </w:rPr>
        <w:t>）</w:t>
      </w:r>
      <w:r>
        <w:rPr>
          <w:rFonts w:hint="eastAsia"/>
          <w:sz w:val="28"/>
          <w:szCs w:val="28"/>
          <w:highlight w:val="none"/>
        </w:rPr>
        <w:t>发明专利1项。</w:t>
      </w:r>
    </w:p>
    <w:p w14:paraId="71701060">
      <w:pPr>
        <w:spacing w:line="360" w:lineRule="auto"/>
        <w:ind w:firstLine="560" w:firstLineChars="200"/>
        <w:rPr>
          <w:color w:val="auto"/>
          <w:sz w:val="28"/>
          <w:szCs w:val="28"/>
          <w:highlight w:val="none"/>
        </w:rPr>
      </w:pPr>
      <w:r>
        <w:rPr>
          <w:rFonts w:hint="eastAsia"/>
          <w:sz w:val="28"/>
          <w:szCs w:val="28"/>
          <w:highlight w:val="none"/>
          <w:lang w:val="en-US" w:eastAsia="zh-CN"/>
        </w:rPr>
        <w:t xml:space="preserve">4. </w:t>
      </w:r>
      <w:r>
        <w:rPr>
          <w:rFonts w:hint="eastAsia"/>
          <w:sz w:val="28"/>
          <w:szCs w:val="28"/>
          <w:highlight w:val="none"/>
        </w:rPr>
        <w:t>属于下列条件之一</w:t>
      </w:r>
      <w:r>
        <w:rPr>
          <w:rFonts w:hint="eastAsia"/>
          <w:color w:val="auto"/>
          <w:sz w:val="28"/>
          <w:szCs w:val="28"/>
          <w:highlight w:val="none"/>
        </w:rPr>
        <w:t>者，计</w:t>
      </w:r>
      <w:r>
        <w:rPr>
          <w:rFonts w:hint="eastAsia"/>
          <w:color w:val="auto"/>
          <w:sz w:val="28"/>
          <w:szCs w:val="28"/>
          <w:highlight w:val="none"/>
          <w:lang w:eastAsia="zh-CN"/>
        </w:rPr>
        <w:t>“五育”综合评价积分</w:t>
      </w:r>
      <w:r>
        <w:rPr>
          <w:rFonts w:hint="eastAsia"/>
          <w:color w:val="auto"/>
          <w:sz w:val="28"/>
          <w:szCs w:val="28"/>
          <w:highlight w:val="none"/>
        </w:rPr>
        <w:t>4分：</w:t>
      </w:r>
    </w:p>
    <w:p w14:paraId="7FA5C534">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w:t>
      </w:r>
      <w:r>
        <w:rPr>
          <w:rFonts w:hint="eastAsia"/>
          <w:sz w:val="28"/>
          <w:szCs w:val="28"/>
          <w:highlight w:val="none"/>
          <w:lang w:eastAsia="zh-CN"/>
        </w:rPr>
        <w:t>）</w:t>
      </w:r>
      <w:r>
        <w:rPr>
          <w:rFonts w:hint="eastAsia"/>
          <w:sz w:val="28"/>
          <w:szCs w:val="28"/>
          <w:highlight w:val="none"/>
        </w:rPr>
        <w:t>学生在校期间作为主力成员参加“挑战杯”全国大学生课外学术科技作品竞赛获得第四等级奖；全国大学生数学建模竞赛（不含网络和境外）、全国大学生电子设计竞赛、</w:t>
      </w:r>
      <w:r>
        <w:rPr>
          <w:sz w:val="28"/>
          <w:szCs w:val="28"/>
          <w:highlight w:val="none"/>
        </w:rPr>
        <w:t>ACM-ICPC</w:t>
      </w:r>
      <w:r>
        <w:rPr>
          <w:rFonts w:hint="eastAsia"/>
          <w:sz w:val="28"/>
          <w:szCs w:val="28"/>
          <w:highlight w:val="none"/>
        </w:rPr>
        <w:t>国际大学生程序设计竞赛获得第三等级奖；教育部组织的其他学科及科技类竞赛获得第二等级奖；教育部教学指导委员会组织的各类比赛获得第二等级奖；重庆市教委组织的各类比赛获得最高等级奖；全国性行业（学科）学会、协会组织的各类比赛获得最高等级奖；</w:t>
      </w:r>
    </w:p>
    <w:p w14:paraId="2752B2DF">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2</w:t>
      </w:r>
      <w:r>
        <w:rPr>
          <w:rFonts w:hint="eastAsia"/>
          <w:sz w:val="28"/>
          <w:szCs w:val="28"/>
          <w:highlight w:val="none"/>
          <w:lang w:eastAsia="zh-CN"/>
        </w:rPr>
        <w:t>）</w:t>
      </w:r>
      <w:r>
        <w:rPr>
          <w:rFonts w:hint="eastAsia"/>
          <w:sz w:val="28"/>
          <w:szCs w:val="28"/>
          <w:highlight w:val="none"/>
        </w:rPr>
        <w:t>以第一作者（指导老师为第一作者学生第二作者视为第一作者）在B级刊物发表与学业相关的科研论文1篇（按照《西南大学研究项目与成果分类分级办法（试行）》（西校〔2021〕74号）中的论文</w:t>
      </w:r>
      <w:r>
        <w:rPr>
          <w:sz w:val="28"/>
          <w:szCs w:val="28"/>
          <w:highlight w:val="none"/>
        </w:rPr>
        <w:t>B</w:t>
      </w:r>
      <w:r>
        <w:rPr>
          <w:rFonts w:hint="eastAsia"/>
          <w:sz w:val="28"/>
          <w:szCs w:val="28"/>
          <w:highlight w:val="none"/>
        </w:rPr>
        <w:t>级进行认定）。</w:t>
      </w:r>
    </w:p>
    <w:p w14:paraId="2C2F5F18">
      <w:pPr>
        <w:spacing w:line="360" w:lineRule="auto"/>
        <w:ind w:firstLine="560" w:firstLineChars="200"/>
        <w:rPr>
          <w:color w:val="auto"/>
          <w:sz w:val="28"/>
          <w:szCs w:val="28"/>
          <w:highlight w:val="none"/>
        </w:rPr>
      </w:pPr>
      <w:r>
        <w:rPr>
          <w:rFonts w:hint="eastAsia"/>
          <w:sz w:val="28"/>
          <w:szCs w:val="28"/>
          <w:highlight w:val="none"/>
          <w:lang w:val="en-US" w:eastAsia="zh-CN"/>
        </w:rPr>
        <w:t xml:space="preserve">5. </w:t>
      </w:r>
      <w:r>
        <w:rPr>
          <w:rFonts w:hint="eastAsia"/>
          <w:sz w:val="28"/>
          <w:szCs w:val="28"/>
          <w:highlight w:val="none"/>
        </w:rPr>
        <w:t>属于下列条件之</w:t>
      </w:r>
      <w:r>
        <w:rPr>
          <w:rFonts w:hint="eastAsia"/>
          <w:color w:val="auto"/>
          <w:sz w:val="28"/>
          <w:szCs w:val="28"/>
          <w:highlight w:val="none"/>
        </w:rPr>
        <w:t>一者，计</w:t>
      </w:r>
      <w:r>
        <w:rPr>
          <w:rFonts w:hint="eastAsia"/>
          <w:color w:val="auto"/>
          <w:sz w:val="28"/>
          <w:szCs w:val="28"/>
          <w:highlight w:val="none"/>
          <w:lang w:eastAsia="zh-CN"/>
        </w:rPr>
        <w:t>“五育”综合评价积分</w:t>
      </w:r>
      <w:r>
        <w:rPr>
          <w:rFonts w:hint="eastAsia"/>
          <w:color w:val="auto"/>
          <w:sz w:val="28"/>
          <w:szCs w:val="28"/>
          <w:highlight w:val="none"/>
        </w:rPr>
        <w:t>3分：</w:t>
      </w:r>
    </w:p>
    <w:p w14:paraId="40C59BCE">
      <w:pPr>
        <w:spacing w:line="360" w:lineRule="auto"/>
        <w:ind w:firstLine="560" w:firstLineChars="200"/>
        <w:rPr>
          <w:color w:val="auto"/>
          <w:sz w:val="28"/>
          <w:szCs w:val="28"/>
          <w:highlight w:val="none"/>
        </w:rPr>
      </w:pPr>
      <w:r>
        <w:rPr>
          <w:rFonts w:hint="eastAsia"/>
          <w:color w:val="auto"/>
          <w:sz w:val="28"/>
          <w:szCs w:val="28"/>
          <w:highlight w:val="none"/>
          <w:lang w:eastAsia="zh-CN"/>
        </w:rPr>
        <w:t>（</w:t>
      </w:r>
      <w:r>
        <w:rPr>
          <w:rFonts w:hint="eastAsia"/>
          <w:color w:val="auto"/>
          <w:sz w:val="28"/>
          <w:szCs w:val="28"/>
          <w:highlight w:val="none"/>
          <w:lang w:val="en-US" w:eastAsia="zh-CN"/>
        </w:rPr>
        <w:t>1</w:t>
      </w:r>
      <w:r>
        <w:rPr>
          <w:rFonts w:hint="eastAsia"/>
          <w:color w:val="auto"/>
          <w:sz w:val="28"/>
          <w:szCs w:val="28"/>
          <w:highlight w:val="none"/>
          <w:lang w:eastAsia="zh-CN"/>
        </w:rPr>
        <w:t>）</w:t>
      </w:r>
      <w:r>
        <w:rPr>
          <w:rFonts w:hint="eastAsia"/>
          <w:color w:val="auto"/>
          <w:sz w:val="28"/>
          <w:szCs w:val="28"/>
          <w:highlight w:val="none"/>
        </w:rPr>
        <w:t>国家级“大学生创新创业训练计划”项目；</w:t>
      </w:r>
    </w:p>
    <w:p w14:paraId="47168ABE">
      <w:pPr>
        <w:spacing w:line="360" w:lineRule="auto"/>
        <w:ind w:firstLine="560" w:firstLineChars="200"/>
        <w:rPr>
          <w:color w:val="auto"/>
          <w:sz w:val="28"/>
          <w:szCs w:val="28"/>
          <w:highlight w:val="none"/>
        </w:rPr>
      </w:pPr>
      <w:r>
        <w:rPr>
          <w:rFonts w:hint="eastAsia"/>
          <w:color w:val="auto"/>
          <w:sz w:val="28"/>
          <w:szCs w:val="28"/>
          <w:highlight w:val="none"/>
          <w:lang w:eastAsia="zh-CN"/>
        </w:rPr>
        <w:t>（</w:t>
      </w:r>
      <w:r>
        <w:rPr>
          <w:rFonts w:hint="eastAsia"/>
          <w:color w:val="auto"/>
          <w:sz w:val="28"/>
          <w:szCs w:val="28"/>
          <w:highlight w:val="none"/>
          <w:lang w:val="en-US" w:eastAsia="zh-CN"/>
        </w:rPr>
        <w:t>2</w:t>
      </w:r>
      <w:r>
        <w:rPr>
          <w:rFonts w:hint="eastAsia"/>
          <w:color w:val="auto"/>
          <w:sz w:val="28"/>
          <w:szCs w:val="28"/>
          <w:highlight w:val="none"/>
          <w:lang w:eastAsia="zh-CN"/>
        </w:rPr>
        <w:t>）</w:t>
      </w:r>
      <w:r>
        <w:rPr>
          <w:rFonts w:hint="eastAsia"/>
          <w:color w:val="auto"/>
          <w:sz w:val="28"/>
          <w:szCs w:val="28"/>
          <w:highlight w:val="none"/>
        </w:rPr>
        <w:t>“</w:t>
      </w:r>
      <w:r>
        <w:rPr>
          <w:color w:val="auto"/>
          <w:sz w:val="28"/>
          <w:szCs w:val="28"/>
          <w:highlight w:val="none"/>
        </w:rPr>
        <w:t>中国科学院大学生创新实践训练计划</w:t>
      </w:r>
      <w:r>
        <w:rPr>
          <w:rFonts w:hint="eastAsia"/>
          <w:color w:val="auto"/>
          <w:sz w:val="28"/>
          <w:szCs w:val="28"/>
          <w:highlight w:val="none"/>
        </w:rPr>
        <w:t>”项目。</w:t>
      </w:r>
    </w:p>
    <w:p w14:paraId="2A70A80E">
      <w:pPr>
        <w:spacing w:line="360" w:lineRule="auto"/>
        <w:ind w:firstLine="560" w:firstLineChars="200"/>
        <w:rPr>
          <w:sz w:val="28"/>
          <w:szCs w:val="28"/>
          <w:highlight w:val="none"/>
        </w:rPr>
      </w:pPr>
      <w:r>
        <w:rPr>
          <w:rFonts w:hint="eastAsia"/>
          <w:color w:val="auto"/>
          <w:sz w:val="28"/>
          <w:szCs w:val="28"/>
          <w:highlight w:val="none"/>
          <w:lang w:val="en-US" w:eastAsia="zh-CN"/>
        </w:rPr>
        <w:t xml:space="preserve">6. </w:t>
      </w:r>
      <w:r>
        <w:rPr>
          <w:rFonts w:hint="eastAsia"/>
          <w:color w:val="auto"/>
          <w:sz w:val="28"/>
          <w:szCs w:val="28"/>
          <w:highlight w:val="none"/>
        </w:rPr>
        <w:t>同一类成果奖励只记最高级别</w:t>
      </w:r>
      <w:r>
        <w:rPr>
          <w:rFonts w:hint="eastAsia"/>
          <w:color w:val="auto"/>
          <w:sz w:val="28"/>
          <w:szCs w:val="28"/>
          <w:highlight w:val="none"/>
          <w:lang w:eastAsia="zh-CN"/>
        </w:rPr>
        <w:t>“五育”综合评价积分</w:t>
      </w:r>
      <w:r>
        <w:rPr>
          <w:rFonts w:hint="eastAsia"/>
          <w:color w:val="auto"/>
          <w:sz w:val="28"/>
          <w:szCs w:val="28"/>
          <w:highlight w:val="none"/>
        </w:rPr>
        <w:t>（如发表多篇科研论文，积分时只记分值最高的一篇），不同类别成果</w:t>
      </w:r>
      <w:r>
        <w:rPr>
          <w:rFonts w:hint="eastAsia"/>
          <w:color w:val="auto"/>
          <w:sz w:val="28"/>
          <w:szCs w:val="28"/>
          <w:highlight w:val="none"/>
          <w:lang w:eastAsia="zh-CN"/>
        </w:rPr>
        <w:t>“五</w:t>
      </w:r>
      <w:r>
        <w:rPr>
          <w:rFonts w:hint="eastAsia"/>
          <w:sz w:val="28"/>
          <w:szCs w:val="28"/>
          <w:highlight w:val="none"/>
          <w:lang w:eastAsia="zh-CN"/>
        </w:rPr>
        <w:t>育”综合评价积分</w:t>
      </w:r>
      <w:r>
        <w:rPr>
          <w:rFonts w:hint="eastAsia"/>
          <w:sz w:val="28"/>
          <w:szCs w:val="28"/>
          <w:highlight w:val="none"/>
        </w:rPr>
        <w:t>可以累加。</w:t>
      </w:r>
    </w:p>
    <w:p w14:paraId="6DD7D5F8">
      <w:pPr>
        <w:spacing w:line="360" w:lineRule="auto"/>
        <w:ind w:firstLine="560" w:firstLineChars="200"/>
        <w:rPr>
          <w:sz w:val="28"/>
          <w:szCs w:val="28"/>
          <w:highlight w:val="none"/>
        </w:rPr>
      </w:pPr>
      <w:r>
        <w:rPr>
          <w:rFonts w:hint="eastAsia"/>
          <w:sz w:val="28"/>
          <w:szCs w:val="28"/>
          <w:highlight w:val="none"/>
          <w:lang w:val="en-US" w:eastAsia="zh-CN"/>
        </w:rPr>
        <w:t xml:space="preserve">7. </w:t>
      </w:r>
      <w:r>
        <w:rPr>
          <w:rFonts w:hint="eastAsia"/>
          <w:sz w:val="28"/>
          <w:szCs w:val="28"/>
          <w:highlight w:val="none"/>
        </w:rPr>
        <w:t>成果认定有关说明：</w:t>
      </w:r>
    </w:p>
    <w:p w14:paraId="4504A2C9">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w:t>
      </w:r>
      <w:r>
        <w:rPr>
          <w:rFonts w:hint="eastAsia"/>
          <w:sz w:val="28"/>
          <w:szCs w:val="28"/>
          <w:highlight w:val="none"/>
          <w:lang w:eastAsia="zh-CN"/>
        </w:rPr>
        <w:t>）</w:t>
      </w:r>
      <w:r>
        <w:rPr>
          <w:rFonts w:hint="eastAsia"/>
          <w:sz w:val="28"/>
          <w:szCs w:val="28"/>
          <w:highlight w:val="none"/>
        </w:rPr>
        <w:t>成果以实际取得的成果为准，录用通知和处于公示阶段的成果不予认可；</w:t>
      </w:r>
    </w:p>
    <w:p w14:paraId="14C6B802">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2</w:t>
      </w:r>
      <w:r>
        <w:rPr>
          <w:rFonts w:hint="eastAsia"/>
          <w:sz w:val="28"/>
          <w:szCs w:val="28"/>
          <w:highlight w:val="none"/>
          <w:lang w:eastAsia="zh-CN"/>
        </w:rPr>
        <w:t>）</w:t>
      </w:r>
      <w:r>
        <w:rPr>
          <w:rFonts w:hint="eastAsia"/>
          <w:sz w:val="28"/>
          <w:szCs w:val="28"/>
          <w:highlight w:val="none"/>
        </w:rPr>
        <w:t>成果第一署名单位必须为西南大学；</w:t>
      </w:r>
    </w:p>
    <w:p w14:paraId="2BBEBDBC">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3</w:t>
      </w:r>
      <w:r>
        <w:rPr>
          <w:rFonts w:hint="eastAsia"/>
          <w:sz w:val="28"/>
          <w:szCs w:val="28"/>
          <w:highlight w:val="none"/>
          <w:lang w:eastAsia="zh-CN"/>
        </w:rPr>
        <w:t>）</w:t>
      </w:r>
      <w:r>
        <w:rPr>
          <w:rFonts w:hint="eastAsia"/>
          <w:sz w:val="28"/>
          <w:szCs w:val="28"/>
          <w:highlight w:val="none"/>
        </w:rPr>
        <w:t>积分成果若为多人完成，只对第一成果拥有人进行加分；</w:t>
      </w:r>
    </w:p>
    <w:p w14:paraId="4F8EF616">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4</w:t>
      </w:r>
      <w:r>
        <w:rPr>
          <w:rFonts w:hint="eastAsia"/>
          <w:sz w:val="28"/>
          <w:szCs w:val="28"/>
          <w:highlight w:val="none"/>
          <w:lang w:eastAsia="zh-CN"/>
        </w:rPr>
        <w:t>）</w:t>
      </w:r>
      <w:r>
        <w:rPr>
          <w:rFonts w:hint="eastAsia"/>
          <w:sz w:val="28"/>
          <w:szCs w:val="28"/>
          <w:highlight w:val="none"/>
        </w:rPr>
        <w:t>美国大学生数学建模竞赛对照全国大学生数学建模竞赛降一等处理；</w:t>
      </w:r>
    </w:p>
    <w:p w14:paraId="141C6045">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5</w:t>
      </w:r>
      <w:r>
        <w:rPr>
          <w:rFonts w:hint="eastAsia"/>
          <w:sz w:val="28"/>
          <w:szCs w:val="28"/>
          <w:highlight w:val="none"/>
          <w:lang w:eastAsia="zh-CN"/>
        </w:rPr>
        <w:t>）</w:t>
      </w:r>
      <w:r>
        <w:rPr>
          <w:rFonts w:hint="eastAsia"/>
          <w:sz w:val="28"/>
          <w:szCs w:val="28"/>
          <w:highlight w:val="none"/>
        </w:rPr>
        <w:t>科研项目需结题方可加分；</w:t>
      </w:r>
    </w:p>
    <w:p w14:paraId="7B21056E">
      <w:p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6</w:t>
      </w:r>
      <w:r>
        <w:rPr>
          <w:rFonts w:hint="eastAsia"/>
          <w:sz w:val="28"/>
          <w:szCs w:val="28"/>
          <w:highlight w:val="none"/>
          <w:lang w:eastAsia="zh-CN"/>
        </w:rPr>
        <w:t>）</w:t>
      </w:r>
      <w:r>
        <w:rPr>
          <w:rFonts w:hint="eastAsia"/>
          <w:sz w:val="28"/>
          <w:szCs w:val="28"/>
          <w:highlight w:val="none"/>
        </w:rPr>
        <w:t>科研论文在线发表即可计入加分；</w:t>
      </w:r>
    </w:p>
    <w:p w14:paraId="55FAA3D9">
      <w:pPr>
        <w:spacing w:line="360" w:lineRule="auto"/>
        <w:ind w:firstLine="560" w:firstLineChars="200"/>
        <w:rPr>
          <w:rFonts w:hint="default" w:eastAsiaTheme="minorEastAsia"/>
          <w:color w:val="000000" w:themeColor="text1"/>
          <w:sz w:val="28"/>
          <w:szCs w:val="28"/>
          <w:highlight w:val="none"/>
          <w:lang w:val="en-US" w:eastAsia="zh-CN"/>
          <w14:textFill>
            <w14:solidFill>
              <w14:schemeClr w14:val="tx1"/>
            </w14:solidFill>
          </w14:textFill>
        </w:rPr>
      </w:pPr>
      <w:r>
        <w:rPr>
          <w:rFonts w:hint="eastAsia"/>
          <w:sz w:val="28"/>
          <w:szCs w:val="28"/>
          <w:highlight w:val="none"/>
          <w:lang w:eastAsia="zh-CN"/>
        </w:rPr>
        <w:t>（</w:t>
      </w:r>
      <w:r>
        <w:rPr>
          <w:rFonts w:hint="eastAsia"/>
          <w:sz w:val="28"/>
          <w:szCs w:val="28"/>
          <w:highlight w:val="none"/>
          <w:lang w:val="en-US" w:eastAsia="zh-CN"/>
        </w:rPr>
        <w:t>7</w:t>
      </w:r>
      <w:r>
        <w:rPr>
          <w:rFonts w:hint="eastAsia"/>
          <w:sz w:val="28"/>
          <w:szCs w:val="28"/>
          <w:highlight w:val="none"/>
          <w:lang w:eastAsia="zh-CN"/>
        </w:rPr>
        <w:t>）</w:t>
      </w:r>
      <w:r>
        <w:rPr>
          <w:rFonts w:hint="eastAsia"/>
          <w:sz w:val="28"/>
          <w:szCs w:val="28"/>
          <w:highlight w:val="none"/>
        </w:rPr>
        <w:t>科研论文均需提交查重报告，学术会议论文需提交检索报告；</w:t>
      </w:r>
      <w:r>
        <w:rPr>
          <w:rFonts w:hint="eastAsia"/>
          <w:color w:val="000000" w:themeColor="text1"/>
          <w:sz w:val="28"/>
          <w:szCs w:val="28"/>
          <w:highlight w:val="none"/>
          <w:lang w:val="en-US" w:eastAsia="zh-CN"/>
          <w14:textFill>
            <w14:solidFill>
              <w14:schemeClr w14:val="tx1"/>
            </w14:solidFill>
          </w14:textFill>
        </w:rPr>
        <w:t>学科竞赛需提交竞赛通知书和获奖证书等证明材料原件；</w:t>
      </w:r>
    </w:p>
    <w:p w14:paraId="1FE4BD8D">
      <w:pPr>
        <w:spacing w:line="360" w:lineRule="auto"/>
        <w:ind w:firstLine="560" w:firstLineChars="200"/>
        <w:rPr>
          <w:rFonts w:hint="eastAsia"/>
          <w:color w:val="auto"/>
          <w:sz w:val="28"/>
          <w:szCs w:val="28"/>
          <w:highlight w:val="none"/>
          <w:lang w:val="en-US" w:eastAsia="zh-CN"/>
        </w:rPr>
      </w:pPr>
      <w:r>
        <w:rPr>
          <w:rFonts w:hint="eastAsia"/>
          <w:color w:val="000000" w:themeColor="text1"/>
          <w:sz w:val="28"/>
          <w:szCs w:val="28"/>
          <w:highlight w:val="none"/>
          <w:lang w:val="en-US" w:eastAsia="zh-CN"/>
          <w14:textFill>
            <w14:solidFill>
              <w14:schemeClr w14:val="tx1"/>
            </w14:solidFill>
          </w14:textFill>
        </w:rPr>
        <w:t>（8）参加比赛当年进入</w:t>
      </w:r>
      <w:r>
        <w:rPr>
          <w:rFonts w:hint="eastAsia"/>
          <w:color w:val="000000" w:themeColor="text1"/>
          <w:sz w:val="28"/>
          <w:szCs w:val="28"/>
          <w:highlight w:val="none"/>
          <w:lang w:eastAsia="zh-CN"/>
          <w14:textFill>
            <w14:solidFill>
              <w14:schemeClr w14:val="tx1"/>
            </w14:solidFill>
          </w14:textFill>
        </w:rPr>
        <w:t>《</w:t>
      </w:r>
      <w:r>
        <w:rPr>
          <w:rFonts w:hint="eastAsia"/>
          <w:color w:val="000000" w:themeColor="text1"/>
          <w:sz w:val="28"/>
          <w:szCs w:val="28"/>
          <w:highlight w:val="none"/>
          <w:lang w:val="en-US" w:eastAsia="zh-CN"/>
          <w14:textFill>
            <w14:solidFill>
              <w14:schemeClr w14:val="tx1"/>
            </w14:solidFill>
          </w14:textFill>
        </w:rPr>
        <w:t>全国普通高校大学生竞赛分析报告</w:t>
      </w:r>
      <w:r>
        <w:rPr>
          <w:rFonts w:hint="eastAsia"/>
          <w:color w:val="000000" w:themeColor="text1"/>
          <w:sz w:val="28"/>
          <w:szCs w:val="28"/>
          <w:highlight w:val="none"/>
          <w:lang w:eastAsia="zh-CN"/>
          <w14:textFill>
            <w14:solidFill>
              <w14:schemeClr w14:val="tx1"/>
            </w14:solidFill>
          </w14:textFill>
        </w:rPr>
        <w:t>》</w:t>
      </w:r>
      <w:r>
        <w:rPr>
          <w:rFonts w:hint="eastAsia"/>
          <w:color w:val="auto"/>
          <w:sz w:val="28"/>
          <w:szCs w:val="28"/>
          <w:highlight w:val="none"/>
          <w:lang w:val="en-US" w:eastAsia="zh-CN"/>
        </w:rPr>
        <w:t>竞赛目录中的比赛项目认定为</w:t>
      </w:r>
      <w:r>
        <w:rPr>
          <w:rFonts w:hint="eastAsia"/>
          <w:color w:val="auto"/>
          <w:sz w:val="28"/>
          <w:szCs w:val="28"/>
          <w:highlight w:val="none"/>
        </w:rPr>
        <w:t>教育部教学指导委员会组织的</w:t>
      </w:r>
      <w:r>
        <w:rPr>
          <w:rFonts w:hint="eastAsia"/>
          <w:color w:val="auto"/>
          <w:sz w:val="28"/>
          <w:szCs w:val="28"/>
          <w:highlight w:val="none"/>
          <w:lang w:val="en-US" w:eastAsia="zh-CN"/>
        </w:rPr>
        <w:t>学科竞赛；</w:t>
      </w:r>
    </w:p>
    <w:p w14:paraId="4AF72526">
      <w:pPr>
        <w:spacing w:line="360" w:lineRule="auto"/>
        <w:ind w:firstLine="560" w:firstLineChars="200"/>
        <w:rPr>
          <w:rFonts w:hint="eastAsia"/>
          <w:color w:val="000000" w:themeColor="text1"/>
          <w:sz w:val="28"/>
          <w:szCs w:val="28"/>
          <w:highlight w:val="none"/>
          <w:lang w:val="en-US" w:eastAsia="zh-CN"/>
          <w14:textFill>
            <w14:solidFill>
              <w14:schemeClr w14:val="tx1"/>
            </w14:solidFill>
          </w14:textFill>
        </w:rPr>
      </w:pPr>
      <w:r>
        <w:rPr>
          <w:rFonts w:hint="eastAsia"/>
          <w:color w:val="auto"/>
          <w:sz w:val="28"/>
          <w:szCs w:val="28"/>
          <w:highlight w:val="none"/>
          <w:lang w:eastAsia="zh-CN"/>
        </w:rPr>
        <w:t>（</w:t>
      </w:r>
      <w:r>
        <w:rPr>
          <w:rFonts w:hint="eastAsia"/>
          <w:color w:val="auto"/>
          <w:sz w:val="28"/>
          <w:szCs w:val="28"/>
          <w:highlight w:val="none"/>
          <w:lang w:val="en-US" w:eastAsia="zh-CN"/>
        </w:rPr>
        <w:t>9</w:t>
      </w:r>
      <w:r>
        <w:rPr>
          <w:rFonts w:hint="eastAsia"/>
          <w:color w:val="auto"/>
          <w:sz w:val="28"/>
          <w:szCs w:val="28"/>
          <w:highlight w:val="none"/>
          <w:lang w:eastAsia="zh-CN"/>
        </w:rPr>
        <w:t>）“五育”综合评价积分</w:t>
      </w:r>
      <w:r>
        <w:rPr>
          <w:rFonts w:hint="eastAsia"/>
          <w:color w:val="auto"/>
          <w:sz w:val="28"/>
          <w:szCs w:val="28"/>
          <w:highlight w:val="none"/>
          <w:lang w:val="en-US" w:eastAsia="zh-CN"/>
        </w:rPr>
        <w:t>最终由西南大学创新创业学院2026届“吴宓班”“袁隆平班”推免工作</w:t>
      </w:r>
      <w:r>
        <w:rPr>
          <w:rFonts w:hint="eastAsia"/>
          <w:color w:val="000000" w:themeColor="text1"/>
          <w:sz w:val="28"/>
          <w:szCs w:val="28"/>
          <w:highlight w:val="none"/>
          <w:lang w:val="en-US" w:eastAsia="zh-CN"/>
          <w14:textFill>
            <w14:solidFill>
              <w14:schemeClr w14:val="tx1"/>
            </w14:solidFill>
          </w14:textFill>
        </w:rPr>
        <w:t>小组认定；</w:t>
      </w:r>
    </w:p>
    <w:p w14:paraId="5A2275A8">
      <w:pPr>
        <w:numPr>
          <w:ilvl w:val="0"/>
          <w:numId w:val="0"/>
        </w:numPr>
        <w:spacing w:line="360" w:lineRule="auto"/>
        <w:ind w:firstLine="560" w:firstLineChars="200"/>
        <w:rPr>
          <w:sz w:val="28"/>
          <w:szCs w:val="28"/>
          <w:highlight w:val="none"/>
        </w:rPr>
      </w:pPr>
      <w:r>
        <w:rPr>
          <w:rFonts w:hint="eastAsia"/>
          <w:sz w:val="28"/>
          <w:szCs w:val="28"/>
          <w:highlight w:val="none"/>
          <w:lang w:eastAsia="zh-CN"/>
        </w:rPr>
        <w:t>（</w:t>
      </w:r>
      <w:r>
        <w:rPr>
          <w:rFonts w:hint="eastAsia"/>
          <w:sz w:val="28"/>
          <w:szCs w:val="28"/>
          <w:highlight w:val="none"/>
          <w:lang w:val="en-US" w:eastAsia="zh-CN"/>
        </w:rPr>
        <w:t>10</w:t>
      </w:r>
      <w:r>
        <w:rPr>
          <w:rFonts w:hint="eastAsia"/>
          <w:sz w:val="28"/>
          <w:szCs w:val="28"/>
          <w:highlight w:val="none"/>
          <w:lang w:eastAsia="zh-CN"/>
        </w:rPr>
        <w:t>）</w:t>
      </w:r>
      <w:r>
        <w:rPr>
          <w:rFonts w:hint="eastAsia"/>
          <w:sz w:val="28"/>
          <w:szCs w:val="28"/>
          <w:highlight w:val="none"/>
        </w:rPr>
        <w:t>成果截止时间为2</w:t>
      </w:r>
      <w:r>
        <w:rPr>
          <w:sz w:val="28"/>
          <w:szCs w:val="28"/>
          <w:highlight w:val="none"/>
        </w:rPr>
        <w:t>02</w:t>
      </w:r>
      <w:r>
        <w:rPr>
          <w:rFonts w:hint="eastAsia"/>
          <w:sz w:val="28"/>
          <w:szCs w:val="28"/>
          <w:highlight w:val="none"/>
          <w:lang w:val="en-US" w:eastAsia="zh-CN"/>
        </w:rPr>
        <w:t>5</w:t>
      </w:r>
      <w:r>
        <w:rPr>
          <w:rFonts w:hint="eastAsia"/>
          <w:sz w:val="28"/>
          <w:szCs w:val="28"/>
          <w:highlight w:val="none"/>
        </w:rPr>
        <w:t>年8月31日。</w:t>
      </w:r>
    </w:p>
    <w:p w14:paraId="4F68B6F1">
      <w:pPr>
        <w:spacing w:line="360" w:lineRule="auto"/>
        <w:ind w:firstLine="562" w:firstLineChars="200"/>
        <w:rPr>
          <w:b/>
          <w:sz w:val="28"/>
          <w:szCs w:val="28"/>
          <w:highlight w:val="none"/>
        </w:rPr>
      </w:pPr>
      <w:r>
        <w:rPr>
          <w:rFonts w:hint="eastAsia"/>
          <w:b/>
          <w:sz w:val="28"/>
          <w:szCs w:val="28"/>
          <w:highlight w:val="none"/>
        </w:rPr>
        <w:t>四、补充说明</w:t>
      </w:r>
    </w:p>
    <w:p w14:paraId="0DA4118D">
      <w:pPr>
        <w:spacing w:line="360" w:lineRule="auto"/>
        <w:ind w:firstLine="560" w:firstLineChars="200"/>
        <w:rPr>
          <w:sz w:val="28"/>
          <w:szCs w:val="28"/>
          <w:highlight w:val="none"/>
        </w:rPr>
      </w:pPr>
      <w:r>
        <w:rPr>
          <w:rFonts w:hint="eastAsia"/>
          <w:sz w:val="28"/>
          <w:szCs w:val="28"/>
          <w:highlight w:val="none"/>
        </w:rPr>
        <w:t>（一）对在推免工程中弄虚作假，有论文（文章）抄袭、虚报获奖或科研成果等学术不端行为的学生，一经查实，即取消推免生资格，并报重庆市教育考试院按规定记入《国家教育考试考生诚信档案》，视情节暂停参加全国硕士研究生招生考试1至3年，并按学生管理规定严肃处理。</w:t>
      </w:r>
    </w:p>
    <w:p w14:paraId="675B1C28">
      <w:pPr>
        <w:spacing w:line="360" w:lineRule="auto"/>
        <w:ind w:firstLine="560" w:firstLineChars="200"/>
        <w:rPr>
          <w:sz w:val="28"/>
          <w:szCs w:val="28"/>
          <w:highlight w:val="none"/>
        </w:rPr>
      </w:pPr>
      <w:r>
        <w:rPr>
          <w:rFonts w:hint="eastAsia"/>
          <w:sz w:val="28"/>
          <w:szCs w:val="28"/>
          <w:highlight w:val="none"/>
        </w:rPr>
        <w:t>（二）学生对推免工作有意见、建议或申诉、举报，应先向本届“吴宓班”“袁隆平班”推免工作小组实名书面反映。学生对学院的处理意见不服，可向学校推免工作领导小组实名书面反映，学校推免工作领导小组同时为该项工作申诉受理机构。</w:t>
      </w:r>
    </w:p>
    <w:p w14:paraId="5FF33853">
      <w:pPr>
        <w:spacing w:line="360" w:lineRule="auto"/>
        <w:ind w:firstLine="560" w:firstLineChars="200"/>
        <w:rPr>
          <w:rFonts w:hint="eastAsia"/>
          <w:sz w:val="28"/>
          <w:szCs w:val="28"/>
          <w:highlight w:val="none"/>
          <w:lang w:val="en-US" w:eastAsia="zh-CN"/>
        </w:rPr>
      </w:pPr>
      <w:r>
        <w:rPr>
          <w:rFonts w:hint="eastAsia"/>
          <w:sz w:val="28"/>
          <w:szCs w:val="28"/>
          <w:highlight w:val="none"/>
        </w:rPr>
        <w:t>（三）</w:t>
      </w:r>
      <w:bookmarkStart w:id="2" w:name="OLE_LINK1"/>
      <w:r>
        <w:rPr>
          <w:rFonts w:hint="eastAsia"/>
          <w:sz w:val="28"/>
          <w:szCs w:val="28"/>
          <w:highlight w:val="none"/>
          <w:lang w:val="en-US" w:eastAsia="zh-CN"/>
        </w:rPr>
        <w:t>推免工作小组成员按学院要求严格执行回避制度。</w:t>
      </w:r>
    </w:p>
    <w:bookmarkEnd w:id="2"/>
    <w:p w14:paraId="15BAE797">
      <w:pPr>
        <w:spacing w:line="360" w:lineRule="auto"/>
        <w:ind w:firstLine="560" w:firstLineChars="200"/>
        <w:rPr>
          <w:rFonts w:hint="default" w:eastAsiaTheme="minorEastAsia"/>
          <w:sz w:val="28"/>
          <w:szCs w:val="28"/>
          <w:highlight w:val="none"/>
          <w:lang w:val="en-US" w:eastAsia="zh-CN"/>
        </w:rPr>
      </w:pPr>
      <w:bookmarkStart w:id="3" w:name="OLE_LINK2"/>
      <w:r>
        <w:rPr>
          <w:rFonts w:hint="eastAsia"/>
          <w:sz w:val="28"/>
          <w:szCs w:val="28"/>
          <w:highlight w:val="none"/>
          <w:lang w:eastAsia="zh-CN"/>
        </w:rPr>
        <w:t>（</w:t>
      </w:r>
      <w:r>
        <w:rPr>
          <w:rFonts w:hint="eastAsia"/>
          <w:sz w:val="28"/>
          <w:szCs w:val="28"/>
          <w:highlight w:val="none"/>
          <w:lang w:val="en-US" w:eastAsia="zh-CN"/>
        </w:rPr>
        <w:t>四</w:t>
      </w:r>
      <w:r>
        <w:rPr>
          <w:rFonts w:hint="eastAsia"/>
          <w:sz w:val="28"/>
          <w:szCs w:val="28"/>
          <w:highlight w:val="none"/>
          <w:lang w:eastAsia="zh-CN"/>
        </w:rPr>
        <w:t>）</w:t>
      </w:r>
      <w:r>
        <w:rPr>
          <w:rFonts w:hint="eastAsia"/>
          <w:sz w:val="28"/>
          <w:szCs w:val="28"/>
          <w:highlight w:val="none"/>
        </w:rPr>
        <w:t>本方案适用于202</w:t>
      </w:r>
      <w:r>
        <w:rPr>
          <w:rFonts w:hint="eastAsia"/>
          <w:sz w:val="28"/>
          <w:szCs w:val="28"/>
          <w:highlight w:val="none"/>
          <w:lang w:val="en-US" w:eastAsia="zh-CN"/>
        </w:rPr>
        <w:t>2</w:t>
      </w:r>
      <w:r>
        <w:rPr>
          <w:rFonts w:hint="eastAsia"/>
          <w:sz w:val="28"/>
          <w:szCs w:val="28"/>
          <w:highlight w:val="none"/>
        </w:rPr>
        <w:t>级及以后学生。</w:t>
      </w:r>
    </w:p>
    <w:bookmarkEnd w:id="3"/>
    <w:p w14:paraId="3BC9D5F1">
      <w:pPr>
        <w:spacing w:line="360" w:lineRule="auto"/>
        <w:ind w:firstLine="560" w:firstLineChars="200"/>
        <w:rPr>
          <w:sz w:val="28"/>
          <w:szCs w:val="28"/>
          <w:highlight w:val="none"/>
        </w:rPr>
      </w:pPr>
      <w:r>
        <w:rPr>
          <w:rFonts w:hint="eastAsia"/>
          <w:sz w:val="28"/>
          <w:szCs w:val="28"/>
          <w:highlight w:val="none"/>
        </w:rPr>
        <w:t>（</w:t>
      </w:r>
      <w:r>
        <w:rPr>
          <w:rFonts w:hint="eastAsia"/>
          <w:sz w:val="28"/>
          <w:szCs w:val="28"/>
          <w:highlight w:val="none"/>
          <w:lang w:val="en-US" w:eastAsia="zh-CN"/>
        </w:rPr>
        <w:t>五</w:t>
      </w:r>
      <w:r>
        <w:rPr>
          <w:rFonts w:hint="eastAsia"/>
          <w:sz w:val="28"/>
          <w:szCs w:val="28"/>
          <w:highlight w:val="none"/>
        </w:rPr>
        <w:t>）本方案由创新创业学院</w:t>
      </w:r>
      <w:r>
        <w:rPr>
          <w:rFonts w:hint="eastAsia"/>
          <w:sz w:val="28"/>
          <w:szCs w:val="28"/>
          <w:highlight w:val="none"/>
          <w:lang w:eastAsia="zh-CN"/>
        </w:rPr>
        <w:t>（</w:t>
      </w:r>
      <w:r>
        <w:rPr>
          <w:rFonts w:hint="eastAsia"/>
          <w:sz w:val="28"/>
          <w:szCs w:val="28"/>
          <w:highlight w:val="none"/>
        </w:rPr>
        <w:t>含弘学院</w:t>
      </w:r>
      <w:r>
        <w:rPr>
          <w:rFonts w:hint="eastAsia"/>
          <w:sz w:val="28"/>
          <w:szCs w:val="28"/>
          <w:highlight w:val="none"/>
          <w:lang w:eastAsia="zh-CN"/>
        </w:rPr>
        <w:t>、</w:t>
      </w:r>
      <w:r>
        <w:rPr>
          <w:rFonts w:hint="eastAsia"/>
          <w:sz w:val="28"/>
          <w:szCs w:val="28"/>
          <w:highlight w:val="none"/>
          <w:lang w:val="en-US" w:eastAsia="zh-CN"/>
        </w:rPr>
        <w:t>智慧农业学院</w:t>
      </w:r>
      <w:r>
        <w:rPr>
          <w:rFonts w:hint="eastAsia"/>
          <w:sz w:val="28"/>
          <w:szCs w:val="28"/>
          <w:highlight w:val="none"/>
          <w:lang w:eastAsia="zh-CN"/>
        </w:rPr>
        <w:t>）</w:t>
      </w:r>
      <w:r>
        <w:rPr>
          <w:rFonts w:hint="eastAsia"/>
          <w:sz w:val="28"/>
          <w:szCs w:val="28"/>
          <w:highlight w:val="none"/>
        </w:rPr>
        <w:t>负责解释。</w:t>
      </w:r>
    </w:p>
    <w:p w14:paraId="37C98C18">
      <w:pPr>
        <w:spacing w:line="360" w:lineRule="auto"/>
        <w:ind w:firstLine="560" w:firstLineChars="200"/>
        <w:rPr>
          <w:sz w:val="28"/>
          <w:szCs w:val="28"/>
          <w:highlight w:val="none"/>
        </w:rPr>
      </w:pPr>
    </w:p>
    <w:p w14:paraId="0134614C">
      <w:pPr>
        <w:spacing w:line="360" w:lineRule="auto"/>
        <w:ind w:firstLine="2800" w:firstLineChars="1000"/>
        <w:rPr>
          <w:sz w:val="28"/>
          <w:szCs w:val="28"/>
          <w:highlight w:val="none"/>
        </w:rPr>
      </w:pPr>
      <w:r>
        <w:rPr>
          <w:rFonts w:hint="eastAsia"/>
          <w:sz w:val="28"/>
          <w:szCs w:val="28"/>
          <w:highlight w:val="none"/>
        </w:rPr>
        <w:t>创新创业学院</w:t>
      </w:r>
      <w:r>
        <w:rPr>
          <w:rFonts w:hint="eastAsia"/>
          <w:sz w:val="28"/>
          <w:szCs w:val="28"/>
          <w:highlight w:val="none"/>
          <w:lang w:eastAsia="zh-CN"/>
        </w:rPr>
        <w:t>（</w:t>
      </w:r>
      <w:r>
        <w:rPr>
          <w:rFonts w:hint="eastAsia"/>
          <w:sz w:val="28"/>
          <w:szCs w:val="28"/>
          <w:highlight w:val="none"/>
        </w:rPr>
        <w:t>含弘学院</w:t>
      </w:r>
      <w:r>
        <w:rPr>
          <w:rFonts w:hint="eastAsia"/>
          <w:sz w:val="28"/>
          <w:szCs w:val="28"/>
          <w:highlight w:val="none"/>
          <w:lang w:eastAsia="zh-CN"/>
        </w:rPr>
        <w:t>、</w:t>
      </w:r>
      <w:r>
        <w:rPr>
          <w:rFonts w:hint="eastAsia"/>
          <w:sz w:val="28"/>
          <w:szCs w:val="28"/>
          <w:highlight w:val="none"/>
          <w:lang w:val="en-US" w:eastAsia="zh-CN"/>
        </w:rPr>
        <w:t>智慧农业学院</w:t>
      </w:r>
      <w:r>
        <w:rPr>
          <w:rFonts w:hint="eastAsia"/>
          <w:sz w:val="28"/>
          <w:szCs w:val="28"/>
          <w:highlight w:val="none"/>
          <w:lang w:eastAsia="zh-CN"/>
        </w:rPr>
        <w:t>）</w:t>
      </w:r>
    </w:p>
    <w:p w14:paraId="5E999875">
      <w:pPr>
        <w:spacing w:line="360" w:lineRule="auto"/>
        <w:ind w:firstLine="560" w:firstLineChars="200"/>
        <w:rPr>
          <w:sz w:val="28"/>
          <w:szCs w:val="28"/>
          <w:highlight w:val="none"/>
        </w:rPr>
      </w:pPr>
      <w:r>
        <w:rPr>
          <w:rFonts w:hint="eastAsia"/>
          <w:sz w:val="28"/>
          <w:szCs w:val="28"/>
          <w:highlight w:val="none"/>
        </w:rPr>
        <w:t xml:space="preserve">                                </w:t>
      </w:r>
    </w:p>
    <w:p w14:paraId="261036FF">
      <w:pPr>
        <w:spacing w:line="360" w:lineRule="auto"/>
        <w:ind w:firstLine="560" w:firstLineChars="200"/>
        <w:rPr>
          <w:sz w:val="28"/>
          <w:szCs w:val="28"/>
          <w:highlight w:val="none"/>
        </w:rPr>
      </w:pPr>
    </w:p>
    <w:p w14:paraId="1D9F249A">
      <w:pPr>
        <w:pStyle w:val="22"/>
        <w:numPr>
          <w:ilvl w:val="0"/>
          <w:numId w:val="0"/>
        </w:numPr>
        <w:spacing w:line="360" w:lineRule="auto"/>
        <w:ind w:left="560" w:leftChars="0"/>
        <w:rPr>
          <w:rFonts w:hint="eastAsia"/>
          <w:color w:val="4F81BD" w:themeColor="accent1"/>
          <w:sz w:val="28"/>
          <w:szCs w:val="28"/>
          <w:highlight w:val="none"/>
          <w14:textFill>
            <w14:solidFill>
              <w14:schemeClr w14:val="accent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XBS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ZFSK--GBK1-0">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905D2"/>
    <w:multiLevelType w:val="singleLevel"/>
    <w:tmpl w:val="CCB905D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wNTkyYTEzOTliMjM0Njk3MDE3MzgzMzk4MzI5ODQifQ=="/>
  </w:docVars>
  <w:rsids>
    <w:rsidRoot w:val="00612F32"/>
    <w:rsid w:val="00000A33"/>
    <w:rsid w:val="00035A99"/>
    <w:rsid w:val="00050923"/>
    <w:rsid w:val="0006026C"/>
    <w:rsid w:val="00080735"/>
    <w:rsid w:val="00097931"/>
    <w:rsid w:val="000A77A1"/>
    <w:rsid w:val="000C6027"/>
    <w:rsid w:val="000C6F7A"/>
    <w:rsid w:val="000D56D6"/>
    <w:rsid w:val="001230A6"/>
    <w:rsid w:val="001254ED"/>
    <w:rsid w:val="00133B38"/>
    <w:rsid w:val="001412B6"/>
    <w:rsid w:val="0015093E"/>
    <w:rsid w:val="00163A63"/>
    <w:rsid w:val="00166FF3"/>
    <w:rsid w:val="00186247"/>
    <w:rsid w:val="00193878"/>
    <w:rsid w:val="001B7561"/>
    <w:rsid w:val="001E0895"/>
    <w:rsid w:val="001E4C04"/>
    <w:rsid w:val="00205C56"/>
    <w:rsid w:val="00214FB5"/>
    <w:rsid w:val="00217CF6"/>
    <w:rsid w:val="002307FA"/>
    <w:rsid w:val="00246CDA"/>
    <w:rsid w:val="00255D34"/>
    <w:rsid w:val="002A2936"/>
    <w:rsid w:val="002B2EBA"/>
    <w:rsid w:val="002D0428"/>
    <w:rsid w:val="002F6994"/>
    <w:rsid w:val="00304A23"/>
    <w:rsid w:val="00323261"/>
    <w:rsid w:val="003353E3"/>
    <w:rsid w:val="00344AC7"/>
    <w:rsid w:val="003673B0"/>
    <w:rsid w:val="003867DE"/>
    <w:rsid w:val="00390AC1"/>
    <w:rsid w:val="003F2D20"/>
    <w:rsid w:val="003F39C4"/>
    <w:rsid w:val="00432BB7"/>
    <w:rsid w:val="004445F2"/>
    <w:rsid w:val="004464B5"/>
    <w:rsid w:val="00454527"/>
    <w:rsid w:val="004664B7"/>
    <w:rsid w:val="00466ACD"/>
    <w:rsid w:val="0047208D"/>
    <w:rsid w:val="004818A9"/>
    <w:rsid w:val="004B1D4D"/>
    <w:rsid w:val="004F7A03"/>
    <w:rsid w:val="00513AFB"/>
    <w:rsid w:val="00525BEE"/>
    <w:rsid w:val="00546EB3"/>
    <w:rsid w:val="00564120"/>
    <w:rsid w:val="005C5DC7"/>
    <w:rsid w:val="005D71C0"/>
    <w:rsid w:val="005F39AF"/>
    <w:rsid w:val="005F6007"/>
    <w:rsid w:val="006040F2"/>
    <w:rsid w:val="00607845"/>
    <w:rsid w:val="00612F32"/>
    <w:rsid w:val="00612F77"/>
    <w:rsid w:val="006204E2"/>
    <w:rsid w:val="00621A7F"/>
    <w:rsid w:val="0064042F"/>
    <w:rsid w:val="00653012"/>
    <w:rsid w:val="006A471D"/>
    <w:rsid w:val="006B0127"/>
    <w:rsid w:val="006D399F"/>
    <w:rsid w:val="006E5D17"/>
    <w:rsid w:val="006F6A07"/>
    <w:rsid w:val="00712DC3"/>
    <w:rsid w:val="00751DE2"/>
    <w:rsid w:val="00766800"/>
    <w:rsid w:val="00770CA5"/>
    <w:rsid w:val="00773AB4"/>
    <w:rsid w:val="00777676"/>
    <w:rsid w:val="007A5CED"/>
    <w:rsid w:val="007A6F32"/>
    <w:rsid w:val="007C13AD"/>
    <w:rsid w:val="007E2179"/>
    <w:rsid w:val="007E3B41"/>
    <w:rsid w:val="007F751D"/>
    <w:rsid w:val="00811971"/>
    <w:rsid w:val="00811FC4"/>
    <w:rsid w:val="00812D15"/>
    <w:rsid w:val="00827849"/>
    <w:rsid w:val="00855F06"/>
    <w:rsid w:val="00857957"/>
    <w:rsid w:val="00860841"/>
    <w:rsid w:val="008A462E"/>
    <w:rsid w:val="008A4E84"/>
    <w:rsid w:val="008C0398"/>
    <w:rsid w:val="008C542E"/>
    <w:rsid w:val="008C7F7C"/>
    <w:rsid w:val="00902E29"/>
    <w:rsid w:val="00913F9C"/>
    <w:rsid w:val="00934DBB"/>
    <w:rsid w:val="00945FFB"/>
    <w:rsid w:val="00953CEC"/>
    <w:rsid w:val="00981633"/>
    <w:rsid w:val="0098715E"/>
    <w:rsid w:val="009A214E"/>
    <w:rsid w:val="009A6883"/>
    <w:rsid w:val="009C6D55"/>
    <w:rsid w:val="009E052F"/>
    <w:rsid w:val="00A16EA5"/>
    <w:rsid w:val="00A17600"/>
    <w:rsid w:val="00A2653B"/>
    <w:rsid w:val="00A26A17"/>
    <w:rsid w:val="00A344BF"/>
    <w:rsid w:val="00A5200A"/>
    <w:rsid w:val="00A56996"/>
    <w:rsid w:val="00A61D11"/>
    <w:rsid w:val="00A65525"/>
    <w:rsid w:val="00A81B0C"/>
    <w:rsid w:val="00A839EC"/>
    <w:rsid w:val="00AC4498"/>
    <w:rsid w:val="00AD4C0D"/>
    <w:rsid w:val="00AF1AF5"/>
    <w:rsid w:val="00B041BF"/>
    <w:rsid w:val="00B16959"/>
    <w:rsid w:val="00B26588"/>
    <w:rsid w:val="00B301B0"/>
    <w:rsid w:val="00B43716"/>
    <w:rsid w:val="00B4397F"/>
    <w:rsid w:val="00B51028"/>
    <w:rsid w:val="00B92D37"/>
    <w:rsid w:val="00BB0331"/>
    <w:rsid w:val="00BC46F2"/>
    <w:rsid w:val="00BD508C"/>
    <w:rsid w:val="00C13249"/>
    <w:rsid w:val="00C169FB"/>
    <w:rsid w:val="00C305E9"/>
    <w:rsid w:val="00C515A7"/>
    <w:rsid w:val="00C522FA"/>
    <w:rsid w:val="00C570BC"/>
    <w:rsid w:val="00C60BBA"/>
    <w:rsid w:val="00C62503"/>
    <w:rsid w:val="00C70AB6"/>
    <w:rsid w:val="00CD33EA"/>
    <w:rsid w:val="00CD6F46"/>
    <w:rsid w:val="00CE26AB"/>
    <w:rsid w:val="00D0390F"/>
    <w:rsid w:val="00D5633D"/>
    <w:rsid w:val="00D57DD8"/>
    <w:rsid w:val="00D67F3A"/>
    <w:rsid w:val="00D82C34"/>
    <w:rsid w:val="00D83412"/>
    <w:rsid w:val="00D85B2B"/>
    <w:rsid w:val="00D943E6"/>
    <w:rsid w:val="00D975D5"/>
    <w:rsid w:val="00DB2702"/>
    <w:rsid w:val="00DB3610"/>
    <w:rsid w:val="00DC0A03"/>
    <w:rsid w:val="00DC2184"/>
    <w:rsid w:val="00DE561F"/>
    <w:rsid w:val="00DF635A"/>
    <w:rsid w:val="00E02286"/>
    <w:rsid w:val="00E060CA"/>
    <w:rsid w:val="00E165B9"/>
    <w:rsid w:val="00E22394"/>
    <w:rsid w:val="00E36EBF"/>
    <w:rsid w:val="00E5375F"/>
    <w:rsid w:val="00E80C18"/>
    <w:rsid w:val="00E90731"/>
    <w:rsid w:val="00ED6FE6"/>
    <w:rsid w:val="00EE22C0"/>
    <w:rsid w:val="00EE2B61"/>
    <w:rsid w:val="00F05514"/>
    <w:rsid w:val="00F06CCF"/>
    <w:rsid w:val="00F07BF9"/>
    <w:rsid w:val="00F10AF0"/>
    <w:rsid w:val="00F22A2C"/>
    <w:rsid w:val="00F617C5"/>
    <w:rsid w:val="00F85367"/>
    <w:rsid w:val="00F85BD0"/>
    <w:rsid w:val="00F87A8A"/>
    <w:rsid w:val="00FB5E6E"/>
    <w:rsid w:val="00FD7A06"/>
    <w:rsid w:val="00FF3CE1"/>
    <w:rsid w:val="00FF5EFB"/>
    <w:rsid w:val="00FF7CAF"/>
    <w:rsid w:val="011B6265"/>
    <w:rsid w:val="050101EC"/>
    <w:rsid w:val="05242FC4"/>
    <w:rsid w:val="08AE6343"/>
    <w:rsid w:val="19251B57"/>
    <w:rsid w:val="1A656979"/>
    <w:rsid w:val="1A7B2A77"/>
    <w:rsid w:val="1E9A7306"/>
    <w:rsid w:val="1FD62023"/>
    <w:rsid w:val="232913EE"/>
    <w:rsid w:val="259778D4"/>
    <w:rsid w:val="2AD47036"/>
    <w:rsid w:val="341706E9"/>
    <w:rsid w:val="3AE36A0C"/>
    <w:rsid w:val="3B3F22E7"/>
    <w:rsid w:val="40673ADC"/>
    <w:rsid w:val="40957A9A"/>
    <w:rsid w:val="429737D0"/>
    <w:rsid w:val="461E2543"/>
    <w:rsid w:val="4DDE4522"/>
    <w:rsid w:val="503374E3"/>
    <w:rsid w:val="518473C2"/>
    <w:rsid w:val="5234618C"/>
    <w:rsid w:val="52B80DDE"/>
    <w:rsid w:val="53E54127"/>
    <w:rsid w:val="5AAB04CF"/>
    <w:rsid w:val="5DE2273C"/>
    <w:rsid w:val="5F466A10"/>
    <w:rsid w:val="604C3EA7"/>
    <w:rsid w:val="606873E3"/>
    <w:rsid w:val="6121673F"/>
    <w:rsid w:val="62396DE9"/>
    <w:rsid w:val="62F73B7C"/>
    <w:rsid w:val="675C23DD"/>
    <w:rsid w:val="68414386"/>
    <w:rsid w:val="6C5656EB"/>
    <w:rsid w:val="71286D1D"/>
    <w:rsid w:val="716658FA"/>
    <w:rsid w:val="722F2719"/>
    <w:rsid w:val="72D141D8"/>
    <w:rsid w:val="72E312C7"/>
    <w:rsid w:val="73A21238"/>
    <w:rsid w:val="78314606"/>
    <w:rsid w:val="7D172ED8"/>
    <w:rsid w:val="7D220E1E"/>
    <w:rsid w:val="7EAF6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21"/>
    <w:autoRedefine/>
    <w:semiHidden/>
    <w:unhideWhenUsed/>
    <w:qFormat/>
    <w:uiPriority w:val="99"/>
    <w:pPr>
      <w:ind w:left="100" w:leftChars="2500"/>
    </w:pPr>
  </w:style>
  <w:style w:type="paragraph" w:styleId="3">
    <w:name w:val="Balloon Text"/>
    <w:basedOn w:val="1"/>
    <w:link w:val="20"/>
    <w:autoRedefine/>
    <w:semiHidden/>
    <w:unhideWhenUsed/>
    <w:qFormat/>
    <w:uiPriority w:val="99"/>
    <w:rPr>
      <w:sz w:val="18"/>
      <w:szCs w:val="18"/>
    </w:rPr>
  </w:style>
  <w:style w:type="paragraph" w:styleId="4">
    <w:name w:val="footer"/>
    <w:basedOn w:val="1"/>
    <w:link w:val="19"/>
    <w:autoRedefine/>
    <w:unhideWhenUsed/>
    <w:qFormat/>
    <w:uiPriority w:val="99"/>
    <w:pPr>
      <w:tabs>
        <w:tab w:val="center" w:pos="4153"/>
        <w:tab w:val="right" w:pos="8306"/>
      </w:tabs>
      <w:snapToGrid w:val="0"/>
      <w:jc w:val="left"/>
    </w:pPr>
    <w:rPr>
      <w:sz w:val="18"/>
      <w:szCs w:val="18"/>
    </w:rPr>
  </w:style>
  <w:style w:type="paragraph" w:styleId="5">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jc w:val="left"/>
    </w:pPr>
    <w:rPr>
      <w:rFonts w:cs="Times New Roman"/>
      <w:kern w:val="0"/>
      <w:sz w:val="24"/>
    </w:rPr>
  </w:style>
  <w:style w:type="character" w:styleId="9">
    <w:name w:val="FollowedHyperlink"/>
    <w:basedOn w:val="8"/>
    <w:autoRedefine/>
    <w:semiHidden/>
    <w:unhideWhenUsed/>
    <w:qFormat/>
    <w:uiPriority w:val="99"/>
    <w:rPr>
      <w:color w:val="000000"/>
      <w:u w:val="none"/>
    </w:rPr>
  </w:style>
  <w:style w:type="character" w:styleId="10">
    <w:name w:val="Emphasis"/>
    <w:basedOn w:val="8"/>
    <w:autoRedefine/>
    <w:qFormat/>
    <w:uiPriority w:val="20"/>
  </w:style>
  <w:style w:type="character" w:styleId="11">
    <w:name w:val="HTML Definition"/>
    <w:basedOn w:val="8"/>
    <w:autoRedefine/>
    <w:semiHidden/>
    <w:unhideWhenUsed/>
    <w:qFormat/>
    <w:uiPriority w:val="99"/>
  </w:style>
  <w:style w:type="character" w:styleId="12">
    <w:name w:val="HTML Variable"/>
    <w:basedOn w:val="8"/>
    <w:autoRedefine/>
    <w:semiHidden/>
    <w:unhideWhenUsed/>
    <w:qFormat/>
    <w:uiPriority w:val="99"/>
  </w:style>
  <w:style w:type="character" w:styleId="13">
    <w:name w:val="Hyperlink"/>
    <w:basedOn w:val="8"/>
    <w:autoRedefine/>
    <w:semiHidden/>
    <w:unhideWhenUsed/>
    <w:qFormat/>
    <w:uiPriority w:val="99"/>
    <w:rPr>
      <w:color w:val="000000"/>
      <w:u w:val="none"/>
    </w:rPr>
  </w:style>
  <w:style w:type="character" w:styleId="14">
    <w:name w:val="HTML Code"/>
    <w:basedOn w:val="8"/>
    <w:autoRedefine/>
    <w:semiHidden/>
    <w:unhideWhenUsed/>
    <w:qFormat/>
    <w:uiPriority w:val="99"/>
    <w:rPr>
      <w:rFonts w:hint="default" w:ascii="Courier New" w:hAnsi="Courier New" w:eastAsia="Courier New" w:cs="Courier New"/>
      <w:sz w:val="20"/>
    </w:rPr>
  </w:style>
  <w:style w:type="character" w:styleId="15">
    <w:name w:val="HTML Cite"/>
    <w:basedOn w:val="8"/>
    <w:autoRedefine/>
    <w:semiHidden/>
    <w:unhideWhenUsed/>
    <w:qFormat/>
    <w:uiPriority w:val="99"/>
  </w:style>
  <w:style w:type="character" w:styleId="16">
    <w:name w:val="HTML Keyboard"/>
    <w:basedOn w:val="8"/>
    <w:autoRedefine/>
    <w:semiHidden/>
    <w:unhideWhenUsed/>
    <w:qFormat/>
    <w:uiPriority w:val="99"/>
    <w:rPr>
      <w:rFonts w:ascii="Courier New" w:hAnsi="Courier New" w:eastAsia="Courier New" w:cs="Courier New"/>
      <w:sz w:val="20"/>
    </w:rPr>
  </w:style>
  <w:style w:type="character" w:styleId="17">
    <w:name w:val="HTML Sample"/>
    <w:basedOn w:val="8"/>
    <w:autoRedefine/>
    <w:semiHidden/>
    <w:unhideWhenUsed/>
    <w:qFormat/>
    <w:uiPriority w:val="99"/>
    <w:rPr>
      <w:rFonts w:hint="default" w:ascii="Courier New" w:hAnsi="Courier New" w:eastAsia="Courier New" w:cs="Courier New"/>
    </w:rPr>
  </w:style>
  <w:style w:type="character" w:customStyle="1" w:styleId="18">
    <w:name w:val="页眉 字符"/>
    <w:basedOn w:val="8"/>
    <w:link w:val="5"/>
    <w:autoRedefine/>
    <w:qFormat/>
    <w:uiPriority w:val="99"/>
    <w:rPr>
      <w:sz w:val="18"/>
      <w:szCs w:val="18"/>
    </w:rPr>
  </w:style>
  <w:style w:type="character" w:customStyle="1" w:styleId="19">
    <w:name w:val="页脚 字符"/>
    <w:basedOn w:val="8"/>
    <w:link w:val="4"/>
    <w:autoRedefine/>
    <w:qFormat/>
    <w:uiPriority w:val="99"/>
    <w:rPr>
      <w:sz w:val="18"/>
      <w:szCs w:val="18"/>
    </w:rPr>
  </w:style>
  <w:style w:type="character" w:customStyle="1" w:styleId="20">
    <w:name w:val="批注框文本 字符"/>
    <w:basedOn w:val="8"/>
    <w:link w:val="3"/>
    <w:autoRedefine/>
    <w:semiHidden/>
    <w:qFormat/>
    <w:uiPriority w:val="99"/>
    <w:rPr>
      <w:rFonts w:asciiTheme="minorHAnsi" w:hAnsiTheme="minorHAnsi" w:eastAsiaTheme="minorEastAsia" w:cstheme="minorBidi"/>
      <w:kern w:val="2"/>
      <w:sz w:val="18"/>
      <w:szCs w:val="18"/>
    </w:rPr>
  </w:style>
  <w:style w:type="character" w:customStyle="1" w:styleId="21">
    <w:name w:val="日期 字符"/>
    <w:basedOn w:val="8"/>
    <w:link w:val="2"/>
    <w:autoRedefine/>
    <w:semiHidden/>
    <w:qFormat/>
    <w:uiPriority w:val="99"/>
    <w:rPr>
      <w:rFonts w:asciiTheme="minorHAnsi" w:hAnsiTheme="minorHAnsi" w:eastAsiaTheme="minorEastAsia" w:cstheme="minorBidi"/>
      <w:kern w:val="2"/>
      <w:sz w:val="21"/>
      <w:szCs w:val="22"/>
    </w:rPr>
  </w:style>
  <w:style w:type="paragraph" w:styleId="22">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3347</Words>
  <Characters>3487</Characters>
  <Lines>31</Lines>
  <Paragraphs>8</Paragraphs>
  <TotalTime>9</TotalTime>
  <ScaleCrop>false</ScaleCrop>
  <LinksUpToDate>false</LinksUpToDate>
  <CharactersWithSpaces>3547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2021-09-10T11:13:00Z</dcterms:created>
  <dc:creator>lenovo-pc</dc:creator>
  <cp:lastModifiedBy>陈争妍</cp:lastModifiedBy>
  <cp:lastPrinted>2022-09-13T11:44:00Z</cp:lastPrinted>
  <dcterms:modified xsi:type="dcterms:W3CDTF">2025-08-28T09:40:49Z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54A42DBAAB244BF6A19F926D5C007976_13</vt:lpwstr>
  </property>
  <property fmtid="{D5CDD505-2E9C-101B-9397-08002B2CF9AE}" pid="4" name="KSOTemplateDocerSaveRecord">
    <vt:lpwstr>eyJoZGlkIjoiMTUwNTkyYTEzOTliMjM0Njk3MDE3MzgzMzk4MzI5ODQiLCJ1c2VySWQiOiI1NDczMzMxMzcifQ==</vt:lpwstr>
  </property>
</Properties>
</file>