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EFFBB8">
      <w:pPr>
        <w:spacing w:line="360" w:lineRule="auto"/>
        <w:jc w:val="center"/>
        <w:rPr>
          <w:rFonts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32"/>
          <w:szCs w:val="32"/>
          <w:lang w:eastAsia="zh-CN"/>
        </w:rPr>
        <w:t>信息与控制工程学院本科生转专业实施办法(2</w:t>
      </w:r>
      <w:r>
        <w:rPr>
          <w:rFonts w:ascii="方正小标宋简体" w:hAnsi="方正小标宋简体" w:eastAsia="方正小标宋简体" w:cs="方正小标宋简体"/>
          <w:sz w:val="32"/>
          <w:szCs w:val="32"/>
          <w:lang w:eastAsia="zh-CN"/>
        </w:rPr>
        <w:t>026</w:t>
      </w:r>
      <w:r>
        <w:rPr>
          <w:rFonts w:hint="eastAsia" w:ascii="方正小标宋简体" w:hAnsi="方正小标宋简体" w:eastAsia="方正小标宋简体" w:cs="方正小标宋简体"/>
          <w:sz w:val="32"/>
          <w:szCs w:val="32"/>
          <w:lang w:eastAsia="zh-CN"/>
        </w:rPr>
        <w:t>年修订)</w:t>
      </w:r>
    </w:p>
    <w:p w14:paraId="7A98BFF2">
      <w:pPr>
        <w:spacing w:before="8" w:line="360" w:lineRule="auto"/>
        <w:rPr>
          <w:rFonts w:ascii="方正小标宋简体" w:hAnsi="方正小标宋简体" w:eastAsia="方正小标宋简体" w:cs="方正小标宋简体"/>
          <w:sz w:val="24"/>
          <w:szCs w:val="24"/>
          <w:lang w:eastAsia="zh-CN"/>
        </w:rPr>
      </w:pPr>
    </w:p>
    <w:p w14:paraId="51089BBA">
      <w:pPr>
        <w:pStyle w:val="3"/>
        <w:spacing w:before="0" w:line="360" w:lineRule="auto"/>
        <w:ind w:left="0" w:firstLine="560" w:firstLineChars="200"/>
        <w:jc w:val="both"/>
        <w:rPr>
          <w:lang w:eastAsia="zh-CN"/>
        </w:rPr>
      </w:pPr>
      <w:r>
        <w:rPr>
          <w:lang w:eastAsia="zh-CN"/>
        </w:rPr>
        <w:t>为了贯彻学校人才培养的方针政策，切实保证学生的利益，同时保证本科教学工作的正常进行，经</w:t>
      </w:r>
      <w:r>
        <w:rPr>
          <w:rFonts w:hint="eastAsia"/>
          <w:lang w:eastAsia="zh-CN"/>
        </w:rPr>
        <w:t>研究</w:t>
      </w:r>
      <w:r>
        <w:rPr>
          <w:lang w:eastAsia="zh-CN"/>
        </w:rPr>
        <w:t>讨论，</w:t>
      </w:r>
      <w:r>
        <w:rPr>
          <w:rFonts w:hint="eastAsia"/>
          <w:lang w:eastAsia="zh-CN"/>
        </w:rPr>
        <w:t>制定</w:t>
      </w:r>
      <w:r>
        <w:rPr>
          <w:lang w:eastAsia="zh-CN"/>
        </w:rPr>
        <w:t>了</w:t>
      </w:r>
      <w:r>
        <w:rPr>
          <w:rFonts w:hint="eastAsia"/>
          <w:lang w:eastAsia="zh-CN"/>
        </w:rPr>
        <w:t>信息与控制工程</w:t>
      </w:r>
      <w:r>
        <w:rPr>
          <w:lang w:eastAsia="zh-CN"/>
        </w:rPr>
        <w:t>学院的本科生转专业实施办法，具体如下：</w:t>
      </w:r>
    </w:p>
    <w:p w14:paraId="524B0F4D">
      <w:pPr>
        <w:spacing w:before="64" w:line="360" w:lineRule="auto"/>
        <w:jc w:val="both"/>
        <w:rPr>
          <w:rFonts w:ascii="黑体" w:hAnsi="黑体" w:eastAsia="黑体" w:cs="Microsoft JhengHei"/>
          <w:b/>
          <w:bCs/>
          <w:spacing w:val="-63"/>
          <w:sz w:val="28"/>
          <w:szCs w:val="28"/>
          <w:lang w:eastAsia="zh-CN"/>
        </w:rPr>
      </w:pPr>
      <w:r>
        <w:rPr>
          <w:rFonts w:ascii="黑体" w:hAnsi="黑体" w:eastAsia="黑体" w:cs="Microsoft JhengHei"/>
          <w:b/>
          <w:bCs/>
          <w:sz w:val="28"/>
          <w:szCs w:val="28"/>
          <w:lang w:eastAsia="zh-CN"/>
        </w:rPr>
        <w:t>一</w:t>
      </w:r>
      <w:r>
        <w:rPr>
          <w:rFonts w:hint="eastAsia" w:ascii="黑体" w:hAnsi="黑体" w:eastAsia="黑体" w:cs="Microsoft JhengHei"/>
          <w:b/>
          <w:bCs/>
          <w:sz w:val="28"/>
          <w:szCs w:val="28"/>
          <w:lang w:eastAsia="zh-CN"/>
        </w:rPr>
        <w:t>、</w:t>
      </w:r>
      <w:r>
        <w:rPr>
          <w:rFonts w:ascii="黑体" w:hAnsi="黑体" w:eastAsia="黑体" w:cs="Microsoft JhengHei"/>
          <w:b/>
          <w:bCs/>
          <w:sz w:val="28"/>
          <w:szCs w:val="28"/>
          <w:lang w:eastAsia="zh-CN"/>
        </w:rPr>
        <w:t>转专业领导小组和监督申诉小组</w:t>
      </w:r>
      <w:r>
        <w:rPr>
          <w:rFonts w:ascii="黑体" w:hAnsi="黑体" w:eastAsia="黑体" w:cs="Microsoft JhengHei"/>
          <w:b/>
          <w:bCs/>
          <w:spacing w:val="-63"/>
          <w:sz w:val="28"/>
          <w:szCs w:val="28"/>
          <w:lang w:eastAsia="zh-CN"/>
        </w:rPr>
        <w:t xml:space="preserve"> </w:t>
      </w:r>
    </w:p>
    <w:p w14:paraId="2496E9EC">
      <w:pPr>
        <w:spacing w:before="64" w:line="360" w:lineRule="auto"/>
        <w:ind w:firstLine="552" w:firstLineChars="200"/>
        <w:jc w:val="both"/>
        <w:rPr>
          <w:rFonts w:ascii="宋体" w:hAnsi="宋体" w:eastAsia="宋体" w:cs="宋体"/>
          <w:spacing w:val="-2"/>
          <w:sz w:val="28"/>
          <w:szCs w:val="28"/>
          <w:lang w:eastAsia="zh-CN"/>
        </w:rPr>
      </w:pPr>
      <w:r>
        <w:rPr>
          <w:rFonts w:ascii="宋体" w:hAnsi="宋体" w:eastAsia="宋体" w:cs="宋体"/>
          <w:spacing w:val="-2"/>
          <w:sz w:val="28"/>
          <w:szCs w:val="28"/>
          <w:lang w:eastAsia="zh-CN"/>
        </w:rPr>
        <w:t>学院成立由</w:t>
      </w:r>
      <w:r>
        <w:rPr>
          <w:rFonts w:hint="eastAsia" w:ascii="宋体" w:hAnsi="宋体" w:eastAsia="宋体" w:cs="宋体"/>
          <w:spacing w:val="-2"/>
          <w:sz w:val="28"/>
          <w:szCs w:val="28"/>
          <w:lang w:eastAsia="zh-CN"/>
        </w:rPr>
        <w:t>学院院长为组长、</w:t>
      </w:r>
      <w:r>
        <w:rPr>
          <w:rFonts w:ascii="宋体" w:hAnsi="宋体" w:eastAsia="宋体" w:cs="宋体"/>
          <w:spacing w:val="-2"/>
          <w:sz w:val="28"/>
          <w:szCs w:val="28"/>
          <w:lang w:eastAsia="zh-CN"/>
        </w:rPr>
        <w:t>主管本科教学副院长为</w:t>
      </w:r>
      <w:r>
        <w:rPr>
          <w:rFonts w:hint="eastAsia" w:ascii="宋体" w:hAnsi="宋体" w:eastAsia="宋体" w:cs="宋体"/>
          <w:spacing w:val="-2"/>
          <w:sz w:val="28"/>
          <w:szCs w:val="28"/>
          <w:lang w:eastAsia="zh-CN"/>
        </w:rPr>
        <w:t>副</w:t>
      </w:r>
      <w:r>
        <w:rPr>
          <w:rFonts w:ascii="宋体" w:hAnsi="宋体" w:eastAsia="宋体" w:cs="宋体"/>
          <w:spacing w:val="-2"/>
          <w:sz w:val="28"/>
          <w:szCs w:val="28"/>
          <w:lang w:eastAsia="zh-CN"/>
        </w:rPr>
        <w:t>组长的转专业领导小组，成员由</w:t>
      </w:r>
      <w:r>
        <w:rPr>
          <w:rFonts w:hint="eastAsia" w:ascii="宋体" w:hAnsi="宋体" w:eastAsia="宋体" w:cs="宋体"/>
          <w:spacing w:val="-2"/>
          <w:sz w:val="28"/>
          <w:szCs w:val="28"/>
          <w:lang w:eastAsia="zh-CN"/>
        </w:rPr>
        <w:t>各专业系主任</w:t>
      </w:r>
      <w:r>
        <w:rPr>
          <w:rFonts w:ascii="宋体" w:hAnsi="宋体" w:eastAsia="宋体" w:cs="宋体"/>
          <w:spacing w:val="-2"/>
          <w:sz w:val="28"/>
          <w:szCs w:val="28"/>
          <w:lang w:eastAsia="zh-CN"/>
        </w:rPr>
        <w:t>组成。领导小组负责解释与学生转专业有关的政策，并完成转专业的学生考核等工作。</w:t>
      </w:r>
    </w:p>
    <w:p w14:paraId="4C98BA41">
      <w:pPr>
        <w:pStyle w:val="3"/>
        <w:spacing w:before="36" w:line="360" w:lineRule="auto"/>
        <w:ind w:left="0" w:firstLine="552" w:firstLineChars="200"/>
        <w:jc w:val="both"/>
        <w:rPr>
          <w:lang w:eastAsia="zh-CN"/>
        </w:rPr>
      </w:pPr>
      <w:r>
        <w:rPr>
          <w:spacing w:val="-2"/>
          <w:lang w:eastAsia="zh-CN"/>
        </w:rPr>
        <w:t>学院成立由</w:t>
      </w:r>
      <w:r>
        <w:rPr>
          <w:rFonts w:hint="eastAsia" w:cs="宋体"/>
          <w:spacing w:val="-2"/>
          <w:lang w:eastAsia="zh-CN"/>
        </w:rPr>
        <w:t>主管学生工作副书记、纪委书记</w:t>
      </w:r>
      <w:r>
        <w:rPr>
          <w:spacing w:val="-2"/>
          <w:lang w:eastAsia="zh-CN"/>
        </w:rPr>
        <w:t>为组长的监督申诉小组，成员由各</w:t>
      </w:r>
      <w:r>
        <w:rPr>
          <w:rFonts w:hint="eastAsia"/>
          <w:spacing w:val="-2"/>
          <w:lang w:eastAsia="zh-CN"/>
        </w:rPr>
        <w:t>专业</w:t>
      </w:r>
      <w:r>
        <w:rPr>
          <w:spacing w:val="-2"/>
          <w:lang w:eastAsia="zh-CN"/>
        </w:rPr>
        <w:t>系副主任组成。监督申诉小组监督转专业过程，负责接待申请转专业</w:t>
      </w:r>
      <w:r>
        <w:rPr>
          <w:lang w:eastAsia="zh-CN"/>
        </w:rPr>
        <w:t>学生的申诉并进行相应的督查工作。</w:t>
      </w:r>
    </w:p>
    <w:p w14:paraId="1A2E404F">
      <w:pPr>
        <w:spacing w:before="64" w:line="360" w:lineRule="auto"/>
        <w:jc w:val="both"/>
        <w:rPr>
          <w:rFonts w:ascii="黑体" w:hAnsi="黑体" w:eastAsia="黑体" w:cs="Microsoft JhengHei"/>
          <w:b/>
          <w:bCs/>
          <w:sz w:val="28"/>
          <w:szCs w:val="28"/>
          <w:lang w:eastAsia="zh-CN"/>
        </w:rPr>
      </w:pPr>
      <w:r>
        <w:rPr>
          <w:rFonts w:hint="eastAsia" w:ascii="黑体" w:hAnsi="黑体" w:eastAsia="黑体" w:cs="Microsoft JhengHei"/>
          <w:b/>
          <w:bCs/>
          <w:sz w:val="28"/>
          <w:szCs w:val="28"/>
          <w:lang w:eastAsia="zh-CN"/>
        </w:rPr>
        <w:t>二、</w:t>
      </w:r>
      <w:r>
        <w:rPr>
          <w:rFonts w:ascii="黑体" w:hAnsi="黑体" w:eastAsia="黑体" w:cs="Microsoft JhengHei"/>
          <w:b/>
          <w:bCs/>
          <w:sz w:val="28"/>
          <w:szCs w:val="28"/>
          <w:lang w:eastAsia="zh-CN"/>
        </w:rPr>
        <w:t xml:space="preserve">本科生转出 </w:t>
      </w:r>
    </w:p>
    <w:p w14:paraId="7B65D15D">
      <w:pPr>
        <w:spacing w:before="61" w:line="360" w:lineRule="auto"/>
        <w:ind w:firstLine="552" w:firstLineChars="200"/>
        <w:jc w:val="both"/>
        <w:rPr>
          <w:rFonts w:ascii="宋体" w:hAnsi="宋体" w:eastAsia="宋体" w:cs="宋体"/>
          <w:spacing w:val="-2"/>
          <w:sz w:val="28"/>
          <w:szCs w:val="28"/>
          <w:lang w:eastAsia="zh-CN"/>
        </w:rPr>
      </w:pPr>
      <w:r>
        <w:rPr>
          <w:rFonts w:ascii="宋体" w:hAnsi="宋体" w:eastAsia="宋体" w:cs="宋体"/>
          <w:spacing w:val="-2"/>
          <w:sz w:val="28"/>
          <w:szCs w:val="28"/>
          <w:lang w:eastAsia="zh-CN"/>
        </w:rPr>
        <w:t>1.</w:t>
      </w:r>
      <w:r>
        <w:rPr>
          <w:rFonts w:hint="eastAsia" w:ascii="宋体" w:hAnsi="宋体" w:eastAsia="宋体" w:cs="宋体"/>
          <w:spacing w:val="-2"/>
          <w:sz w:val="28"/>
          <w:szCs w:val="28"/>
          <w:lang w:eastAsia="zh-CN"/>
        </w:rPr>
        <w:t>各专业系主任、班主任</w:t>
      </w:r>
      <w:r>
        <w:rPr>
          <w:rFonts w:ascii="宋体" w:hAnsi="宋体" w:eastAsia="宋体" w:cs="宋体"/>
          <w:spacing w:val="-2"/>
          <w:sz w:val="28"/>
          <w:szCs w:val="28"/>
          <w:lang w:eastAsia="zh-CN"/>
        </w:rPr>
        <w:t>要为学生讲解学校有关转专业的规定，认真解答学生提出的问题，做好学生的思想工作。</w:t>
      </w:r>
    </w:p>
    <w:p w14:paraId="0C1DE59C">
      <w:pPr>
        <w:spacing w:before="61" w:line="360" w:lineRule="auto"/>
        <w:ind w:firstLine="552" w:firstLineChars="200"/>
        <w:jc w:val="both"/>
        <w:rPr>
          <w:rFonts w:ascii="宋体" w:hAnsi="宋体" w:eastAsia="宋体" w:cs="宋体"/>
          <w:spacing w:val="-2"/>
          <w:sz w:val="28"/>
          <w:szCs w:val="28"/>
          <w:lang w:eastAsia="zh-CN"/>
        </w:rPr>
      </w:pPr>
      <w:r>
        <w:rPr>
          <w:rFonts w:ascii="宋体" w:hAnsi="宋体" w:eastAsia="宋体" w:cs="宋体"/>
          <w:spacing w:val="-2"/>
          <w:sz w:val="28"/>
          <w:szCs w:val="28"/>
          <w:lang w:eastAsia="zh-CN"/>
        </w:rPr>
        <w:t>2.本着自愿的原则，由学生自</w:t>
      </w:r>
      <w:r>
        <w:rPr>
          <w:rFonts w:hint="eastAsia" w:ascii="宋体" w:hAnsi="宋体" w:eastAsia="宋体" w:cs="宋体"/>
          <w:spacing w:val="-2"/>
          <w:sz w:val="28"/>
          <w:szCs w:val="28"/>
          <w:lang w:eastAsia="zh-CN"/>
        </w:rPr>
        <w:t>行</w:t>
      </w:r>
      <w:r>
        <w:rPr>
          <w:rFonts w:ascii="宋体" w:hAnsi="宋体" w:eastAsia="宋体" w:cs="宋体"/>
          <w:spacing w:val="-2"/>
          <w:sz w:val="28"/>
          <w:szCs w:val="28"/>
          <w:lang w:eastAsia="zh-CN"/>
        </w:rPr>
        <w:t>决定是否转出专业以及</w:t>
      </w:r>
      <w:r>
        <w:rPr>
          <w:rFonts w:hint="eastAsia" w:ascii="宋体" w:hAnsi="宋体" w:eastAsia="宋体" w:cs="宋体"/>
          <w:spacing w:val="-2"/>
          <w:sz w:val="28"/>
          <w:szCs w:val="28"/>
          <w:lang w:eastAsia="zh-CN"/>
        </w:rPr>
        <w:t>申请</w:t>
      </w:r>
      <w:r>
        <w:rPr>
          <w:rFonts w:ascii="宋体" w:hAnsi="宋体" w:eastAsia="宋体" w:cs="宋体"/>
          <w:spacing w:val="-2"/>
          <w:sz w:val="28"/>
          <w:szCs w:val="28"/>
          <w:lang w:eastAsia="zh-CN"/>
        </w:rPr>
        <w:t>转入哪个专业。对于想转出的学生，</w:t>
      </w:r>
      <w:r>
        <w:rPr>
          <w:rFonts w:hint="eastAsia" w:ascii="宋体" w:hAnsi="宋体" w:eastAsia="宋体" w:cs="宋体"/>
          <w:spacing w:val="-2"/>
          <w:sz w:val="28"/>
          <w:szCs w:val="28"/>
          <w:lang w:eastAsia="zh-CN"/>
        </w:rPr>
        <w:t>班主任</w:t>
      </w:r>
      <w:r>
        <w:rPr>
          <w:rFonts w:ascii="宋体" w:hAnsi="宋体" w:eastAsia="宋体" w:cs="宋体"/>
          <w:spacing w:val="-2"/>
          <w:sz w:val="28"/>
          <w:szCs w:val="28"/>
          <w:lang w:eastAsia="zh-CN"/>
        </w:rPr>
        <w:t>要与学生进行谈话，了解学生转专业的原因与思想，给学生介绍本专业与拟转入专业的情况</w:t>
      </w:r>
      <w:r>
        <w:rPr>
          <w:rFonts w:hint="eastAsia" w:ascii="宋体" w:hAnsi="宋体" w:eastAsia="宋体" w:cs="宋体"/>
          <w:spacing w:val="-2"/>
          <w:sz w:val="28"/>
          <w:szCs w:val="28"/>
          <w:lang w:eastAsia="zh-CN"/>
        </w:rPr>
        <w:t>。</w:t>
      </w:r>
    </w:p>
    <w:p w14:paraId="71FE38DB">
      <w:pPr>
        <w:spacing w:before="64" w:line="360" w:lineRule="auto"/>
        <w:jc w:val="both"/>
        <w:rPr>
          <w:rFonts w:ascii="黑体" w:hAnsi="黑体" w:eastAsia="黑体" w:cs="Microsoft JhengHei"/>
          <w:b/>
          <w:bCs/>
          <w:sz w:val="28"/>
          <w:szCs w:val="28"/>
          <w:lang w:eastAsia="zh-CN"/>
        </w:rPr>
      </w:pPr>
      <w:r>
        <w:rPr>
          <w:rFonts w:ascii="黑体" w:hAnsi="黑体" w:eastAsia="黑体" w:cs="Microsoft JhengHei"/>
          <w:b/>
          <w:bCs/>
          <w:sz w:val="28"/>
          <w:szCs w:val="28"/>
          <w:lang w:eastAsia="zh-CN"/>
        </w:rPr>
        <w:t>三</w:t>
      </w:r>
      <w:r>
        <w:rPr>
          <w:rFonts w:hint="eastAsia" w:ascii="黑体" w:hAnsi="黑体" w:eastAsia="黑体" w:cs="Microsoft JhengHei"/>
          <w:b/>
          <w:bCs/>
          <w:sz w:val="28"/>
          <w:szCs w:val="28"/>
          <w:lang w:eastAsia="zh-CN"/>
        </w:rPr>
        <w:t>、</w:t>
      </w:r>
      <w:r>
        <w:rPr>
          <w:rFonts w:ascii="黑体" w:hAnsi="黑体" w:eastAsia="黑体" w:cs="Microsoft JhengHei"/>
          <w:b/>
          <w:bCs/>
          <w:sz w:val="28"/>
          <w:szCs w:val="28"/>
          <w:lang w:eastAsia="zh-CN"/>
        </w:rPr>
        <w:t xml:space="preserve">本科生转入 </w:t>
      </w:r>
    </w:p>
    <w:p w14:paraId="40D829B0">
      <w:pPr>
        <w:pStyle w:val="7"/>
        <w:shd w:val="clear" w:color="auto" w:fill="FFFFFF"/>
        <w:spacing w:before="0" w:beforeAutospacing="0" w:after="0" w:afterAutospacing="0" w:line="360" w:lineRule="auto"/>
        <w:rPr>
          <w:color w:val="323232"/>
          <w:sz w:val="29"/>
          <w:szCs w:val="29"/>
        </w:rPr>
      </w:pPr>
      <w:r>
        <w:rPr>
          <w:rFonts w:hint="eastAsia"/>
          <w:b/>
          <w:bCs/>
          <w:color w:val="323232"/>
          <w:sz w:val="29"/>
          <w:szCs w:val="29"/>
        </w:rPr>
        <w:t>（一）转入学生基本条件</w:t>
      </w:r>
    </w:p>
    <w:p w14:paraId="3FC40FCB">
      <w:pPr>
        <w:pStyle w:val="7"/>
        <w:shd w:val="clear" w:color="auto" w:fill="FFFFFF"/>
        <w:spacing w:before="0" w:beforeAutospacing="0" w:after="0" w:afterAutospacing="0" w:line="360" w:lineRule="auto"/>
        <w:ind w:firstLine="560" w:firstLineChars="200"/>
        <w:rPr>
          <w:color w:val="323232"/>
          <w:sz w:val="28"/>
          <w:szCs w:val="28"/>
        </w:rPr>
      </w:pPr>
      <w:r>
        <w:rPr>
          <w:color w:val="323232"/>
          <w:sz w:val="28"/>
          <w:szCs w:val="28"/>
        </w:rPr>
        <w:t>1.</w:t>
      </w:r>
      <w:r>
        <w:rPr>
          <w:rFonts w:hint="eastAsia"/>
          <w:color w:val="323232"/>
          <w:sz w:val="28"/>
          <w:szCs w:val="28"/>
        </w:rPr>
        <w:t>热爱祖国，拥护中国共产党的领导，思想品德良好，心理健康，有奋发向上，积极进取的精神。</w:t>
      </w:r>
    </w:p>
    <w:p w14:paraId="5F9EA3D4">
      <w:pPr>
        <w:pStyle w:val="7"/>
        <w:shd w:val="clear" w:color="auto" w:fill="FFFFFF"/>
        <w:spacing w:before="0" w:beforeAutospacing="0" w:after="0" w:afterAutospacing="0" w:line="360" w:lineRule="auto"/>
        <w:ind w:firstLine="560" w:firstLineChars="200"/>
        <w:rPr>
          <w:color w:val="323232"/>
          <w:sz w:val="28"/>
          <w:szCs w:val="28"/>
        </w:rPr>
      </w:pPr>
      <w:r>
        <w:rPr>
          <w:color w:val="323232"/>
          <w:sz w:val="28"/>
          <w:szCs w:val="28"/>
        </w:rPr>
        <w:t>2.</w:t>
      </w:r>
      <w:r>
        <w:rPr>
          <w:rFonts w:hint="eastAsia"/>
          <w:color w:val="323232"/>
          <w:sz w:val="28"/>
          <w:szCs w:val="28"/>
        </w:rPr>
        <w:t>学习态度端正、学习成绩良好，在以往的学习中无不及格课程记录（不含公选课）。</w:t>
      </w:r>
    </w:p>
    <w:p w14:paraId="63FFE7FC">
      <w:pPr>
        <w:pStyle w:val="7"/>
        <w:shd w:val="clear" w:color="auto" w:fill="FFFFFF"/>
        <w:spacing w:before="0" w:beforeAutospacing="0" w:after="0" w:afterAutospacing="0" w:line="360" w:lineRule="auto"/>
        <w:ind w:firstLine="560" w:firstLineChars="200"/>
        <w:rPr>
          <w:color w:val="323232"/>
          <w:sz w:val="28"/>
          <w:szCs w:val="28"/>
        </w:rPr>
      </w:pPr>
      <w:r>
        <w:rPr>
          <w:color w:val="323232"/>
          <w:sz w:val="28"/>
          <w:szCs w:val="28"/>
        </w:rPr>
        <w:t>3.</w:t>
      </w:r>
      <w:r>
        <w:rPr>
          <w:rFonts w:hint="eastAsia"/>
          <w:color w:val="323232"/>
          <w:sz w:val="28"/>
          <w:szCs w:val="28"/>
        </w:rPr>
        <w:t>申请者应模范遵守学校有关规章制度，未受到过任何处分，</w:t>
      </w:r>
      <w:r>
        <w:rPr>
          <w:rFonts w:hint="eastAsia"/>
          <w:color w:val="323232"/>
          <w:sz w:val="28"/>
          <w:szCs w:val="28"/>
          <w:highlight w:val="yellow"/>
        </w:rPr>
        <w:t>须由原所在学院出具相关证明。</w:t>
      </w:r>
    </w:p>
    <w:p w14:paraId="6B73A4EE">
      <w:pPr>
        <w:pStyle w:val="7"/>
        <w:shd w:val="clear" w:color="auto" w:fill="FFFFFF"/>
        <w:spacing w:before="0" w:beforeAutospacing="0" w:after="0" w:afterAutospacing="0" w:line="360" w:lineRule="auto"/>
        <w:ind w:firstLine="560" w:firstLineChars="200"/>
        <w:rPr>
          <w:color w:val="323232"/>
          <w:sz w:val="28"/>
          <w:szCs w:val="28"/>
        </w:rPr>
      </w:pPr>
      <w:r>
        <w:rPr>
          <w:color w:val="323232"/>
          <w:sz w:val="28"/>
          <w:szCs w:val="28"/>
        </w:rPr>
        <w:t>4.</w:t>
      </w:r>
      <w:r>
        <w:rPr>
          <w:rFonts w:hint="eastAsia"/>
        </w:rPr>
        <w:t xml:space="preserve"> </w:t>
      </w:r>
      <w:r>
        <w:rPr>
          <w:rFonts w:hint="eastAsia"/>
          <w:color w:val="323232"/>
          <w:sz w:val="28"/>
          <w:szCs w:val="28"/>
        </w:rPr>
        <w:t>对于大一学生，接收全校所有工科、理科专业学生的报名。</w:t>
      </w:r>
      <w:r>
        <w:rPr>
          <w:color w:val="323232"/>
          <w:sz w:val="28"/>
          <w:szCs w:val="28"/>
        </w:rPr>
        <w:t>对于大二学生，只接收</w:t>
      </w:r>
      <w:r>
        <w:rPr>
          <w:rFonts w:hint="eastAsia"/>
          <w:color w:val="323232"/>
          <w:sz w:val="28"/>
          <w:szCs w:val="28"/>
        </w:rPr>
        <w:t>信息与控制工程学院下设5个专业之间的转入申请。</w:t>
      </w:r>
    </w:p>
    <w:p w14:paraId="4E8B3E5D">
      <w:pPr>
        <w:pStyle w:val="7"/>
        <w:shd w:val="clear" w:color="auto" w:fill="FFFFFF"/>
        <w:spacing w:before="0" w:beforeAutospacing="0" w:after="0" w:afterAutospacing="0" w:line="360" w:lineRule="auto"/>
        <w:ind w:firstLine="560" w:firstLineChars="200"/>
        <w:rPr>
          <w:color w:val="323232"/>
          <w:sz w:val="28"/>
          <w:szCs w:val="28"/>
        </w:rPr>
      </w:pPr>
      <w:r>
        <w:rPr>
          <w:rFonts w:hint="eastAsia"/>
          <w:color w:val="323232"/>
          <w:sz w:val="28"/>
          <w:szCs w:val="28"/>
        </w:rPr>
        <w:t>5</w:t>
      </w:r>
      <w:r>
        <w:rPr>
          <w:color w:val="323232"/>
          <w:sz w:val="28"/>
          <w:szCs w:val="28"/>
        </w:rPr>
        <w:t>.</w:t>
      </w:r>
      <w:r>
        <w:rPr>
          <w:rFonts w:hint="eastAsia"/>
          <w:color w:val="323232"/>
          <w:sz w:val="28"/>
          <w:szCs w:val="28"/>
        </w:rPr>
        <w:t>退役复学学生，不受成绩限制。</w:t>
      </w:r>
    </w:p>
    <w:p w14:paraId="4EE45205">
      <w:pPr>
        <w:pStyle w:val="7"/>
        <w:shd w:val="clear" w:color="auto" w:fill="FFFFFF"/>
        <w:spacing w:before="0" w:beforeAutospacing="0" w:after="0" w:afterAutospacing="0" w:line="360" w:lineRule="auto"/>
        <w:ind w:firstLine="560" w:firstLineChars="200"/>
        <w:rPr>
          <w:color w:val="323232"/>
          <w:sz w:val="28"/>
          <w:szCs w:val="28"/>
          <w:highlight w:val="lightGray"/>
        </w:rPr>
      </w:pPr>
      <w:r>
        <w:rPr>
          <w:rFonts w:hint="eastAsia"/>
          <w:color w:val="323232"/>
          <w:sz w:val="28"/>
          <w:szCs w:val="28"/>
          <w:highlight w:val="lightGray"/>
        </w:rPr>
        <w:t>6</w:t>
      </w:r>
      <w:r>
        <w:rPr>
          <w:color w:val="323232"/>
          <w:sz w:val="28"/>
          <w:szCs w:val="28"/>
          <w:highlight w:val="lightGray"/>
        </w:rPr>
        <w:t>.</w:t>
      </w:r>
      <w:r>
        <w:rPr>
          <w:rFonts w:hint="eastAsia"/>
          <w:color w:val="323232"/>
          <w:sz w:val="28"/>
          <w:szCs w:val="28"/>
          <w:highlight w:val="lightGray"/>
        </w:rPr>
        <w:t>教育部、原卫生部、中国残疾人联合会印发的《普通高等学校招生体检工作指导意见》中所列的如下情况者，慎重选择转入学院各专业：</w:t>
      </w:r>
    </w:p>
    <w:p w14:paraId="282B7AA9">
      <w:pPr>
        <w:pStyle w:val="7"/>
        <w:shd w:val="clear" w:color="auto" w:fill="FFFFFF"/>
        <w:spacing w:before="0" w:beforeAutospacing="0" w:after="0" w:afterAutospacing="0" w:line="360" w:lineRule="auto"/>
        <w:ind w:firstLine="560" w:firstLineChars="200"/>
        <w:rPr>
          <w:color w:val="323232"/>
          <w:sz w:val="28"/>
          <w:szCs w:val="28"/>
          <w:highlight w:val="lightGray"/>
        </w:rPr>
      </w:pPr>
      <w:r>
        <w:rPr>
          <w:rFonts w:hint="eastAsia"/>
          <w:color w:val="323232"/>
          <w:sz w:val="28"/>
          <w:szCs w:val="28"/>
          <w:highlight w:val="lightGray"/>
        </w:rPr>
        <w:t>（1）轻度色觉异常（俗称色弱）者；</w:t>
      </w:r>
    </w:p>
    <w:p w14:paraId="270D6E00">
      <w:pPr>
        <w:pStyle w:val="7"/>
        <w:shd w:val="clear" w:color="auto" w:fill="FFFFFF"/>
        <w:spacing w:before="0" w:beforeAutospacing="0" w:after="0" w:afterAutospacing="0" w:line="360" w:lineRule="auto"/>
        <w:ind w:firstLine="560" w:firstLineChars="200"/>
        <w:rPr>
          <w:color w:val="323232"/>
          <w:sz w:val="28"/>
          <w:szCs w:val="28"/>
          <w:highlight w:val="lightGray"/>
        </w:rPr>
      </w:pPr>
      <w:r>
        <w:rPr>
          <w:rFonts w:hint="eastAsia"/>
          <w:color w:val="323232"/>
          <w:sz w:val="28"/>
          <w:szCs w:val="28"/>
          <w:highlight w:val="lightGray"/>
        </w:rPr>
        <w:t>（2）色觉异常II度（俗称色盲）者；</w:t>
      </w:r>
    </w:p>
    <w:p w14:paraId="4941D037">
      <w:pPr>
        <w:pStyle w:val="7"/>
        <w:shd w:val="clear" w:color="auto" w:fill="FFFFFF"/>
        <w:spacing w:before="0" w:beforeAutospacing="0" w:after="0" w:afterAutospacing="0" w:line="360" w:lineRule="auto"/>
        <w:ind w:firstLine="560" w:firstLineChars="200"/>
        <w:rPr>
          <w:color w:val="323232"/>
          <w:sz w:val="28"/>
          <w:szCs w:val="28"/>
          <w:highlight w:val="lightGray"/>
        </w:rPr>
      </w:pPr>
      <w:r>
        <w:rPr>
          <w:rFonts w:hint="eastAsia"/>
          <w:color w:val="323232"/>
          <w:sz w:val="28"/>
          <w:szCs w:val="28"/>
          <w:highlight w:val="lightGray"/>
        </w:rPr>
        <w:t>（3）不能准确识别红、黄、绿、</w:t>
      </w:r>
      <w:r>
        <w:rPr>
          <w:rFonts w:hint="eastAsia"/>
          <w:color w:val="323232"/>
          <w:sz w:val="28"/>
          <w:szCs w:val="28"/>
          <w:highlight w:val="lightGray"/>
          <w:lang w:val="en-US" w:eastAsia="zh-CN"/>
        </w:rPr>
        <w:t>蓝</w:t>
      </w:r>
      <w:bookmarkStart w:id="6" w:name="_GoBack"/>
      <w:bookmarkEnd w:id="6"/>
      <w:r>
        <w:rPr>
          <w:rFonts w:hint="eastAsia"/>
          <w:color w:val="323232"/>
          <w:sz w:val="28"/>
          <w:szCs w:val="28"/>
          <w:highlight w:val="lightGray"/>
        </w:rPr>
        <w:t>、紫各种颜色中任何一种颜色的导线、按键、信号灯、几何图形者；</w:t>
      </w:r>
    </w:p>
    <w:p w14:paraId="7CDD9C21">
      <w:pPr>
        <w:pStyle w:val="7"/>
        <w:shd w:val="clear" w:color="auto" w:fill="FFFFFF"/>
        <w:spacing w:before="0" w:beforeAutospacing="0" w:after="0" w:afterAutospacing="0" w:line="360" w:lineRule="auto"/>
        <w:ind w:firstLine="560" w:firstLineChars="200"/>
        <w:rPr>
          <w:color w:val="323232"/>
          <w:sz w:val="28"/>
          <w:szCs w:val="28"/>
        </w:rPr>
      </w:pPr>
      <w:r>
        <w:rPr>
          <w:rFonts w:hint="eastAsia"/>
          <w:color w:val="323232"/>
          <w:sz w:val="28"/>
          <w:szCs w:val="28"/>
          <w:highlight w:val="lightGray"/>
        </w:rPr>
        <w:t>（4）任何一眼矫正到4.8镜片度数大于800度者。</w:t>
      </w:r>
    </w:p>
    <w:p w14:paraId="5CBB8922">
      <w:pPr>
        <w:pStyle w:val="7"/>
        <w:shd w:val="clear" w:color="auto" w:fill="FFFFFF"/>
        <w:spacing w:before="0" w:beforeAutospacing="0" w:after="0" w:afterAutospacing="0" w:line="360" w:lineRule="auto"/>
        <w:rPr>
          <w:color w:val="323232"/>
          <w:sz w:val="28"/>
          <w:szCs w:val="28"/>
        </w:rPr>
      </w:pPr>
      <w:bookmarkStart w:id="0" w:name="OLE_LINK2"/>
      <w:r>
        <w:rPr>
          <w:rFonts w:hint="eastAsia"/>
          <w:b/>
          <w:bCs/>
          <w:color w:val="323232"/>
          <w:sz w:val="28"/>
          <w:szCs w:val="28"/>
        </w:rPr>
        <w:t>（二）转入学生的考核</w:t>
      </w:r>
    </w:p>
    <w:bookmarkEnd w:id="0"/>
    <w:p w14:paraId="2188D3F7">
      <w:pPr>
        <w:pStyle w:val="7"/>
        <w:shd w:val="clear" w:color="auto" w:fill="FFFFFF"/>
        <w:spacing w:before="0" w:beforeAutospacing="0" w:after="0" w:afterAutospacing="0" w:line="360" w:lineRule="auto"/>
        <w:ind w:firstLine="560" w:firstLineChars="200"/>
        <w:rPr>
          <w:color w:val="323232"/>
          <w:sz w:val="28"/>
          <w:szCs w:val="28"/>
        </w:rPr>
      </w:pPr>
      <w:r>
        <w:rPr>
          <w:rFonts w:hint="eastAsia"/>
          <w:color w:val="323232"/>
          <w:sz w:val="28"/>
          <w:szCs w:val="28"/>
        </w:rPr>
        <w:t>1</w:t>
      </w:r>
      <w:r>
        <w:rPr>
          <w:color w:val="323232"/>
          <w:sz w:val="28"/>
          <w:szCs w:val="28"/>
        </w:rPr>
        <w:t>.</w:t>
      </w:r>
      <w:r>
        <w:rPr>
          <w:rFonts w:hint="eastAsia"/>
          <w:sz w:val="28"/>
          <w:szCs w:val="28"/>
        </w:rPr>
        <w:t xml:space="preserve"> </w:t>
      </w:r>
      <w:r>
        <w:rPr>
          <w:rFonts w:hint="eastAsia"/>
          <w:color w:val="323232"/>
          <w:sz w:val="28"/>
          <w:szCs w:val="28"/>
        </w:rPr>
        <w:t>学院根据申请转入学生的学业成绩、学术成果综合评定，确定拟接收转专业学生名单。具体计算方法为：</w:t>
      </w:r>
    </w:p>
    <w:p w14:paraId="193872D0">
      <w:pPr>
        <w:pStyle w:val="7"/>
        <w:shd w:val="clear" w:color="auto" w:fill="FFFFFF"/>
        <w:spacing w:before="0" w:beforeAutospacing="0" w:after="0" w:afterAutospacing="0" w:line="360" w:lineRule="auto"/>
        <w:jc w:val="center"/>
        <w:rPr>
          <w:color w:val="323232"/>
          <w:sz w:val="28"/>
          <w:szCs w:val="28"/>
        </w:rPr>
      </w:pPr>
      <w:r>
        <w:rPr>
          <w:rFonts w:hint="eastAsia"/>
          <w:color w:val="323232"/>
          <w:sz w:val="28"/>
          <w:szCs w:val="28"/>
        </w:rPr>
        <w:t>总成绩=原专业成绩（加权平均分）+学术成果分数</w:t>
      </w:r>
    </w:p>
    <w:p w14:paraId="2599655D">
      <w:pPr>
        <w:pStyle w:val="7"/>
        <w:shd w:val="clear" w:color="auto" w:fill="FFFFFF"/>
        <w:spacing w:before="0" w:beforeAutospacing="0" w:after="0" w:afterAutospacing="0" w:line="360" w:lineRule="auto"/>
        <w:ind w:firstLine="560" w:firstLineChars="200"/>
        <w:jc w:val="both"/>
        <w:rPr>
          <w:color w:val="323232"/>
          <w:sz w:val="28"/>
          <w:szCs w:val="28"/>
        </w:rPr>
      </w:pPr>
      <w:r>
        <w:rPr>
          <w:rFonts w:hint="eastAsia"/>
          <w:color w:val="323232"/>
          <w:sz w:val="28"/>
          <w:szCs w:val="28"/>
        </w:rPr>
        <w:t>2</w:t>
      </w:r>
      <w:r>
        <w:rPr>
          <w:color w:val="323232"/>
          <w:sz w:val="28"/>
          <w:szCs w:val="28"/>
        </w:rPr>
        <w:t>.</w:t>
      </w:r>
      <w:r>
        <w:rPr>
          <w:rFonts w:hint="eastAsia"/>
          <w:color w:val="323232"/>
          <w:sz w:val="28"/>
          <w:szCs w:val="28"/>
        </w:rPr>
        <w:t xml:space="preserve"> 一年级学生的原专业成绩为培养方案中规定的第一个学期全部课程（不含公选课）的加权平均分。二年级学生的原专业成绩为培养方案中规定的前三个学期全部课程（不含公选课）的加权平均分。</w:t>
      </w:r>
    </w:p>
    <w:p w14:paraId="08D2656C">
      <w:pPr>
        <w:pStyle w:val="7"/>
        <w:shd w:val="clear" w:color="auto" w:fill="FFFFFF"/>
        <w:spacing w:before="0" w:beforeAutospacing="0" w:after="0" w:afterAutospacing="0" w:line="360" w:lineRule="auto"/>
        <w:ind w:firstLine="560" w:firstLineChars="200"/>
        <w:jc w:val="both"/>
        <w:rPr>
          <w:color w:val="323232"/>
          <w:sz w:val="28"/>
          <w:szCs w:val="28"/>
        </w:rPr>
      </w:pPr>
      <w:r>
        <w:rPr>
          <w:rFonts w:hint="eastAsia"/>
          <w:color w:val="323232"/>
          <w:sz w:val="28"/>
          <w:szCs w:val="28"/>
        </w:rPr>
        <w:t>3．考查课成绩以优-</w:t>
      </w:r>
      <w:r>
        <w:rPr>
          <w:color w:val="323232"/>
          <w:sz w:val="28"/>
          <w:szCs w:val="28"/>
        </w:rPr>
        <w:t>95</w:t>
      </w:r>
      <w:r>
        <w:rPr>
          <w:rFonts w:hint="eastAsia"/>
          <w:color w:val="323232"/>
          <w:sz w:val="28"/>
          <w:szCs w:val="28"/>
        </w:rPr>
        <w:t>分、良-</w:t>
      </w:r>
      <w:r>
        <w:rPr>
          <w:color w:val="323232"/>
          <w:sz w:val="28"/>
          <w:szCs w:val="28"/>
        </w:rPr>
        <w:t>85</w:t>
      </w:r>
      <w:r>
        <w:rPr>
          <w:rFonts w:hint="eastAsia"/>
          <w:color w:val="323232"/>
          <w:sz w:val="28"/>
          <w:szCs w:val="28"/>
        </w:rPr>
        <w:t>分、中-</w:t>
      </w:r>
      <w:r>
        <w:rPr>
          <w:color w:val="323232"/>
          <w:sz w:val="28"/>
          <w:szCs w:val="28"/>
        </w:rPr>
        <w:t>75</w:t>
      </w:r>
      <w:r>
        <w:rPr>
          <w:rFonts w:hint="eastAsia"/>
          <w:color w:val="323232"/>
          <w:sz w:val="28"/>
          <w:szCs w:val="28"/>
        </w:rPr>
        <w:t>分、及格-</w:t>
      </w:r>
      <w:r>
        <w:rPr>
          <w:color w:val="323232"/>
          <w:sz w:val="28"/>
          <w:szCs w:val="28"/>
        </w:rPr>
        <w:t>65</w:t>
      </w:r>
      <w:r>
        <w:rPr>
          <w:rFonts w:hint="eastAsia"/>
          <w:color w:val="323232"/>
          <w:sz w:val="28"/>
          <w:szCs w:val="28"/>
        </w:rPr>
        <w:t>分、不及格-</w:t>
      </w:r>
      <w:r>
        <w:rPr>
          <w:color w:val="323232"/>
          <w:sz w:val="28"/>
          <w:szCs w:val="28"/>
        </w:rPr>
        <w:t>55</w:t>
      </w:r>
      <w:r>
        <w:rPr>
          <w:rFonts w:hint="eastAsia"/>
          <w:color w:val="323232"/>
          <w:sz w:val="28"/>
          <w:szCs w:val="28"/>
        </w:rPr>
        <w:t>分计算。</w:t>
      </w:r>
    </w:p>
    <w:p w14:paraId="0A89A266">
      <w:pPr>
        <w:pStyle w:val="7"/>
        <w:shd w:val="clear" w:color="auto" w:fill="FFFFFF"/>
        <w:spacing w:before="0" w:beforeAutospacing="0" w:after="0" w:afterAutospacing="0" w:line="360" w:lineRule="auto"/>
        <w:ind w:firstLine="560" w:firstLineChars="200"/>
        <w:jc w:val="both"/>
        <w:rPr>
          <w:color w:val="323232"/>
          <w:sz w:val="28"/>
          <w:szCs w:val="28"/>
        </w:rPr>
      </w:pPr>
      <w:r>
        <w:rPr>
          <w:color w:val="323232"/>
          <w:sz w:val="28"/>
          <w:szCs w:val="28"/>
        </w:rPr>
        <w:t>4.</w:t>
      </w:r>
      <w:r>
        <w:rPr>
          <w:rFonts w:hint="eastAsia"/>
          <w:color w:val="323232"/>
          <w:sz w:val="28"/>
          <w:szCs w:val="28"/>
        </w:rPr>
        <w:t xml:space="preserve"> </w:t>
      </w:r>
      <w:bookmarkStart w:id="1" w:name="OLE_LINK1"/>
      <w:r>
        <w:rPr>
          <w:rFonts w:hint="eastAsia"/>
          <w:color w:val="323232"/>
          <w:sz w:val="28"/>
          <w:szCs w:val="28"/>
        </w:rPr>
        <w:t>学术成果</w:t>
      </w:r>
      <w:bookmarkEnd w:id="1"/>
      <w:r>
        <w:rPr>
          <w:rFonts w:hint="eastAsia"/>
          <w:color w:val="323232"/>
          <w:sz w:val="28"/>
          <w:szCs w:val="28"/>
        </w:rPr>
        <w:t>包括</w:t>
      </w:r>
      <w:r>
        <w:rPr>
          <w:rFonts w:hint="eastAsia"/>
          <w:color w:val="323232"/>
          <w:sz w:val="28"/>
          <w:szCs w:val="28"/>
          <w:highlight w:val="yellow"/>
        </w:rPr>
        <w:t>学生在校期间</w:t>
      </w:r>
      <w:r>
        <w:rPr>
          <w:rFonts w:hint="eastAsia"/>
          <w:color w:val="323232"/>
          <w:sz w:val="28"/>
          <w:szCs w:val="28"/>
        </w:rPr>
        <w:t>以我校为第一完成单位且申请转专业学生为第一完成人获得</w:t>
      </w:r>
      <w:r>
        <w:rPr>
          <w:color w:val="323232"/>
          <w:sz w:val="28"/>
          <w:szCs w:val="28"/>
        </w:rPr>
        <w:t>授权专利</w:t>
      </w:r>
      <w:r>
        <w:rPr>
          <w:rFonts w:hint="eastAsia"/>
          <w:color w:val="323232"/>
          <w:sz w:val="28"/>
          <w:szCs w:val="28"/>
        </w:rPr>
        <w:t>、</w:t>
      </w:r>
      <w:r>
        <w:rPr>
          <w:color w:val="323232"/>
          <w:sz w:val="28"/>
          <w:szCs w:val="28"/>
        </w:rPr>
        <w:t>在</w:t>
      </w:r>
      <w:r>
        <w:rPr>
          <w:rFonts w:hint="eastAsia"/>
          <w:color w:val="323232"/>
          <w:sz w:val="28"/>
          <w:szCs w:val="28"/>
        </w:rPr>
        <w:t>学术</w:t>
      </w:r>
      <w:r>
        <w:rPr>
          <w:color w:val="323232"/>
          <w:sz w:val="28"/>
          <w:szCs w:val="28"/>
        </w:rPr>
        <w:t>期刊发表论文，或在重要专业学科竞赛中（以学校当年公布的</w:t>
      </w:r>
      <w:r>
        <w:rPr>
          <w:rFonts w:hint="eastAsia"/>
          <w:color w:val="323232"/>
          <w:sz w:val="28"/>
          <w:szCs w:val="28"/>
        </w:rPr>
        <w:t>三星级及以上</w:t>
      </w:r>
      <w:r>
        <w:rPr>
          <w:color w:val="323232"/>
          <w:sz w:val="28"/>
          <w:szCs w:val="28"/>
        </w:rPr>
        <w:t>赛事明细为准）获省级三等奖及以上</w:t>
      </w:r>
      <w:r>
        <w:rPr>
          <w:rFonts w:hint="eastAsia"/>
          <w:color w:val="323232"/>
          <w:sz w:val="28"/>
          <w:szCs w:val="28"/>
        </w:rPr>
        <w:t>的奖项。加分分数见下表:</w:t>
      </w:r>
    </w:p>
    <w:p w14:paraId="5D27E571">
      <w:pPr>
        <w:jc w:val="center"/>
      </w:pPr>
      <w:r>
        <w:rPr>
          <w:rFonts w:hint="eastAsia"/>
        </w:rPr>
        <w:t>表</w:t>
      </w:r>
      <w:r>
        <w:t xml:space="preserve">1 </w:t>
      </w:r>
      <w:r>
        <w:rPr>
          <w:rFonts w:hint="eastAsia"/>
        </w:rPr>
        <w:t>各类成果加分表</w:t>
      </w:r>
    </w:p>
    <w:tbl>
      <w:tblPr>
        <w:tblStyle w:val="9"/>
        <w:tblpPr w:leftFromText="180" w:rightFromText="180" w:vertAnchor="text" w:tblpXSpec="center"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1814"/>
        <w:gridCol w:w="993"/>
      </w:tblGrid>
      <w:tr w14:paraId="09F9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Align w:val="center"/>
          </w:tcPr>
          <w:p w14:paraId="5E99F757">
            <w:pPr>
              <w:widowControl/>
              <w:jc w:val="center"/>
              <w:rPr>
                <w:kern w:val="2"/>
                <w:sz w:val="21"/>
                <w:lang w:eastAsia="zh-CN"/>
              </w:rPr>
            </w:pPr>
            <w:r>
              <w:rPr>
                <w:rFonts w:hint="eastAsia"/>
                <w:kern w:val="2"/>
                <w:sz w:val="21"/>
                <w:lang w:eastAsia="zh-CN"/>
              </w:rPr>
              <w:t>学术成果</w:t>
            </w:r>
          </w:p>
        </w:tc>
        <w:tc>
          <w:tcPr>
            <w:tcW w:w="2807" w:type="dxa"/>
            <w:gridSpan w:val="2"/>
            <w:vAlign w:val="center"/>
          </w:tcPr>
          <w:p w14:paraId="53B2B5E5">
            <w:pPr>
              <w:widowControl/>
              <w:jc w:val="center"/>
              <w:rPr>
                <w:kern w:val="2"/>
                <w:sz w:val="21"/>
                <w:lang w:eastAsia="zh-CN"/>
              </w:rPr>
            </w:pPr>
            <w:r>
              <w:rPr>
                <w:rFonts w:hint="eastAsia"/>
                <w:kern w:val="2"/>
                <w:sz w:val="21"/>
                <w:lang w:eastAsia="zh-CN"/>
              </w:rPr>
              <w:t>加分分数</w:t>
            </w:r>
          </w:p>
        </w:tc>
      </w:tr>
      <w:tr w14:paraId="2E98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2263" w:type="dxa"/>
            <w:vMerge w:val="restart"/>
            <w:vAlign w:val="center"/>
          </w:tcPr>
          <w:p w14:paraId="31329629">
            <w:pPr>
              <w:widowControl/>
              <w:jc w:val="center"/>
              <w:rPr>
                <w:kern w:val="2"/>
                <w:sz w:val="21"/>
                <w:lang w:eastAsia="zh-CN"/>
              </w:rPr>
            </w:pPr>
            <w:r>
              <w:rPr>
                <w:rFonts w:hint="eastAsia"/>
                <w:kern w:val="2"/>
                <w:sz w:val="21"/>
                <w:lang w:eastAsia="zh-CN"/>
              </w:rPr>
              <w:t>五星级竞赛</w:t>
            </w:r>
          </w:p>
        </w:tc>
        <w:tc>
          <w:tcPr>
            <w:tcW w:w="1814" w:type="dxa"/>
            <w:vAlign w:val="center"/>
          </w:tcPr>
          <w:p w14:paraId="7CB7734A">
            <w:pPr>
              <w:widowControl/>
              <w:jc w:val="center"/>
              <w:rPr>
                <w:kern w:val="2"/>
                <w:sz w:val="21"/>
                <w:lang w:eastAsia="zh-CN"/>
              </w:rPr>
            </w:pPr>
            <w:r>
              <w:rPr>
                <w:rFonts w:hint="eastAsia"/>
                <w:kern w:val="2"/>
                <w:sz w:val="21"/>
                <w:lang w:eastAsia="zh-CN"/>
              </w:rPr>
              <w:t>国家级一等奖</w:t>
            </w:r>
          </w:p>
        </w:tc>
        <w:tc>
          <w:tcPr>
            <w:tcW w:w="993" w:type="dxa"/>
            <w:vAlign w:val="center"/>
          </w:tcPr>
          <w:p w14:paraId="24CEDA44">
            <w:pPr>
              <w:widowControl/>
              <w:jc w:val="center"/>
              <w:rPr>
                <w:kern w:val="2"/>
                <w:sz w:val="21"/>
                <w:lang w:eastAsia="zh-CN"/>
              </w:rPr>
            </w:pPr>
            <w:r>
              <w:rPr>
                <w:kern w:val="2"/>
                <w:sz w:val="21"/>
                <w:lang w:eastAsia="zh-CN"/>
              </w:rPr>
              <w:t>10</w:t>
            </w:r>
          </w:p>
        </w:tc>
      </w:tr>
      <w:tr w14:paraId="788C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263" w:type="dxa"/>
            <w:vMerge w:val="continue"/>
            <w:vAlign w:val="center"/>
          </w:tcPr>
          <w:p w14:paraId="1E9A11BA">
            <w:pPr>
              <w:widowControl/>
              <w:jc w:val="center"/>
              <w:rPr>
                <w:kern w:val="2"/>
                <w:sz w:val="21"/>
                <w:lang w:eastAsia="zh-CN"/>
              </w:rPr>
            </w:pPr>
          </w:p>
        </w:tc>
        <w:tc>
          <w:tcPr>
            <w:tcW w:w="1814" w:type="dxa"/>
            <w:vAlign w:val="center"/>
          </w:tcPr>
          <w:p w14:paraId="17A6C7B1">
            <w:pPr>
              <w:widowControl/>
              <w:jc w:val="center"/>
              <w:rPr>
                <w:kern w:val="2"/>
                <w:sz w:val="21"/>
                <w:lang w:eastAsia="zh-CN"/>
              </w:rPr>
            </w:pPr>
            <w:r>
              <w:rPr>
                <w:rFonts w:hint="eastAsia"/>
                <w:kern w:val="2"/>
                <w:sz w:val="21"/>
                <w:lang w:eastAsia="zh-CN"/>
              </w:rPr>
              <w:t>国家级二等奖</w:t>
            </w:r>
          </w:p>
        </w:tc>
        <w:tc>
          <w:tcPr>
            <w:tcW w:w="993" w:type="dxa"/>
            <w:vAlign w:val="center"/>
          </w:tcPr>
          <w:p w14:paraId="744790D6">
            <w:pPr>
              <w:widowControl/>
              <w:jc w:val="center"/>
              <w:rPr>
                <w:kern w:val="2"/>
                <w:sz w:val="21"/>
                <w:lang w:eastAsia="zh-CN"/>
              </w:rPr>
            </w:pPr>
            <w:r>
              <w:rPr>
                <w:kern w:val="2"/>
                <w:sz w:val="21"/>
                <w:lang w:eastAsia="zh-CN"/>
              </w:rPr>
              <w:t>9</w:t>
            </w:r>
          </w:p>
        </w:tc>
      </w:tr>
      <w:tr w14:paraId="4938D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263" w:type="dxa"/>
            <w:vMerge w:val="continue"/>
            <w:vAlign w:val="center"/>
          </w:tcPr>
          <w:p w14:paraId="3CC45098">
            <w:pPr>
              <w:widowControl/>
              <w:jc w:val="center"/>
              <w:rPr>
                <w:kern w:val="2"/>
                <w:sz w:val="21"/>
                <w:lang w:eastAsia="zh-CN"/>
              </w:rPr>
            </w:pPr>
          </w:p>
        </w:tc>
        <w:tc>
          <w:tcPr>
            <w:tcW w:w="1814" w:type="dxa"/>
            <w:vAlign w:val="center"/>
          </w:tcPr>
          <w:p w14:paraId="52549C14">
            <w:pPr>
              <w:widowControl/>
              <w:jc w:val="center"/>
              <w:rPr>
                <w:kern w:val="2"/>
                <w:sz w:val="21"/>
                <w:lang w:eastAsia="zh-CN"/>
              </w:rPr>
            </w:pPr>
            <w:r>
              <w:rPr>
                <w:rFonts w:hint="eastAsia"/>
                <w:kern w:val="2"/>
                <w:sz w:val="21"/>
                <w:lang w:eastAsia="zh-CN"/>
              </w:rPr>
              <w:t>国家级三等奖</w:t>
            </w:r>
          </w:p>
        </w:tc>
        <w:tc>
          <w:tcPr>
            <w:tcW w:w="993" w:type="dxa"/>
            <w:vAlign w:val="center"/>
          </w:tcPr>
          <w:p w14:paraId="12F48256">
            <w:pPr>
              <w:widowControl/>
              <w:jc w:val="center"/>
              <w:rPr>
                <w:kern w:val="2"/>
                <w:sz w:val="21"/>
                <w:lang w:eastAsia="zh-CN"/>
              </w:rPr>
            </w:pPr>
            <w:r>
              <w:rPr>
                <w:kern w:val="2"/>
                <w:sz w:val="21"/>
                <w:lang w:eastAsia="zh-CN"/>
              </w:rPr>
              <w:t>8</w:t>
            </w:r>
          </w:p>
        </w:tc>
      </w:tr>
      <w:tr w14:paraId="580D5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2263" w:type="dxa"/>
            <w:vMerge w:val="restart"/>
            <w:vAlign w:val="center"/>
          </w:tcPr>
          <w:p w14:paraId="240DB01F">
            <w:pPr>
              <w:widowControl/>
              <w:jc w:val="center"/>
              <w:rPr>
                <w:kern w:val="2"/>
                <w:sz w:val="21"/>
                <w:lang w:eastAsia="zh-CN"/>
              </w:rPr>
            </w:pPr>
            <w:r>
              <w:rPr>
                <w:rFonts w:hint="eastAsia"/>
                <w:kern w:val="2"/>
                <w:sz w:val="21"/>
                <w:lang w:eastAsia="zh-CN"/>
              </w:rPr>
              <w:t>五星级竞赛</w:t>
            </w:r>
          </w:p>
        </w:tc>
        <w:tc>
          <w:tcPr>
            <w:tcW w:w="1814" w:type="dxa"/>
            <w:vAlign w:val="center"/>
          </w:tcPr>
          <w:p w14:paraId="3C2A55A0">
            <w:pPr>
              <w:widowControl/>
              <w:jc w:val="center"/>
              <w:rPr>
                <w:kern w:val="2"/>
                <w:sz w:val="21"/>
                <w:lang w:eastAsia="zh-CN"/>
              </w:rPr>
            </w:pPr>
            <w:r>
              <w:rPr>
                <w:rFonts w:hint="eastAsia"/>
                <w:kern w:val="2"/>
                <w:sz w:val="21"/>
                <w:lang w:eastAsia="zh-CN"/>
              </w:rPr>
              <w:t>省级一等奖</w:t>
            </w:r>
          </w:p>
        </w:tc>
        <w:tc>
          <w:tcPr>
            <w:tcW w:w="993" w:type="dxa"/>
            <w:vAlign w:val="center"/>
          </w:tcPr>
          <w:p w14:paraId="3F23B617">
            <w:pPr>
              <w:widowControl/>
              <w:jc w:val="center"/>
              <w:rPr>
                <w:kern w:val="2"/>
                <w:sz w:val="21"/>
                <w:lang w:eastAsia="zh-CN"/>
              </w:rPr>
            </w:pPr>
            <w:r>
              <w:rPr>
                <w:kern w:val="2"/>
                <w:sz w:val="21"/>
                <w:lang w:eastAsia="zh-CN"/>
              </w:rPr>
              <w:t>7</w:t>
            </w:r>
          </w:p>
        </w:tc>
      </w:tr>
      <w:tr w14:paraId="7F2F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2263" w:type="dxa"/>
            <w:vMerge w:val="continue"/>
            <w:vAlign w:val="center"/>
          </w:tcPr>
          <w:p w14:paraId="12E1322C">
            <w:pPr>
              <w:widowControl/>
              <w:jc w:val="center"/>
              <w:rPr>
                <w:kern w:val="2"/>
                <w:sz w:val="21"/>
                <w:lang w:eastAsia="zh-CN"/>
              </w:rPr>
            </w:pPr>
          </w:p>
        </w:tc>
        <w:tc>
          <w:tcPr>
            <w:tcW w:w="1814" w:type="dxa"/>
            <w:vAlign w:val="center"/>
          </w:tcPr>
          <w:p w14:paraId="644E6F77">
            <w:pPr>
              <w:widowControl/>
              <w:jc w:val="center"/>
              <w:rPr>
                <w:kern w:val="2"/>
                <w:sz w:val="21"/>
                <w:lang w:eastAsia="zh-CN"/>
              </w:rPr>
            </w:pPr>
            <w:r>
              <w:rPr>
                <w:rFonts w:hint="eastAsia"/>
                <w:kern w:val="2"/>
                <w:sz w:val="21"/>
                <w:lang w:eastAsia="zh-CN"/>
              </w:rPr>
              <w:t>省级二等奖</w:t>
            </w:r>
          </w:p>
        </w:tc>
        <w:tc>
          <w:tcPr>
            <w:tcW w:w="993" w:type="dxa"/>
            <w:vAlign w:val="center"/>
          </w:tcPr>
          <w:p w14:paraId="30170BE3">
            <w:pPr>
              <w:widowControl/>
              <w:jc w:val="center"/>
              <w:rPr>
                <w:kern w:val="2"/>
                <w:sz w:val="21"/>
                <w:lang w:eastAsia="zh-CN"/>
              </w:rPr>
            </w:pPr>
            <w:r>
              <w:rPr>
                <w:kern w:val="2"/>
                <w:sz w:val="21"/>
                <w:lang w:eastAsia="zh-CN"/>
              </w:rPr>
              <w:t>6</w:t>
            </w:r>
          </w:p>
        </w:tc>
      </w:tr>
      <w:tr w14:paraId="4EBE5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2263" w:type="dxa"/>
            <w:vMerge w:val="continue"/>
            <w:vAlign w:val="center"/>
          </w:tcPr>
          <w:p w14:paraId="67E2A6AE">
            <w:pPr>
              <w:widowControl/>
              <w:jc w:val="center"/>
              <w:rPr>
                <w:kern w:val="2"/>
                <w:sz w:val="21"/>
                <w:lang w:eastAsia="zh-CN"/>
              </w:rPr>
            </w:pPr>
          </w:p>
        </w:tc>
        <w:tc>
          <w:tcPr>
            <w:tcW w:w="1814" w:type="dxa"/>
            <w:vAlign w:val="center"/>
          </w:tcPr>
          <w:p w14:paraId="7D216083">
            <w:pPr>
              <w:widowControl/>
              <w:jc w:val="center"/>
              <w:rPr>
                <w:kern w:val="2"/>
                <w:sz w:val="21"/>
                <w:lang w:eastAsia="zh-CN"/>
              </w:rPr>
            </w:pPr>
            <w:r>
              <w:rPr>
                <w:rFonts w:hint="eastAsia"/>
                <w:kern w:val="2"/>
                <w:sz w:val="21"/>
                <w:lang w:eastAsia="zh-CN"/>
              </w:rPr>
              <w:t>省级三等奖</w:t>
            </w:r>
          </w:p>
        </w:tc>
        <w:tc>
          <w:tcPr>
            <w:tcW w:w="993" w:type="dxa"/>
            <w:vAlign w:val="center"/>
          </w:tcPr>
          <w:p w14:paraId="048072BC">
            <w:pPr>
              <w:widowControl/>
              <w:jc w:val="center"/>
              <w:rPr>
                <w:kern w:val="2"/>
                <w:sz w:val="21"/>
                <w:lang w:eastAsia="zh-CN"/>
              </w:rPr>
            </w:pPr>
            <w:r>
              <w:rPr>
                <w:kern w:val="2"/>
                <w:sz w:val="21"/>
                <w:lang w:eastAsia="zh-CN"/>
              </w:rPr>
              <w:t>5</w:t>
            </w:r>
          </w:p>
        </w:tc>
      </w:tr>
      <w:tr w14:paraId="5F99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2263" w:type="dxa"/>
            <w:vMerge w:val="restart"/>
            <w:vAlign w:val="center"/>
          </w:tcPr>
          <w:p w14:paraId="76BEEFFA">
            <w:pPr>
              <w:widowControl/>
              <w:jc w:val="center"/>
              <w:rPr>
                <w:kern w:val="2"/>
                <w:sz w:val="21"/>
                <w:lang w:eastAsia="zh-CN"/>
              </w:rPr>
            </w:pPr>
            <w:r>
              <w:rPr>
                <w:rFonts w:hint="eastAsia"/>
                <w:kern w:val="2"/>
                <w:sz w:val="21"/>
                <w:lang w:eastAsia="zh-CN"/>
              </w:rPr>
              <w:t>四星级竞赛</w:t>
            </w:r>
          </w:p>
        </w:tc>
        <w:tc>
          <w:tcPr>
            <w:tcW w:w="1814" w:type="dxa"/>
            <w:vAlign w:val="center"/>
          </w:tcPr>
          <w:p w14:paraId="16093798">
            <w:pPr>
              <w:widowControl/>
              <w:jc w:val="center"/>
              <w:rPr>
                <w:kern w:val="2"/>
                <w:sz w:val="21"/>
                <w:lang w:eastAsia="zh-CN"/>
              </w:rPr>
            </w:pPr>
            <w:r>
              <w:rPr>
                <w:rFonts w:hint="eastAsia"/>
                <w:kern w:val="2"/>
                <w:sz w:val="21"/>
                <w:lang w:eastAsia="zh-CN"/>
              </w:rPr>
              <w:t>国家级一等奖</w:t>
            </w:r>
          </w:p>
        </w:tc>
        <w:tc>
          <w:tcPr>
            <w:tcW w:w="993" w:type="dxa"/>
            <w:vAlign w:val="center"/>
          </w:tcPr>
          <w:p w14:paraId="7AA679BD">
            <w:pPr>
              <w:widowControl/>
              <w:jc w:val="center"/>
              <w:rPr>
                <w:kern w:val="2"/>
                <w:sz w:val="21"/>
                <w:lang w:eastAsia="zh-CN"/>
              </w:rPr>
            </w:pPr>
            <w:r>
              <w:rPr>
                <w:kern w:val="2"/>
                <w:sz w:val="21"/>
                <w:lang w:eastAsia="zh-CN"/>
              </w:rPr>
              <w:t>8</w:t>
            </w:r>
          </w:p>
        </w:tc>
      </w:tr>
      <w:tr w14:paraId="1E73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2263" w:type="dxa"/>
            <w:vMerge w:val="continue"/>
            <w:vAlign w:val="center"/>
          </w:tcPr>
          <w:p w14:paraId="1413B5BB">
            <w:pPr>
              <w:widowControl/>
              <w:jc w:val="center"/>
              <w:rPr>
                <w:kern w:val="2"/>
                <w:sz w:val="21"/>
                <w:lang w:eastAsia="zh-CN"/>
              </w:rPr>
            </w:pPr>
          </w:p>
        </w:tc>
        <w:tc>
          <w:tcPr>
            <w:tcW w:w="1814" w:type="dxa"/>
            <w:vAlign w:val="center"/>
          </w:tcPr>
          <w:p w14:paraId="532F8306">
            <w:pPr>
              <w:widowControl/>
              <w:jc w:val="center"/>
              <w:rPr>
                <w:kern w:val="2"/>
                <w:sz w:val="21"/>
                <w:lang w:eastAsia="zh-CN"/>
              </w:rPr>
            </w:pPr>
            <w:r>
              <w:rPr>
                <w:rFonts w:hint="eastAsia"/>
                <w:kern w:val="2"/>
                <w:sz w:val="21"/>
                <w:lang w:eastAsia="zh-CN"/>
              </w:rPr>
              <w:t>国家级二等奖</w:t>
            </w:r>
          </w:p>
        </w:tc>
        <w:tc>
          <w:tcPr>
            <w:tcW w:w="993" w:type="dxa"/>
            <w:vAlign w:val="center"/>
          </w:tcPr>
          <w:p w14:paraId="60C270F1">
            <w:pPr>
              <w:widowControl/>
              <w:jc w:val="center"/>
              <w:rPr>
                <w:kern w:val="2"/>
                <w:sz w:val="21"/>
                <w:lang w:eastAsia="zh-CN"/>
              </w:rPr>
            </w:pPr>
            <w:r>
              <w:rPr>
                <w:kern w:val="2"/>
                <w:sz w:val="21"/>
                <w:lang w:eastAsia="zh-CN"/>
              </w:rPr>
              <w:t>7</w:t>
            </w:r>
          </w:p>
        </w:tc>
      </w:tr>
      <w:tr w14:paraId="6DCA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263" w:type="dxa"/>
            <w:vMerge w:val="continue"/>
            <w:vAlign w:val="center"/>
          </w:tcPr>
          <w:p w14:paraId="598FAEF8">
            <w:pPr>
              <w:widowControl/>
              <w:jc w:val="center"/>
              <w:rPr>
                <w:kern w:val="2"/>
                <w:sz w:val="21"/>
                <w:lang w:eastAsia="zh-CN"/>
              </w:rPr>
            </w:pPr>
          </w:p>
        </w:tc>
        <w:tc>
          <w:tcPr>
            <w:tcW w:w="1814" w:type="dxa"/>
            <w:vAlign w:val="center"/>
          </w:tcPr>
          <w:p w14:paraId="78383CDA">
            <w:pPr>
              <w:widowControl/>
              <w:jc w:val="center"/>
              <w:rPr>
                <w:kern w:val="2"/>
                <w:sz w:val="21"/>
                <w:lang w:eastAsia="zh-CN"/>
              </w:rPr>
            </w:pPr>
            <w:r>
              <w:rPr>
                <w:rFonts w:hint="eastAsia"/>
                <w:kern w:val="2"/>
                <w:sz w:val="21"/>
                <w:lang w:eastAsia="zh-CN"/>
              </w:rPr>
              <w:t>国家级三等奖</w:t>
            </w:r>
          </w:p>
        </w:tc>
        <w:tc>
          <w:tcPr>
            <w:tcW w:w="993" w:type="dxa"/>
            <w:vAlign w:val="center"/>
          </w:tcPr>
          <w:p w14:paraId="20837274">
            <w:pPr>
              <w:widowControl/>
              <w:jc w:val="center"/>
              <w:rPr>
                <w:kern w:val="2"/>
                <w:sz w:val="21"/>
                <w:lang w:eastAsia="zh-CN"/>
              </w:rPr>
            </w:pPr>
            <w:r>
              <w:rPr>
                <w:kern w:val="2"/>
                <w:sz w:val="21"/>
                <w:lang w:eastAsia="zh-CN"/>
              </w:rPr>
              <w:t>6</w:t>
            </w:r>
          </w:p>
        </w:tc>
      </w:tr>
      <w:tr w14:paraId="6C57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2263" w:type="dxa"/>
            <w:vMerge w:val="restart"/>
            <w:vAlign w:val="center"/>
          </w:tcPr>
          <w:p w14:paraId="11292D0D">
            <w:pPr>
              <w:widowControl/>
              <w:jc w:val="center"/>
              <w:rPr>
                <w:kern w:val="2"/>
                <w:sz w:val="21"/>
                <w:lang w:eastAsia="zh-CN"/>
              </w:rPr>
            </w:pPr>
            <w:r>
              <w:rPr>
                <w:rFonts w:hint="eastAsia"/>
                <w:kern w:val="2"/>
                <w:sz w:val="21"/>
                <w:lang w:eastAsia="zh-CN"/>
              </w:rPr>
              <w:t>四星级竞赛</w:t>
            </w:r>
          </w:p>
        </w:tc>
        <w:tc>
          <w:tcPr>
            <w:tcW w:w="1814" w:type="dxa"/>
            <w:vAlign w:val="center"/>
          </w:tcPr>
          <w:p w14:paraId="73B1FD19">
            <w:pPr>
              <w:widowControl/>
              <w:jc w:val="center"/>
              <w:rPr>
                <w:kern w:val="2"/>
                <w:sz w:val="21"/>
                <w:lang w:eastAsia="zh-CN"/>
              </w:rPr>
            </w:pPr>
            <w:r>
              <w:rPr>
                <w:rFonts w:hint="eastAsia"/>
                <w:kern w:val="2"/>
                <w:sz w:val="21"/>
                <w:lang w:eastAsia="zh-CN"/>
              </w:rPr>
              <w:t>省级一等奖</w:t>
            </w:r>
          </w:p>
        </w:tc>
        <w:tc>
          <w:tcPr>
            <w:tcW w:w="993" w:type="dxa"/>
            <w:vAlign w:val="center"/>
          </w:tcPr>
          <w:p w14:paraId="0E479CD3">
            <w:pPr>
              <w:widowControl/>
              <w:jc w:val="center"/>
              <w:rPr>
                <w:kern w:val="2"/>
                <w:sz w:val="21"/>
                <w:lang w:eastAsia="zh-CN"/>
              </w:rPr>
            </w:pPr>
            <w:r>
              <w:rPr>
                <w:kern w:val="2"/>
                <w:sz w:val="21"/>
                <w:lang w:eastAsia="zh-CN"/>
              </w:rPr>
              <w:t>5</w:t>
            </w:r>
          </w:p>
        </w:tc>
      </w:tr>
      <w:tr w14:paraId="4496E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2263" w:type="dxa"/>
            <w:vMerge w:val="continue"/>
            <w:vAlign w:val="center"/>
          </w:tcPr>
          <w:p w14:paraId="06BD09AA">
            <w:pPr>
              <w:widowControl/>
              <w:jc w:val="center"/>
              <w:rPr>
                <w:kern w:val="2"/>
                <w:sz w:val="21"/>
                <w:lang w:eastAsia="zh-CN"/>
              </w:rPr>
            </w:pPr>
          </w:p>
        </w:tc>
        <w:tc>
          <w:tcPr>
            <w:tcW w:w="1814" w:type="dxa"/>
            <w:vAlign w:val="center"/>
          </w:tcPr>
          <w:p w14:paraId="1D2871F0">
            <w:pPr>
              <w:widowControl/>
              <w:jc w:val="center"/>
              <w:rPr>
                <w:kern w:val="2"/>
                <w:sz w:val="21"/>
                <w:lang w:eastAsia="zh-CN"/>
              </w:rPr>
            </w:pPr>
            <w:r>
              <w:rPr>
                <w:rFonts w:hint="eastAsia"/>
                <w:kern w:val="2"/>
                <w:sz w:val="21"/>
                <w:lang w:eastAsia="zh-CN"/>
              </w:rPr>
              <w:t>省级二等奖</w:t>
            </w:r>
          </w:p>
        </w:tc>
        <w:tc>
          <w:tcPr>
            <w:tcW w:w="993" w:type="dxa"/>
            <w:vAlign w:val="center"/>
          </w:tcPr>
          <w:p w14:paraId="33A7B9FD">
            <w:pPr>
              <w:widowControl/>
              <w:jc w:val="center"/>
              <w:rPr>
                <w:kern w:val="2"/>
                <w:sz w:val="21"/>
                <w:lang w:eastAsia="zh-CN"/>
              </w:rPr>
            </w:pPr>
            <w:r>
              <w:rPr>
                <w:kern w:val="2"/>
                <w:sz w:val="21"/>
                <w:lang w:eastAsia="zh-CN"/>
              </w:rPr>
              <w:t>4</w:t>
            </w:r>
          </w:p>
        </w:tc>
      </w:tr>
      <w:tr w14:paraId="1E72C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2263" w:type="dxa"/>
            <w:vMerge w:val="continue"/>
            <w:vAlign w:val="center"/>
          </w:tcPr>
          <w:p w14:paraId="6B7915F5">
            <w:pPr>
              <w:widowControl/>
              <w:jc w:val="center"/>
              <w:rPr>
                <w:kern w:val="2"/>
                <w:sz w:val="21"/>
                <w:lang w:eastAsia="zh-CN"/>
              </w:rPr>
            </w:pPr>
          </w:p>
        </w:tc>
        <w:tc>
          <w:tcPr>
            <w:tcW w:w="1814" w:type="dxa"/>
            <w:vAlign w:val="center"/>
          </w:tcPr>
          <w:p w14:paraId="1F4C5835">
            <w:pPr>
              <w:widowControl/>
              <w:jc w:val="center"/>
              <w:rPr>
                <w:kern w:val="2"/>
                <w:sz w:val="21"/>
                <w:lang w:eastAsia="zh-CN"/>
              </w:rPr>
            </w:pPr>
            <w:r>
              <w:rPr>
                <w:rFonts w:hint="eastAsia"/>
                <w:kern w:val="2"/>
                <w:sz w:val="21"/>
                <w:lang w:eastAsia="zh-CN"/>
              </w:rPr>
              <w:t>省级三等奖</w:t>
            </w:r>
          </w:p>
        </w:tc>
        <w:tc>
          <w:tcPr>
            <w:tcW w:w="993" w:type="dxa"/>
            <w:vAlign w:val="center"/>
          </w:tcPr>
          <w:p w14:paraId="4EE0BB00">
            <w:pPr>
              <w:widowControl/>
              <w:jc w:val="center"/>
              <w:rPr>
                <w:kern w:val="2"/>
                <w:sz w:val="21"/>
                <w:lang w:eastAsia="zh-CN"/>
              </w:rPr>
            </w:pPr>
            <w:r>
              <w:rPr>
                <w:kern w:val="2"/>
                <w:sz w:val="21"/>
                <w:lang w:eastAsia="zh-CN"/>
              </w:rPr>
              <w:t>3</w:t>
            </w:r>
          </w:p>
        </w:tc>
      </w:tr>
      <w:tr w14:paraId="19E1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263" w:type="dxa"/>
            <w:vMerge w:val="restart"/>
            <w:vAlign w:val="center"/>
          </w:tcPr>
          <w:p w14:paraId="3589C687">
            <w:pPr>
              <w:widowControl/>
              <w:jc w:val="center"/>
              <w:rPr>
                <w:kern w:val="2"/>
                <w:sz w:val="21"/>
                <w:lang w:eastAsia="zh-CN"/>
              </w:rPr>
            </w:pPr>
            <w:r>
              <w:rPr>
                <w:rFonts w:hint="eastAsia"/>
                <w:kern w:val="2"/>
                <w:sz w:val="21"/>
                <w:lang w:eastAsia="zh-CN"/>
              </w:rPr>
              <w:t>三星级竞赛</w:t>
            </w:r>
          </w:p>
        </w:tc>
        <w:tc>
          <w:tcPr>
            <w:tcW w:w="1814" w:type="dxa"/>
            <w:vAlign w:val="center"/>
          </w:tcPr>
          <w:p w14:paraId="0191F52D">
            <w:pPr>
              <w:widowControl/>
              <w:jc w:val="center"/>
              <w:rPr>
                <w:kern w:val="2"/>
                <w:sz w:val="21"/>
                <w:lang w:eastAsia="zh-CN"/>
              </w:rPr>
            </w:pPr>
            <w:r>
              <w:rPr>
                <w:rFonts w:hint="eastAsia"/>
                <w:kern w:val="2"/>
                <w:sz w:val="21"/>
                <w:lang w:eastAsia="zh-CN"/>
              </w:rPr>
              <w:t>国家级一等奖</w:t>
            </w:r>
          </w:p>
        </w:tc>
        <w:tc>
          <w:tcPr>
            <w:tcW w:w="993" w:type="dxa"/>
            <w:vAlign w:val="center"/>
          </w:tcPr>
          <w:p w14:paraId="57776170">
            <w:pPr>
              <w:widowControl/>
              <w:jc w:val="center"/>
              <w:rPr>
                <w:kern w:val="2"/>
                <w:sz w:val="21"/>
                <w:lang w:eastAsia="zh-CN"/>
              </w:rPr>
            </w:pPr>
            <w:r>
              <w:rPr>
                <w:kern w:val="2"/>
                <w:sz w:val="21"/>
                <w:lang w:eastAsia="zh-CN"/>
              </w:rPr>
              <w:t>6</w:t>
            </w:r>
          </w:p>
        </w:tc>
      </w:tr>
      <w:tr w14:paraId="099D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2263" w:type="dxa"/>
            <w:vMerge w:val="continue"/>
            <w:vAlign w:val="center"/>
          </w:tcPr>
          <w:p w14:paraId="0D009060">
            <w:pPr>
              <w:widowControl/>
              <w:jc w:val="center"/>
              <w:rPr>
                <w:kern w:val="2"/>
                <w:sz w:val="21"/>
                <w:lang w:eastAsia="zh-CN"/>
              </w:rPr>
            </w:pPr>
          </w:p>
        </w:tc>
        <w:tc>
          <w:tcPr>
            <w:tcW w:w="1814" w:type="dxa"/>
            <w:vAlign w:val="center"/>
          </w:tcPr>
          <w:p w14:paraId="69AF6EE4">
            <w:pPr>
              <w:widowControl/>
              <w:jc w:val="center"/>
              <w:rPr>
                <w:kern w:val="2"/>
                <w:sz w:val="21"/>
                <w:lang w:eastAsia="zh-CN"/>
              </w:rPr>
            </w:pPr>
            <w:r>
              <w:rPr>
                <w:rFonts w:hint="eastAsia"/>
                <w:kern w:val="2"/>
                <w:sz w:val="21"/>
                <w:lang w:eastAsia="zh-CN"/>
              </w:rPr>
              <w:t>国家级二等奖</w:t>
            </w:r>
          </w:p>
        </w:tc>
        <w:tc>
          <w:tcPr>
            <w:tcW w:w="993" w:type="dxa"/>
            <w:vAlign w:val="center"/>
          </w:tcPr>
          <w:p w14:paraId="0A3E0DA1">
            <w:pPr>
              <w:widowControl/>
              <w:jc w:val="center"/>
              <w:rPr>
                <w:kern w:val="2"/>
                <w:sz w:val="21"/>
                <w:lang w:eastAsia="zh-CN"/>
              </w:rPr>
            </w:pPr>
            <w:r>
              <w:rPr>
                <w:kern w:val="2"/>
                <w:sz w:val="21"/>
                <w:lang w:eastAsia="zh-CN"/>
              </w:rPr>
              <w:t>5</w:t>
            </w:r>
          </w:p>
        </w:tc>
      </w:tr>
      <w:tr w14:paraId="351F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263" w:type="dxa"/>
            <w:vMerge w:val="continue"/>
            <w:vAlign w:val="center"/>
          </w:tcPr>
          <w:p w14:paraId="7ABA4278">
            <w:pPr>
              <w:widowControl/>
              <w:jc w:val="center"/>
              <w:rPr>
                <w:kern w:val="2"/>
                <w:sz w:val="21"/>
                <w:lang w:eastAsia="zh-CN"/>
              </w:rPr>
            </w:pPr>
          </w:p>
        </w:tc>
        <w:tc>
          <w:tcPr>
            <w:tcW w:w="1814" w:type="dxa"/>
            <w:vAlign w:val="center"/>
          </w:tcPr>
          <w:p w14:paraId="5694FC3D">
            <w:pPr>
              <w:widowControl/>
              <w:jc w:val="center"/>
              <w:rPr>
                <w:kern w:val="2"/>
                <w:sz w:val="21"/>
                <w:lang w:eastAsia="zh-CN"/>
              </w:rPr>
            </w:pPr>
            <w:r>
              <w:rPr>
                <w:rFonts w:hint="eastAsia"/>
                <w:kern w:val="2"/>
                <w:sz w:val="21"/>
                <w:lang w:eastAsia="zh-CN"/>
              </w:rPr>
              <w:t>国家级三等奖</w:t>
            </w:r>
          </w:p>
        </w:tc>
        <w:tc>
          <w:tcPr>
            <w:tcW w:w="993" w:type="dxa"/>
            <w:vAlign w:val="center"/>
          </w:tcPr>
          <w:p w14:paraId="2C9D99BC">
            <w:pPr>
              <w:widowControl/>
              <w:jc w:val="center"/>
              <w:rPr>
                <w:kern w:val="2"/>
                <w:sz w:val="21"/>
                <w:lang w:eastAsia="zh-CN"/>
              </w:rPr>
            </w:pPr>
            <w:r>
              <w:rPr>
                <w:kern w:val="2"/>
                <w:sz w:val="21"/>
                <w:lang w:eastAsia="zh-CN"/>
              </w:rPr>
              <w:t>4</w:t>
            </w:r>
          </w:p>
        </w:tc>
      </w:tr>
      <w:tr w14:paraId="0C6F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263" w:type="dxa"/>
            <w:vMerge w:val="restart"/>
            <w:vAlign w:val="center"/>
          </w:tcPr>
          <w:p w14:paraId="182AC3EA">
            <w:pPr>
              <w:widowControl/>
              <w:jc w:val="center"/>
              <w:rPr>
                <w:kern w:val="2"/>
                <w:sz w:val="21"/>
                <w:lang w:eastAsia="zh-CN"/>
              </w:rPr>
            </w:pPr>
            <w:r>
              <w:rPr>
                <w:rFonts w:hint="eastAsia"/>
                <w:kern w:val="2"/>
                <w:sz w:val="21"/>
                <w:lang w:eastAsia="zh-CN"/>
              </w:rPr>
              <w:t>三星级竞赛</w:t>
            </w:r>
          </w:p>
        </w:tc>
        <w:tc>
          <w:tcPr>
            <w:tcW w:w="1814" w:type="dxa"/>
            <w:vAlign w:val="center"/>
          </w:tcPr>
          <w:p w14:paraId="3BAAB82F">
            <w:pPr>
              <w:widowControl/>
              <w:jc w:val="center"/>
              <w:rPr>
                <w:kern w:val="2"/>
                <w:sz w:val="21"/>
                <w:lang w:eastAsia="zh-CN"/>
              </w:rPr>
            </w:pPr>
            <w:r>
              <w:rPr>
                <w:rFonts w:hint="eastAsia"/>
                <w:kern w:val="2"/>
                <w:sz w:val="21"/>
                <w:lang w:eastAsia="zh-CN"/>
              </w:rPr>
              <w:t>省级一等奖</w:t>
            </w:r>
          </w:p>
        </w:tc>
        <w:tc>
          <w:tcPr>
            <w:tcW w:w="993" w:type="dxa"/>
            <w:vAlign w:val="center"/>
          </w:tcPr>
          <w:p w14:paraId="1F68A430">
            <w:pPr>
              <w:widowControl/>
              <w:jc w:val="center"/>
              <w:rPr>
                <w:kern w:val="2"/>
                <w:sz w:val="21"/>
                <w:lang w:eastAsia="zh-CN"/>
              </w:rPr>
            </w:pPr>
            <w:r>
              <w:rPr>
                <w:kern w:val="2"/>
                <w:sz w:val="21"/>
                <w:lang w:eastAsia="zh-CN"/>
              </w:rPr>
              <w:t>3</w:t>
            </w:r>
          </w:p>
        </w:tc>
      </w:tr>
      <w:tr w14:paraId="59487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2263" w:type="dxa"/>
            <w:vMerge w:val="continue"/>
            <w:vAlign w:val="center"/>
          </w:tcPr>
          <w:p w14:paraId="305B22AF">
            <w:pPr>
              <w:widowControl/>
              <w:jc w:val="center"/>
              <w:rPr>
                <w:kern w:val="2"/>
                <w:sz w:val="21"/>
                <w:lang w:eastAsia="zh-CN"/>
              </w:rPr>
            </w:pPr>
          </w:p>
        </w:tc>
        <w:tc>
          <w:tcPr>
            <w:tcW w:w="1814" w:type="dxa"/>
            <w:vAlign w:val="center"/>
          </w:tcPr>
          <w:p w14:paraId="334E5942">
            <w:pPr>
              <w:widowControl/>
              <w:jc w:val="center"/>
              <w:rPr>
                <w:kern w:val="2"/>
                <w:sz w:val="21"/>
                <w:lang w:eastAsia="zh-CN"/>
              </w:rPr>
            </w:pPr>
            <w:r>
              <w:rPr>
                <w:rFonts w:hint="eastAsia"/>
                <w:kern w:val="2"/>
                <w:sz w:val="21"/>
                <w:lang w:eastAsia="zh-CN"/>
              </w:rPr>
              <w:t>省级二等奖</w:t>
            </w:r>
          </w:p>
        </w:tc>
        <w:tc>
          <w:tcPr>
            <w:tcW w:w="993" w:type="dxa"/>
            <w:vAlign w:val="center"/>
          </w:tcPr>
          <w:p w14:paraId="5FC30FF7">
            <w:pPr>
              <w:widowControl/>
              <w:jc w:val="center"/>
              <w:rPr>
                <w:kern w:val="2"/>
                <w:sz w:val="21"/>
                <w:lang w:eastAsia="zh-CN"/>
              </w:rPr>
            </w:pPr>
            <w:r>
              <w:rPr>
                <w:rFonts w:hint="eastAsia"/>
                <w:kern w:val="2"/>
                <w:sz w:val="21"/>
                <w:lang w:eastAsia="zh-CN"/>
              </w:rPr>
              <w:t>2</w:t>
            </w:r>
          </w:p>
        </w:tc>
      </w:tr>
      <w:tr w14:paraId="62A5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2263" w:type="dxa"/>
            <w:vMerge w:val="continue"/>
            <w:vAlign w:val="center"/>
          </w:tcPr>
          <w:p w14:paraId="4B5DE820">
            <w:pPr>
              <w:widowControl/>
              <w:jc w:val="center"/>
              <w:rPr>
                <w:kern w:val="2"/>
                <w:sz w:val="21"/>
                <w:lang w:eastAsia="zh-CN"/>
              </w:rPr>
            </w:pPr>
          </w:p>
        </w:tc>
        <w:tc>
          <w:tcPr>
            <w:tcW w:w="1814" w:type="dxa"/>
            <w:vAlign w:val="center"/>
          </w:tcPr>
          <w:p w14:paraId="6C9EF9FA">
            <w:pPr>
              <w:widowControl/>
              <w:jc w:val="center"/>
              <w:rPr>
                <w:kern w:val="2"/>
                <w:sz w:val="21"/>
                <w:lang w:eastAsia="zh-CN"/>
              </w:rPr>
            </w:pPr>
            <w:r>
              <w:rPr>
                <w:rFonts w:hint="eastAsia"/>
                <w:kern w:val="2"/>
                <w:sz w:val="21"/>
                <w:lang w:eastAsia="zh-CN"/>
              </w:rPr>
              <w:t>省级三等奖</w:t>
            </w:r>
          </w:p>
        </w:tc>
        <w:tc>
          <w:tcPr>
            <w:tcW w:w="993" w:type="dxa"/>
            <w:vAlign w:val="center"/>
          </w:tcPr>
          <w:p w14:paraId="29E8CA4E">
            <w:pPr>
              <w:widowControl/>
              <w:jc w:val="center"/>
              <w:rPr>
                <w:kern w:val="2"/>
                <w:sz w:val="21"/>
                <w:lang w:eastAsia="zh-CN"/>
              </w:rPr>
            </w:pPr>
            <w:r>
              <w:rPr>
                <w:kern w:val="2"/>
                <w:sz w:val="21"/>
                <w:lang w:eastAsia="zh-CN"/>
              </w:rPr>
              <w:t>1</w:t>
            </w:r>
          </w:p>
        </w:tc>
      </w:tr>
      <w:tr w14:paraId="6C46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2263" w:type="dxa"/>
            <w:vMerge w:val="restart"/>
            <w:vAlign w:val="center"/>
          </w:tcPr>
          <w:p w14:paraId="12AD08A9">
            <w:pPr>
              <w:widowControl/>
              <w:jc w:val="center"/>
              <w:rPr>
                <w:kern w:val="2"/>
                <w:sz w:val="21"/>
                <w:lang w:eastAsia="zh-CN"/>
              </w:rPr>
            </w:pPr>
            <w:r>
              <w:rPr>
                <w:rFonts w:hint="eastAsia"/>
                <w:kern w:val="2"/>
                <w:sz w:val="21"/>
                <w:lang w:eastAsia="zh-CN"/>
              </w:rPr>
              <w:t>论文</w:t>
            </w:r>
          </w:p>
        </w:tc>
        <w:tc>
          <w:tcPr>
            <w:tcW w:w="1814" w:type="dxa"/>
            <w:vAlign w:val="center"/>
          </w:tcPr>
          <w:p w14:paraId="1331F65E">
            <w:pPr>
              <w:widowControl/>
              <w:jc w:val="center"/>
              <w:rPr>
                <w:kern w:val="2"/>
                <w:sz w:val="21"/>
                <w:lang w:eastAsia="zh-CN"/>
              </w:rPr>
            </w:pPr>
            <w:r>
              <w:rPr>
                <w:rFonts w:hint="eastAsia"/>
                <w:kern w:val="2"/>
                <w:sz w:val="21"/>
                <w:lang w:eastAsia="zh-CN"/>
              </w:rPr>
              <w:t>SCI期刊</w:t>
            </w:r>
          </w:p>
        </w:tc>
        <w:tc>
          <w:tcPr>
            <w:tcW w:w="993" w:type="dxa"/>
            <w:vAlign w:val="center"/>
          </w:tcPr>
          <w:p w14:paraId="7EC525BF">
            <w:pPr>
              <w:widowControl/>
              <w:jc w:val="center"/>
              <w:rPr>
                <w:kern w:val="2"/>
                <w:sz w:val="21"/>
                <w:lang w:eastAsia="zh-CN"/>
              </w:rPr>
            </w:pPr>
            <w:r>
              <w:rPr>
                <w:kern w:val="2"/>
                <w:sz w:val="21"/>
                <w:lang w:eastAsia="zh-CN"/>
              </w:rPr>
              <w:t>10</w:t>
            </w:r>
          </w:p>
        </w:tc>
      </w:tr>
      <w:tr w14:paraId="71515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2263" w:type="dxa"/>
            <w:vMerge w:val="continue"/>
            <w:vAlign w:val="center"/>
          </w:tcPr>
          <w:p w14:paraId="5861724E">
            <w:pPr>
              <w:widowControl/>
              <w:jc w:val="center"/>
              <w:rPr>
                <w:kern w:val="2"/>
                <w:sz w:val="21"/>
                <w:lang w:eastAsia="zh-CN"/>
              </w:rPr>
            </w:pPr>
          </w:p>
        </w:tc>
        <w:tc>
          <w:tcPr>
            <w:tcW w:w="1814" w:type="dxa"/>
            <w:vAlign w:val="center"/>
          </w:tcPr>
          <w:p w14:paraId="2D6B0C9A">
            <w:pPr>
              <w:widowControl/>
              <w:jc w:val="center"/>
              <w:rPr>
                <w:kern w:val="2"/>
                <w:sz w:val="21"/>
                <w:lang w:eastAsia="zh-CN"/>
              </w:rPr>
            </w:pPr>
            <w:r>
              <w:rPr>
                <w:rFonts w:hint="eastAsia"/>
                <w:kern w:val="2"/>
                <w:sz w:val="21"/>
                <w:lang w:eastAsia="zh-CN"/>
              </w:rPr>
              <w:t>EI</w:t>
            </w:r>
          </w:p>
        </w:tc>
        <w:tc>
          <w:tcPr>
            <w:tcW w:w="993" w:type="dxa"/>
            <w:vAlign w:val="center"/>
          </w:tcPr>
          <w:p w14:paraId="7ECF49DB">
            <w:pPr>
              <w:widowControl/>
              <w:jc w:val="center"/>
              <w:rPr>
                <w:kern w:val="2"/>
                <w:sz w:val="21"/>
                <w:lang w:eastAsia="zh-CN"/>
              </w:rPr>
            </w:pPr>
            <w:r>
              <w:rPr>
                <w:rFonts w:hint="eastAsia"/>
                <w:kern w:val="2"/>
                <w:sz w:val="21"/>
                <w:lang w:eastAsia="zh-CN"/>
              </w:rPr>
              <w:t>7</w:t>
            </w:r>
          </w:p>
        </w:tc>
      </w:tr>
      <w:tr w14:paraId="6709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2263" w:type="dxa"/>
            <w:vMerge w:val="continue"/>
            <w:vAlign w:val="center"/>
          </w:tcPr>
          <w:p w14:paraId="584C4AA8">
            <w:pPr>
              <w:widowControl/>
              <w:rPr>
                <w:kern w:val="2"/>
                <w:sz w:val="21"/>
                <w:lang w:eastAsia="zh-CN"/>
              </w:rPr>
            </w:pPr>
          </w:p>
        </w:tc>
        <w:tc>
          <w:tcPr>
            <w:tcW w:w="1814" w:type="dxa"/>
            <w:vAlign w:val="center"/>
          </w:tcPr>
          <w:p w14:paraId="01D8E4AE">
            <w:pPr>
              <w:widowControl/>
              <w:jc w:val="center"/>
              <w:rPr>
                <w:kern w:val="2"/>
                <w:sz w:val="21"/>
                <w:lang w:eastAsia="zh-CN"/>
              </w:rPr>
            </w:pPr>
            <w:r>
              <w:rPr>
                <w:rFonts w:hint="eastAsia"/>
                <w:kern w:val="2"/>
                <w:sz w:val="21"/>
                <w:lang w:eastAsia="zh-CN"/>
              </w:rPr>
              <w:t>CSCD期刊</w:t>
            </w:r>
          </w:p>
        </w:tc>
        <w:tc>
          <w:tcPr>
            <w:tcW w:w="993" w:type="dxa"/>
            <w:vAlign w:val="center"/>
          </w:tcPr>
          <w:p w14:paraId="78C98BEC">
            <w:pPr>
              <w:widowControl/>
              <w:jc w:val="center"/>
              <w:rPr>
                <w:kern w:val="2"/>
                <w:sz w:val="21"/>
                <w:lang w:eastAsia="zh-CN"/>
              </w:rPr>
            </w:pPr>
            <w:r>
              <w:rPr>
                <w:kern w:val="2"/>
                <w:sz w:val="21"/>
                <w:lang w:eastAsia="zh-CN"/>
              </w:rPr>
              <w:t>5</w:t>
            </w:r>
          </w:p>
        </w:tc>
      </w:tr>
      <w:tr w14:paraId="4F0C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2263" w:type="dxa"/>
            <w:vMerge w:val="continue"/>
            <w:vAlign w:val="center"/>
          </w:tcPr>
          <w:p w14:paraId="00738B9C">
            <w:pPr>
              <w:widowControl/>
              <w:rPr>
                <w:kern w:val="2"/>
                <w:sz w:val="21"/>
                <w:lang w:eastAsia="zh-CN"/>
              </w:rPr>
            </w:pPr>
          </w:p>
        </w:tc>
        <w:tc>
          <w:tcPr>
            <w:tcW w:w="1814" w:type="dxa"/>
            <w:vAlign w:val="center"/>
          </w:tcPr>
          <w:p w14:paraId="6BBF8163">
            <w:pPr>
              <w:widowControl/>
              <w:jc w:val="center"/>
              <w:rPr>
                <w:kern w:val="2"/>
                <w:sz w:val="21"/>
                <w:lang w:eastAsia="zh-CN"/>
              </w:rPr>
            </w:pPr>
            <w:r>
              <w:rPr>
                <w:rFonts w:hint="eastAsia"/>
                <w:kern w:val="2"/>
                <w:sz w:val="21"/>
                <w:lang w:eastAsia="zh-CN"/>
              </w:rPr>
              <w:t>中文核心期刊</w:t>
            </w:r>
          </w:p>
        </w:tc>
        <w:tc>
          <w:tcPr>
            <w:tcW w:w="993" w:type="dxa"/>
            <w:vAlign w:val="center"/>
          </w:tcPr>
          <w:p w14:paraId="2CD3A921">
            <w:pPr>
              <w:widowControl/>
              <w:jc w:val="center"/>
              <w:rPr>
                <w:kern w:val="2"/>
                <w:sz w:val="21"/>
                <w:lang w:eastAsia="zh-CN"/>
              </w:rPr>
            </w:pPr>
            <w:r>
              <w:rPr>
                <w:rFonts w:hint="eastAsia"/>
                <w:kern w:val="2"/>
                <w:sz w:val="21"/>
                <w:lang w:eastAsia="zh-CN"/>
              </w:rPr>
              <w:t>2</w:t>
            </w:r>
          </w:p>
        </w:tc>
      </w:tr>
      <w:tr w14:paraId="2501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263" w:type="dxa"/>
            <w:vMerge w:val="continue"/>
            <w:vAlign w:val="center"/>
          </w:tcPr>
          <w:p w14:paraId="204A173E">
            <w:pPr>
              <w:widowControl/>
              <w:rPr>
                <w:kern w:val="2"/>
                <w:sz w:val="21"/>
                <w:lang w:eastAsia="zh-CN"/>
              </w:rPr>
            </w:pPr>
          </w:p>
        </w:tc>
        <w:tc>
          <w:tcPr>
            <w:tcW w:w="1814" w:type="dxa"/>
            <w:vAlign w:val="center"/>
          </w:tcPr>
          <w:p w14:paraId="556A7552">
            <w:pPr>
              <w:widowControl/>
              <w:jc w:val="center"/>
              <w:rPr>
                <w:kern w:val="2"/>
                <w:sz w:val="21"/>
                <w:lang w:eastAsia="zh-CN"/>
              </w:rPr>
            </w:pPr>
            <w:r>
              <w:rPr>
                <w:rFonts w:hint="eastAsia"/>
                <w:kern w:val="2"/>
                <w:sz w:val="21"/>
                <w:lang w:eastAsia="zh-CN"/>
              </w:rPr>
              <w:t>公开发表刊物、学术会议论文</w:t>
            </w:r>
          </w:p>
        </w:tc>
        <w:tc>
          <w:tcPr>
            <w:tcW w:w="993" w:type="dxa"/>
            <w:vAlign w:val="center"/>
          </w:tcPr>
          <w:p w14:paraId="7023B5C9">
            <w:pPr>
              <w:widowControl/>
              <w:jc w:val="center"/>
              <w:rPr>
                <w:kern w:val="2"/>
                <w:sz w:val="21"/>
                <w:lang w:eastAsia="zh-CN"/>
              </w:rPr>
            </w:pPr>
            <w:r>
              <w:rPr>
                <w:rFonts w:hint="eastAsia"/>
                <w:kern w:val="2"/>
                <w:sz w:val="21"/>
                <w:lang w:eastAsia="zh-CN"/>
              </w:rPr>
              <w:t>0</w:t>
            </w:r>
            <w:r>
              <w:rPr>
                <w:kern w:val="2"/>
                <w:sz w:val="21"/>
                <w:lang w:eastAsia="zh-CN"/>
              </w:rPr>
              <w:t>.5</w:t>
            </w:r>
          </w:p>
        </w:tc>
      </w:tr>
      <w:tr w14:paraId="5D718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gridSpan w:val="2"/>
            <w:vAlign w:val="center"/>
          </w:tcPr>
          <w:p w14:paraId="50776552">
            <w:pPr>
              <w:widowControl/>
              <w:jc w:val="center"/>
              <w:rPr>
                <w:kern w:val="2"/>
                <w:sz w:val="21"/>
                <w:lang w:eastAsia="zh-CN"/>
              </w:rPr>
            </w:pPr>
            <w:r>
              <w:rPr>
                <w:rFonts w:hint="eastAsia"/>
                <w:kern w:val="2"/>
                <w:sz w:val="21"/>
                <w:lang w:eastAsia="zh-CN"/>
              </w:rPr>
              <w:t>实用新型专利（授权）</w:t>
            </w:r>
          </w:p>
        </w:tc>
        <w:tc>
          <w:tcPr>
            <w:tcW w:w="993" w:type="dxa"/>
            <w:vAlign w:val="center"/>
          </w:tcPr>
          <w:p w14:paraId="0F76D90D">
            <w:pPr>
              <w:widowControl/>
              <w:jc w:val="center"/>
              <w:rPr>
                <w:kern w:val="2"/>
                <w:sz w:val="21"/>
                <w:lang w:eastAsia="zh-CN"/>
              </w:rPr>
            </w:pPr>
            <w:r>
              <w:rPr>
                <w:rFonts w:hint="eastAsia"/>
                <w:kern w:val="2"/>
                <w:sz w:val="21"/>
                <w:lang w:eastAsia="zh-CN"/>
              </w:rPr>
              <w:t>0</w:t>
            </w:r>
            <w:r>
              <w:rPr>
                <w:kern w:val="2"/>
                <w:sz w:val="21"/>
                <w:lang w:eastAsia="zh-CN"/>
              </w:rPr>
              <w:t>.3</w:t>
            </w:r>
          </w:p>
        </w:tc>
      </w:tr>
      <w:tr w14:paraId="13964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gridSpan w:val="2"/>
            <w:vAlign w:val="center"/>
          </w:tcPr>
          <w:p w14:paraId="6875C3D5">
            <w:pPr>
              <w:widowControl/>
              <w:jc w:val="center"/>
              <w:rPr>
                <w:kern w:val="2"/>
                <w:sz w:val="21"/>
                <w:lang w:eastAsia="zh-CN"/>
              </w:rPr>
            </w:pPr>
            <w:r>
              <w:rPr>
                <w:rFonts w:hint="eastAsia"/>
                <w:kern w:val="2"/>
                <w:sz w:val="21"/>
                <w:lang w:eastAsia="zh-CN"/>
              </w:rPr>
              <w:t>发明专利（授权）</w:t>
            </w:r>
          </w:p>
        </w:tc>
        <w:tc>
          <w:tcPr>
            <w:tcW w:w="993" w:type="dxa"/>
            <w:vAlign w:val="center"/>
          </w:tcPr>
          <w:p w14:paraId="08E6A6B6">
            <w:pPr>
              <w:widowControl/>
              <w:jc w:val="center"/>
              <w:rPr>
                <w:kern w:val="2"/>
                <w:sz w:val="21"/>
                <w:lang w:eastAsia="zh-CN"/>
              </w:rPr>
            </w:pPr>
            <w:r>
              <w:rPr>
                <w:kern w:val="2"/>
                <w:sz w:val="21"/>
                <w:lang w:eastAsia="zh-CN"/>
              </w:rPr>
              <w:t>10</w:t>
            </w:r>
          </w:p>
        </w:tc>
      </w:tr>
    </w:tbl>
    <w:p w14:paraId="0884758A">
      <w:pPr>
        <w:pStyle w:val="7"/>
        <w:shd w:val="clear" w:color="auto" w:fill="FFFFFF"/>
        <w:spacing w:before="0" w:beforeAutospacing="0" w:after="0" w:afterAutospacing="0" w:line="360" w:lineRule="auto"/>
        <w:jc w:val="both"/>
        <w:rPr>
          <w:color w:val="323232"/>
          <w:sz w:val="29"/>
          <w:szCs w:val="29"/>
        </w:rPr>
      </w:pPr>
    </w:p>
    <w:p w14:paraId="5C9DE514">
      <w:pPr>
        <w:pStyle w:val="7"/>
        <w:shd w:val="clear" w:color="auto" w:fill="FFFFFF"/>
        <w:spacing w:before="0" w:beforeAutospacing="0" w:after="0" w:afterAutospacing="0" w:line="435" w:lineRule="atLeast"/>
        <w:rPr>
          <w:color w:val="323232"/>
          <w:sz w:val="29"/>
          <w:szCs w:val="29"/>
        </w:rPr>
      </w:pPr>
    </w:p>
    <w:p w14:paraId="306A2814">
      <w:pPr>
        <w:pStyle w:val="7"/>
        <w:shd w:val="clear" w:color="auto" w:fill="FFFFFF"/>
        <w:spacing w:before="0" w:beforeAutospacing="0" w:after="0" w:afterAutospacing="0" w:line="435" w:lineRule="atLeast"/>
        <w:rPr>
          <w:color w:val="323232"/>
          <w:sz w:val="29"/>
          <w:szCs w:val="29"/>
        </w:rPr>
      </w:pPr>
    </w:p>
    <w:p w14:paraId="73904BBF">
      <w:pPr>
        <w:pStyle w:val="7"/>
        <w:shd w:val="clear" w:color="auto" w:fill="FFFFFF"/>
        <w:spacing w:before="0" w:beforeAutospacing="0" w:after="0" w:afterAutospacing="0" w:line="435" w:lineRule="atLeast"/>
        <w:rPr>
          <w:color w:val="323232"/>
          <w:sz w:val="29"/>
          <w:szCs w:val="29"/>
        </w:rPr>
      </w:pPr>
    </w:p>
    <w:p w14:paraId="01B6DF58">
      <w:pPr>
        <w:pStyle w:val="7"/>
        <w:shd w:val="clear" w:color="auto" w:fill="FFFFFF"/>
        <w:spacing w:before="0" w:beforeAutospacing="0" w:after="0" w:afterAutospacing="0" w:line="435" w:lineRule="atLeast"/>
        <w:rPr>
          <w:color w:val="323232"/>
          <w:sz w:val="29"/>
          <w:szCs w:val="29"/>
        </w:rPr>
      </w:pPr>
    </w:p>
    <w:p w14:paraId="5FA2D74F">
      <w:pPr>
        <w:pStyle w:val="7"/>
        <w:shd w:val="clear" w:color="auto" w:fill="FFFFFF"/>
        <w:spacing w:before="0" w:beforeAutospacing="0" w:after="0" w:afterAutospacing="0" w:line="435" w:lineRule="atLeast"/>
        <w:rPr>
          <w:color w:val="323232"/>
          <w:sz w:val="29"/>
          <w:szCs w:val="29"/>
        </w:rPr>
      </w:pPr>
    </w:p>
    <w:p w14:paraId="052ACF37">
      <w:pPr>
        <w:pStyle w:val="7"/>
        <w:shd w:val="clear" w:color="auto" w:fill="FFFFFF"/>
        <w:spacing w:before="0" w:beforeAutospacing="0" w:after="0" w:afterAutospacing="0" w:line="435" w:lineRule="atLeast"/>
        <w:rPr>
          <w:color w:val="323232"/>
          <w:sz w:val="29"/>
          <w:szCs w:val="29"/>
        </w:rPr>
      </w:pPr>
    </w:p>
    <w:p w14:paraId="565C2F78">
      <w:pPr>
        <w:pStyle w:val="7"/>
        <w:shd w:val="clear" w:color="auto" w:fill="FFFFFF"/>
        <w:spacing w:before="0" w:beforeAutospacing="0" w:after="0" w:afterAutospacing="0" w:line="435" w:lineRule="atLeast"/>
        <w:rPr>
          <w:color w:val="323232"/>
          <w:sz w:val="29"/>
          <w:szCs w:val="29"/>
        </w:rPr>
      </w:pPr>
    </w:p>
    <w:p w14:paraId="2995FB2B">
      <w:pPr>
        <w:pStyle w:val="7"/>
        <w:shd w:val="clear" w:color="auto" w:fill="FFFFFF"/>
        <w:spacing w:before="0" w:beforeAutospacing="0" w:after="0" w:afterAutospacing="0" w:line="435" w:lineRule="atLeast"/>
        <w:rPr>
          <w:color w:val="323232"/>
          <w:sz w:val="29"/>
          <w:szCs w:val="29"/>
        </w:rPr>
      </w:pPr>
    </w:p>
    <w:p w14:paraId="79D15BA9">
      <w:pPr>
        <w:pStyle w:val="7"/>
        <w:shd w:val="clear" w:color="auto" w:fill="FFFFFF"/>
        <w:spacing w:before="0" w:beforeAutospacing="0" w:after="0" w:afterAutospacing="0" w:line="435" w:lineRule="atLeast"/>
        <w:rPr>
          <w:color w:val="323232"/>
          <w:sz w:val="29"/>
          <w:szCs w:val="29"/>
        </w:rPr>
      </w:pPr>
    </w:p>
    <w:p w14:paraId="6FB667B0">
      <w:pPr>
        <w:pStyle w:val="7"/>
        <w:shd w:val="clear" w:color="auto" w:fill="FFFFFF"/>
        <w:spacing w:before="0" w:beforeAutospacing="0" w:after="0" w:afterAutospacing="0" w:line="435" w:lineRule="atLeast"/>
        <w:rPr>
          <w:color w:val="323232"/>
          <w:sz w:val="29"/>
          <w:szCs w:val="29"/>
        </w:rPr>
      </w:pPr>
    </w:p>
    <w:p w14:paraId="43B4D089">
      <w:pPr>
        <w:pStyle w:val="7"/>
        <w:shd w:val="clear" w:color="auto" w:fill="FFFFFF"/>
        <w:spacing w:before="0" w:beforeAutospacing="0" w:after="0" w:afterAutospacing="0" w:line="435" w:lineRule="atLeast"/>
        <w:rPr>
          <w:color w:val="323232"/>
          <w:sz w:val="29"/>
          <w:szCs w:val="29"/>
        </w:rPr>
      </w:pPr>
    </w:p>
    <w:p w14:paraId="0AB0EC84">
      <w:pPr>
        <w:pStyle w:val="7"/>
        <w:shd w:val="clear" w:color="auto" w:fill="FFFFFF"/>
        <w:spacing w:before="0" w:beforeAutospacing="0" w:after="0" w:afterAutospacing="0" w:line="435" w:lineRule="atLeast"/>
        <w:rPr>
          <w:color w:val="323232"/>
          <w:sz w:val="29"/>
          <w:szCs w:val="29"/>
        </w:rPr>
      </w:pPr>
    </w:p>
    <w:p w14:paraId="406E4823">
      <w:pPr>
        <w:pStyle w:val="7"/>
        <w:shd w:val="clear" w:color="auto" w:fill="FFFFFF"/>
        <w:spacing w:before="0" w:beforeAutospacing="0" w:after="0" w:afterAutospacing="0" w:line="435" w:lineRule="atLeast"/>
        <w:rPr>
          <w:color w:val="323232"/>
          <w:sz w:val="29"/>
          <w:szCs w:val="29"/>
        </w:rPr>
      </w:pPr>
    </w:p>
    <w:p w14:paraId="61D24BCB">
      <w:pPr>
        <w:pStyle w:val="7"/>
        <w:shd w:val="clear" w:color="auto" w:fill="FFFFFF"/>
        <w:spacing w:before="0" w:beforeAutospacing="0" w:after="0" w:afterAutospacing="0" w:line="435" w:lineRule="atLeast"/>
        <w:rPr>
          <w:color w:val="323232"/>
          <w:sz w:val="29"/>
          <w:szCs w:val="29"/>
        </w:rPr>
      </w:pPr>
    </w:p>
    <w:p w14:paraId="5BB285DC">
      <w:pPr>
        <w:pStyle w:val="7"/>
        <w:shd w:val="clear" w:color="auto" w:fill="FFFFFF"/>
        <w:spacing w:before="0" w:beforeAutospacing="0" w:after="0" w:afterAutospacing="0" w:line="435" w:lineRule="atLeast"/>
        <w:rPr>
          <w:color w:val="323232"/>
          <w:sz w:val="29"/>
          <w:szCs w:val="29"/>
        </w:rPr>
      </w:pPr>
    </w:p>
    <w:p w14:paraId="6AC61DF7">
      <w:pPr>
        <w:pStyle w:val="7"/>
        <w:shd w:val="clear" w:color="auto" w:fill="FFFFFF"/>
        <w:spacing w:before="0" w:beforeAutospacing="0" w:after="0" w:afterAutospacing="0" w:line="435" w:lineRule="atLeast"/>
        <w:rPr>
          <w:color w:val="323232"/>
          <w:sz w:val="29"/>
          <w:szCs w:val="29"/>
        </w:rPr>
      </w:pPr>
    </w:p>
    <w:p w14:paraId="4D786CCA">
      <w:pPr>
        <w:pStyle w:val="7"/>
        <w:shd w:val="clear" w:color="auto" w:fill="FFFFFF"/>
        <w:spacing w:before="0" w:beforeAutospacing="0" w:after="0" w:afterAutospacing="0" w:line="435" w:lineRule="atLeast"/>
        <w:rPr>
          <w:color w:val="323232"/>
          <w:sz w:val="29"/>
          <w:szCs w:val="29"/>
        </w:rPr>
      </w:pPr>
    </w:p>
    <w:p w14:paraId="1FF25621">
      <w:pPr>
        <w:pStyle w:val="7"/>
        <w:shd w:val="clear" w:color="auto" w:fill="FFFFFF"/>
        <w:spacing w:before="0" w:beforeAutospacing="0" w:after="0" w:afterAutospacing="0" w:line="360" w:lineRule="auto"/>
        <w:rPr>
          <w:color w:val="323232"/>
          <w:sz w:val="29"/>
          <w:szCs w:val="29"/>
        </w:rPr>
      </w:pPr>
      <w:r>
        <w:rPr>
          <w:color w:val="323232"/>
          <w:sz w:val="29"/>
          <w:szCs w:val="29"/>
        </w:rPr>
        <w:t>5.</w:t>
      </w:r>
      <w:r>
        <w:rPr>
          <w:rFonts w:hint="eastAsia"/>
          <w:color w:val="323232"/>
          <w:sz w:val="29"/>
          <w:szCs w:val="29"/>
        </w:rPr>
        <w:t xml:space="preserve"> 学术成果最多限3项。</w:t>
      </w:r>
    </w:p>
    <w:p w14:paraId="2EDEF42D">
      <w:pPr>
        <w:pStyle w:val="7"/>
        <w:shd w:val="clear" w:color="auto" w:fill="FFFFFF"/>
        <w:spacing w:before="0" w:beforeAutospacing="0" w:after="0" w:afterAutospacing="0" w:line="360" w:lineRule="auto"/>
        <w:rPr>
          <w:color w:val="323232"/>
          <w:sz w:val="29"/>
          <w:szCs w:val="29"/>
        </w:rPr>
      </w:pPr>
      <w:r>
        <w:rPr>
          <w:rFonts w:hint="eastAsia"/>
          <w:color w:val="323232"/>
          <w:sz w:val="29"/>
          <w:szCs w:val="29"/>
        </w:rPr>
        <w:t>6</w:t>
      </w:r>
      <w:r>
        <w:rPr>
          <w:color w:val="323232"/>
          <w:sz w:val="29"/>
          <w:szCs w:val="29"/>
        </w:rPr>
        <w:t>.</w:t>
      </w:r>
      <w:r>
        <w:rPr>
          <w:rFonts w:hint="eastAsia"/>
          <w:sz w:val="29"/>
          <w:szCs w:val="29"/>
        </w:rPr>
        <w:t xml:space="preserve"> </w:t>
      </w:r>
      <w:r>
        <w:rPr>
          <w:rFonts w:hint="eastAsia"/>
          <w:color w:val="323232"/>
          <w:sz w:val="29"/>
          <w:szCs w:val="29"/>
        </w:rPr>
        <w:t>在学校科技学术活动、创新创业等活动中有突出表现者经转专业领导小组认定后可予以优先考虑。</w:t>
      </w:r>
    </w:p>
    <w:p w14:paraId="3A4A2110">
      <w:pPr>
        <w:pStyle w:val="7"/>
        <w:shd w:val="clear" w:color="auto" w:fill="FFFFFF"/>
        <w:spacing w:before="0" w:beforeAutospacing="0" w:after="0" w:afterAutospacing="0" w:line="435" w:lineRule="atLeast"/>
        <w:rPr>
          <w:color w:val="323232"/>
          <w:sz w:val="29"/>
          <w:szCs w:val="29"/>
        </w:rPr>
      </w:pPr>
      <w:r>
        <w:rPr>
          <w:rFonts w:hint="eastAsia"/>
          <w:color w:val="323232"/>
          <w:sz w:val="29"/>
          <w:szCs w:val="29"/>
        </w:rPr>
        <w:t>7</w:t>
      </w:r>
      <w:r>
        <w:rPr>
          <w:color w:val="323232"/>
          <w:sz w:val="29"/>
          <w:szCs w:val="29"/>
        </w:rPr>
        <w:t>.</w:t>
      </w:r>
    </w:p>
    <w:p w14:paraId="48E33DED">
      <w:pPr>
        <w:pStyle w:val="7"/>
        <w:shd w:val="clear" w:color="auto" w:fill="FFFFFF"/>
        <w:spacing w:before="0" w:beforeAutospacing="0" w:after="0" w:afterAutospacing="0" w:line="360" w:lineRule="auto"/>
        <w:rPr>
          <w:color w:val="323232"/>
          <w:sz w:val="28"/>
          <w:szCs w:val="28"/>
        </w:rPr>
      </w:pPr>
      <w:r>
        <w:rPr>
          <w:rFonts w:hint="eastAsia"/>
          <w:b/>
          <w:bCs/>
          <w:color w:val="323232"/>
          <w:sz w:val="28"/>
          <w:szCs w:val="28"/>
        </w:rPr>
        <w:t>（三）</w:t>
      </w:r>
      <w:r>
        <w:rPr>
          <w:rFonts w:hint="eastAsia"/>
          <w:b/>
          <w:bCs/>
          <w:color w:val="323232"/>
          <w:sz w:val="29"/>
          <w:szCs w:val="29"/>
          <w:shd w:val="clear" w:color="auto" w:fill="FFFFFF"/>
        </w:rPr>
        <w:t>学籍及教学管理</w:t>
      </w:r>
    </w:p>
    <w:p w14:paraId="50CB8224">
      <w:pPr>
        <w:pStyle w:val="7"/>
        <w:shd w:val="clear" w:color="auto" w:fill="FFFFFF"/>
        <w:spacing w:before="0" w:beforeAutospacing="0" w:after="0" w:afterAutospacing="0" w:line="480" w:lineRule="auto"/>
        <w:ind w:firstLine="580" w:firstLineChars="200"/>
        <w:rPr>
          <w:color w:val="323232"/>
          <w:sz w:val="29"/>
          <w:szCs w:val="29"/>
        </w:rPr>
      </w:pPr>
      <w:r>
        <w:rPr>
          <w:rFonts w:hint="eastAsia"/>
          <w:color w:val="323232"/>
          <w:sz w:val="29"/>
          <w:szCs w:val="29"/>
        </w:rPr>
        <w:t>1.转入申请经批准生效后，不得退回原专业，转专业前的在校学习时间计入在校学习年限。</w:t>
      </w:r>
    </w:p>
    <w:p w14:paraId="26F1B730">
      <w:pPr>
        <w:pStyle w:val="7"/>
        <w:shd w:val="clear" w:color="auto" w:fill="FFFFFF"/>
        <w:spacing w:before="0" w:beforeAutospacing="0" w:after="0" w:afterAutospacing="0" w:line="480" w:lineRule="auto"/>
        <w:ind w:firstLine="580" w:firstLineChars="200"/>
        <w:rPr>
          <w:color w:val="323232"/>
          <w:sz w:val="29"/>
          <w:szCs w:val="29"/>
          <w:highlight w:val="yellow"/>
        </w:rPr>
      </w:pPr>
      <w:r>
        <w:rPr>
          <w:rFonts w:hint="eastAsia"/>
          <w:color w:val="323232"/>
          <w:sz w:val="29"/>
          <w:szCs w:val="29"/>
          <w:highlight w:val="yellow"/>
        </w:rPr>
        <w:t>2</w:t>
      </w:r>
      <w:r>
        <w:rPr>
          <w:color w:val="323232"/>
          <w:sz w:val="29"/>
          <w:szCs w:val="29"/>
          <w:highlight w:val="yellow"/>
        </w:rPr>
        <w:t>.</w:t>
      </w:r>
      <w:r>
        <w:rPr>
          <w:rFonts w:hint="eastAsia"/>
          <w:bCs/>
          <w:color w:val="323232"/>
          <w:sz w:val="29"/>
          <w:szCs w:val="29"/>
          <w:highlight w:val="yellow"/>
        </w:rPr>
        <w:t>转专业前取得学分的课程</w:t>
      </w:r>
      <w:r>
        <w:rPr>
          <w:rFonts w:hint="eastAsia"/>
          <w:color w:val="323232"/>
          <w:sz w:val="29"/>
          <w:szCs w:val="29"/>
          <w:highlight w:val="yellow"/>
        </w:rPr>
        <w:t>如果在新专业中也开设，且课程学分及课程内容一致的，秉持等效原则，予以认可。学分或教学内容不一致的，由专业负责人根据课程内容差异情况审核，若能够满足新专业人才培养方案毕业要求中对该门课程的能力培养要求时，予以置换，否则应予以补修课程以补齐学分。</w:t>
      </w:r>
    </w:p>
    <w:p w14:paraId="72E6134E">
      <w:pPr>
        <w:pStyle w:val="7"/>
        <w:shd w:val="clear" w:color="auto" w:fill="FFFFFF"/>
        <w:spacing w:before="0" w:beforeAutospacing="0" w:after="0" w:afterAutospacing="0" w:line="480" w:lineRule="auto"/>
        <w:ind w:firstLine="580" w:firstLineChars="200"/>
        <w:rPr>
          <w:color w:val="323232"/>
          <w:sz w:val="29"/>
          <w:szCs w:val="29"/>
          <w:highlight w:val="yellow"/>
        </w:rPr>
      </w:pPr>
      <w:r>
        <w:rPr>
          <w:color w:val="323232"/>
          <w:sz w:val="29"/>
          <w:szCs w:val="29"/>
          <w:highlight w:val="yellow"/>
        </w:rPr>
        <w:t>3.</w:t>
      </w:r>
      <w:r>
        <w:rPr>
          <w:rFonts w:hint="eastAsia"/>
          <w:color w:val="323232"/>
          <w:sz w:val="29"/>
          <w:szCs w:val="29"/>
          <w:highlight w:val="yellow"/>
        </w:rPr>
        <w:t>申请转专业学生存在如下情况的，视为已修读课程无法达到申请转入专业人才培养方案中的毕业要求，需转入新专业下一个年级进行学习：</w:t>
      </w:r>
    </w:p>
    <w:p w14:paraId="2461FD8F">
      <w:pPr>
        <w:pStyle w:val="7"/>
        <w:shd w:val="clear" w:color="auto" w:fill="FFFFFF"/>
        <w:spacing w:before="0" w:beforeAutospacing="0" w:after="0" w:afterAutospacing="0" w:line="480" w:lineRule="auto"/>
        <w:ind w:firstLine="580" w:firstLineChars="200"/>
        <w:jc w:val="both"/>
        <w:rPr>
          <w:color w:val="323232"/>
          <w:sz w:val="29"/>
          <w:szCs w:val="29"/>
        </w:rPr>
      </w:pPr>
      <w:r>
        <w:rPr>
          <w:rFonts w:hint="eastAsia"/>
          <w:color w:val="323232"/>
          <w:sz w:val="29"/>
          <w:szCs w:val="29"/>
          <w:highlight w:val="yellow"/>
        </w:rPr>
        <w:t>（1）一年级学生原专业未修读过《高等数学D</w:t>
      </w:r>
      <w:r>
        <w:rPr>
          <w:color w:val="323232"/>
          <w:sz w:val="29"/>
          <w:szCs w:val="29"/>
          <w:highlight w:val="yellow"/>
        </w:rPr>
        <w:t>1</w:t>
      </w:r>
      <w:r>
        <w:rPr>
          <w:rFonts w:hint="eastAsia"/>
          <w:color w:val="323232"/>
          <w:sz w:val="29"/>
          <w:szCs w:val="29"/>
          <w:highlight w:val="yellow"/>
        </w:rPr>
        <w:t>》、《高等数学D</w:t>
      </w:r>
      <w:r>
        <w:rPr>
          <w:color w:val="323232"/>
          <w:sz w:val="29"/>
          <w:szCs w:val="29"/>
          <w:highlight w:val="yellow"/>
        </w:rPr>
        <w:t>2</w:t>
      </w:r>
      <w:r>
        <w:rPr>
          <w:rFonts w:hint="eastAsia"/>
          <w:color w:val="323232"/>
          <w:sz w:val="29"/>
          <w:szCs w:val="29"/>
          <w:highlight w:val="yellow"/>
        </w:rPr>
        <w:t>》、《C语言程序设计》、《大学物理E</w:t>
      </w:r>
      <w:r>
        <w:rPr>
          <w:color w:val="323232"/>
          <w:sz w:val="29"/>
          <w:szCs w:val="29"/>
          <w:highlight w:val="yellow"/>
        </w:rPr>
        <w:t>1</w:t>
      </w:r>
      <w:r>
        <w:rPr>
          <w:rFonts w:hint="eastAsia"/>
          <w:color w:val="323232"/>
          <w:sz w:val="29"/>
          <w:szCs w:val="29"/>
          <w:highlight w:val="yellow"/>
        </w:rPr>
        <w:t>》、《大学物理实验</w:t>
      </w:r>
      <w:r>
        <w:rPr>
          <w:color w:val="323232"/>
          <w:sz w:val="29"/>
          <w:szCs w:val="29"/>
          <w:highlight w:val="yellow"/>
        </w:rPr>
        <w:t>1</w:t>
      </w:r>
      <w:r>
        <w:rPr>
          <w:rFonts w:hint="eastAsia"/>
          <w:color w:val="323232"/>
          <w:sz w:val="29"/>
          <w:szCs w:val="29"/>
          <w:highlight w:val="yellow"/>
        </w:rPr>
        <w:t>》中的3门及以上的或经认定已修读近似课程无法支撑申请转入专业人才培养方案毕业要求中对该门课程的能力培养要求达到3门及以上的。</w:t>
      </w:r>
    </w:p>
    <w:p w14:paraId="32C4A7C7">
      <w:pPr>
        <w:pStyle w:val="7"/>
        <w:shd w:val="clear" w:color="auto" w:fill="FFFFFF"/>
        <w:spacing w:before="0" w:beforeAutospacing="0" w:after="0" w:afterAutospacing="0" w:line="480" w:lineRule="auto"/>
        <w:ind w:firstLine="580" w:firstLineChars="200"/>
        <w:rPr>
          <w:color w:val="323232"/>
          <w:sz w:val="29"/>
          <w:szCs w:val="29"/>
        </w:rPr>
      </w:pPr>
      <w:r>
        <w:rPr>
          <w:rFonts w:hint="eastAsia"/>
          <w:color w:val="323232"/>
          <w:sz w:val="29"/>
          <w:szCs w:val="29"/>
          <w:highlight w:val="yellow"/>
        </w:rPr>
        <w:t>（2）二年级学生原专业未修读过《线性代数A》、《概率论与数理统计A》、《大学物理E</w:t>
      </w:r>
      <w:r>
        <w:rPr>
          <w:color w:val="323232"/>
          <w:sz w:val="29"/>
          <w:szCs w:val="29"/>
          <w:highlight w:val="yellow"/>
        </w:rPr>
        <w:t>2</w:t>
      </w:r>
      <w:r>
        <w:rPr>
          <w:rFonts w:hint="eastAsia"/>
          <w:color w:val="323232"/>
          <w:sz w:val="29"/>
          <w:szCs w:val="29"/>
          <w:highlight w:val="yellow"/>
        </w:rPr>
        <w:t>》、《大学物理实验</w:t>
      </w:r>
      <w:r>
        <w:rPr>
          <w:color w:val="323232"/>
          <w:sz w:val="29"/>
          <w:szCs w:val="29"/>
          <w:highlight w:val="yellow"/>
        </w:rPr>
        <w:t>2</w:t>
      </w:r>
      <w:r>
        <w:rPr>
          <w:rFonts w:hint="eastAsia"/>
          <w:color w:val="323232"/>
          <w:sz w:val="29"/>
          <w:szCs w:val="29"/>
          <w:highlight w:val="yellow"/>
        </w:rPr>
        <w:t>》、《复变函数与积分变换》《电路分析基础A》（含《电路分析基础实验》）、《数字电子技术》（含《数字电子技术实验》）、《模拟电子技术》（含《模拟电子技术实验》）中的</w:t>
      </w:r>
      <w:r>
        <w:rPr>
          <w:color w:val="323232"/>
          <w:sz w:val="29"/>
          <w:szCs w:val="29"/>
          <w:highlight w:val="yellow"/>
        </w:rPr>
        <w:t>6</w:t>
      </w:r>
      <w:r>
        <w:rPr>
          <w:rFonts w:hint="eastAsia"/>
          <w:color w:val="323232"/>
          <w:sz w:val="29"/>
          <w:szCs w:val="29"/>
          <w:highlight w:val="yellow"/>
        </w:rPr>
        <w:t>门及以上的或经认定已修读近似课程无法支撑申请转入专业人才培养方案毕业要求中对该门课程的能力培养要求达到3门及以上的。</w:t>
      </w:r>
    </w:p>
    <w:p w14:paraId="27923105">
      <w:pPr>
        <w:pStyle w:val="12"/>
        <w:numPr>
          <w:ilvl w:val="0"/>
          <w:numId w:val="1"/>
        </w:numPr>
        <w:spacing w:before="64" w:line="360" w:lineRule="auto"/>
        <w:jc w:val="both"/>
        <w:rPr>
          <w:rFonts w:ascii="黑体" w:hAnsi="黑体" w:eastAsia="黑体" w:cs="Microsoft JhengHei"/>
          <w:b/>
          <w:bCs/>
          <w:sz w:val="29"/>
          <w:szCs w:val="29"/>
          <w:lang w:eastAsia="zh-CN"/>
        </w:rPr>
      </w:pPr>
      <w:r>
        <w:rPr>
          <w:rFonts w:hint="eastAsia" w:ascii="黑体" w:hAnsi="黑体" w:eastAsia="黑体" w:cs="Microsoft JhengHei"/>
          <w:b/>
          <w:bCs/>
          <w:sz w:val="29"/>
          <w:szCs w:val="29"/>
          <w:lang w:eastAsia="zh-CN"/>
        </w:rPr>
        <w:t>其他</w:t>
      </w:r>
    </w:p>
    <w:p w14:paraId="2E6F672E">
      <w:pPr>
        <w:spacing w:line="360" w:lineRule="auto"/>
        <w:rPr>
          <w:rFonts w:ascii="宋体" w:hAnsi="宋体" w:eastAsia="宋体" w:cs="宋体"/>
          <w:color w:val="323232"/>
          <w:sz w:val="29"/>
          <w:szCs w:val="29"/>
          <w:lang w:eastAsia="zh-CN"/>
        </w:rPr>
      </w:pPr>
      <w:bookmarkStart w:id="2" w:name="OLE_LINK7"/>
      <w:bookmarkStart w:id="3" w:name="OLE_LINK6"/>
      <w:r>
        <w:rPr>
          <w:rFonts w:hint="eastAsia" w:ascii="宋体" w:hAnsi="宋体" w:eastAsia="宋体" w:cs="宋体"/>
          <w:color w:val="323232"/>
          <w:sz w:val="29"/>
          <w:szCs w:val="29"/>
          <w:lang w:eastAsia="zh-CN"/>
        </w:rPr>
        <w:t>（一）</w:t>
      </w:r>
      <w:bookmarkEnd w:id="2"/>
      <w:bookmarkEnd w:id="3"/>
      <w:r>
        <w:rPr>
          <w:rFonts w:hint="eastAsia" w:ascii="宋体" w:hAnsi="宋体" w:eastAsia="宋体" w:cs="宋体"/>
          <w:color w:val="323232"/>
          <w:sz w:val="29"/>
          <w:szCs w:val="29"/>
          <w:lang w:eastAsia="zh-CN"/>
        </w:rPr>
        <w:t>录取的转专业本科生所在班级由教学秘书负责编排，并通知对应班级的辅导员和班主任。</w:t>
      </w:r>
    </w:p>
    <w:p w14:paraId="02D62BCD">
      <w:pPr>
        <w:pStyle w:val="12"/>
        <w:spacing w:line="360" w:lineRule="auto"/>
        <w:rPr>
          <w:rFonts w:ascii="宋体" w:hAnsi="宋体" w:eastAsia="宋体" w:cs="宋体"/>
          <w:color w:val="323232"/>
          <w:sz w:val="29"/>
          <w:szCs w:val="29"/>
          <w:lang w:eastAsia="zh-CN"/>
        </w:rPr>
      </w:pPr>
      <w:bookmarkStart w:id="4" w:name="OLE_LINK8"/>
      <w:bookmarkStart w:id="5" w:name="OLE_LINK9"/>
      <w:r>
        <w:rPr>
          <w:rFonts w:hint="eastAsia" w:ascii="宋体" w:hAnsi="宋体" w:eastAsia="宋体" w:cs="宋体"/>
          <w:color w:val="323232"/>
          <w:sz w:val="29"/>
          <w:szCs w:val="29"/>
          <w:lang w:eastAsia="zh-CN"/>
        </w:rPr>
        <w:t>（二）</w:t>
      </w:r>
      <w:bookmarkEnd w:id="4"/>
      <w:bookmarkEnd w:id="5"/>
      <w:r>
        <w:rPr>
          <w:rFonts w:hint="eastAsia" w:ascii="宋体" w:hAnsi="宋体" w:eastAsia="宋体" w:cs="宋体"/>
          <w:color w:val="323232"/>
          <w:sz w:val="29"/>
          <w:szCs w:val="29"/>
          <w:lang w:eastAsia="zh-CN"/>
        </w:rPr>
        <w:t>如发现申请人提交材料有虚假成分的，一律取消该申请人转专业资格。</w:t>
      </w:r>
    </w:p>
    <w:p w14:paraId="6D5B1403">
      <w:pPr>
        <w:pStyle w:val="12"/>
        <w:spacing w:line="360" w:lineRule="auto"/>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（三）本办法由信息与控制工程学院转专业领导小组负责解释。</w:t>
      </w:r>
    </w:p>
    <w:p w14:paraId="5A1BAE4D">
      <w:pPr>
        <w:spacing w:before="12" w:line="360" w:lineRule="auto"/>
        <w:jc w:val="both"/>
        <w:rPr>
          <w:rFonts w:ascii="Microsoft JhengHei" w:hAnsi="Microsoft JhengHei" w:cs="Microsoft JhengHei"/>
          <w:b/>
          <w:bCs/>
          <w:sz w:val="36"/>
          <w:szCs w:val="36"/>
          <w:lang w:eastAsia="zh-CN"/>
        </w:rPr>
      </w:pPr>
    </w:p>
    <w:p w14:paraId="57C024C6">
      <w:pPr>
        <w:spacing w:before="12" w:line="360" w:lineRule="auto"/>
        <w:jc w:val="both"/>
        <w:rPr>
          <w:rFonts w:ascii="Microsoft JhengHei" w:hAnsi="Microsoft JhengHei" w:cs="Microsoft JhengHei"/>
          <w:b/>
          <w:bCs/>
          <w:sz w:val="36"/>
          <w:szCs w:val="36"/>
          <w:lang w:eastAsia="zh-CN"/>
        </w:rPr>
      </w:pPr>
    </w:p>
    <w:p w14:paraId="72FAB070">
      <w:pPr>
        <w:pStyle w:val="3"/>
        <w:spacing w:before="0" w:line="360" w:lineRule="auto"/>
        <w:ind w:left="5277" w:right="-54" w:hanging="197"/>
        <w:jc w:val="right"/>
        <w:rPr>
          <w:spacing w:val="-2"/>
          <w:lang w:eastAsia="zh-CN"/>
        </w:rPr>
      </w:pPr>
      <w:r>
        <w:rPr>
          <w:rFonts w:hint="eastAsia"/>
          <w:spacing w:val="-2"/>
          <w:lang w:eastAsia="zh-CN"/>
        </w:rPr>
        <w:t>信息与控制工程</w:t>
      </w:r>
      <w:r>
        <w:rPr>
          <w:spacing w:val="-2"/>
          <w:lang w:eastAsia="zh-CN"/>
        </w:rPr>
        <w:t>学院</w:t>
      </w:r>
    </w:p>
    <w:p w14:paraId="164FAB2E">
      <w:pPr>
        <w:pStyle w:val="3"/>
        <w:spacing w:before="0" w:line="360" w:lineRule="auto"/>
        <w:ind w:left="5277" w:right="-54" w:hanging="32"/>
        <w:jc w:val="right"/>
        <w:rPr>
          <w:lang w:eastAsia="zh-CN"/>
        </w:rPr>
      </w:pPr>
      <w:r>
        <w:rPr>
          <w:spacing w:val="-127"/>
          <w:lang w:eastAsia="zh-CN"/>
        </w:rPr>
        <w:t xml:space="preserve"> </w:t>
      </w:r>
      <w:r>
        <w:rPr>
          <w:lang w:eastAsia="zh-CN"/>
        </w:rPr>
        <w:t>202</w:t>
      </w:r>
      <w:r>
        <w:rPr>
          <w:spacing w:val="-70"/>
          <w:lang w:eastAsia="zh-CN"/>
        </w:rPr>
        <w:t>6</w:t>
      </w:r>
      <w:r>
        <w:rPr>
          <w:lang w:eastAsia="zh-CN"/>
        </w:rPr>
        <w:t>年</w:t>
      </w:r>
      <w:r>
        <w:rPr>
          <w:spacing w:val="-73"/>
          <w:lang w:eastAsia="zh-CN"/>
        </w:rPr>
        <w:t xml:space="preserve"> 5</w:t>
      </w:r>
      <w:r>
        <w:rPr>
          <w:lang w:eastAsia="zh-CN"/>
        </w:rPr>
        <w:t>月</w:t>
      </w:r>
      <w:r>
        <w:rPr>
          <w:spacing w:val="-71"/>
          <w:lang w:eastAsia="zh-CN"/>
        </w:rPr>
        <w:t xml:space="preserve"> </w:t>
      </w:r>
      <w:r>
        <w:rPr>
          <w:lang w:eastAsia="zh-CN"/>
        </w:rPr>
        <w:t>21日</w:t>
      </w:r>
    </w:p>
    <w:p w14:paraId="6A64DA96">
      <w:pPr>
        <w:rPr>
          <w:rFonts w:ascii="宋体" w:hAnsi="宋体" w:eastAsia="宋体"/>
          <w:sz w:val="28"/>
          <w:szCs w:val="28"/>
          <w:lang w:eastAsia="zh-CN"/>
        </w:rPr>
      </w:pPr>
      <w:r>
        <w:rPr>
          <w:lang w:eastAsia="zh-CN"/>
        </w:rPr>
        <w:br w:type="page"/>
      </w:r>
    </w:p>
    <w:p w14:paraId="0549BD39">
      <w:pPr>
        <w:widowControl/>
        <w:spacing w:after="3" w:line="378" w:lineRule="auto"/>
        <w:ind w:left="12" w:hanging="10"/>
        <w:jc w:val="center"/>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附件：信息与控制工程学院</w:t>
      </w:r>
      <w:r>
        <w:rPr>
          <w:rFonts w:ascii="宋体" w:hAnsi="宋体" w:eastAsia="宋体" w:cs="宋体"/>
          <w:color w:val="323232"/>
          <w:sz w:val="29"/>
          <w:szCs w:val="29"/>
          <w:lang w:eastAsia="zh-CN"/>
        </w:rPr>
        <w:t>本科生课程置换</w:t>
      </w:r>
      <w:r>
        <w:rPr>
          <w:rFonts w:hint="eastAsia" w:ascii="宋体" w:hAnsi="宋体" w:eastAsia="宋体" w:cs="宋体"/>
          <w:color w:val="323232"/>
          <w:sz w:val="29"/>
          <w:szCs w:val="29"/>
          <w:lang w:eastAsia="zh-CN"/>
        </w:rPr>
        <w:t>审核</w:t>
      </w:r>
      <w:r>
        <w:rPr>
          <w:rFonts w:ascii="宋体" w:hAnsi="宋体" w:eastAsia="宋体" w:cs="宋体"/>
          <w:color w:val="323232"/>
          <w:sz w:val="29"/>
          <w:szCs w:val="29"/>
          <w:lang w:eastAsia="zh-CN"/>
        </w:rPr>
        <w:t>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3"/>
        <w:gridCol w:w="1444"/>
        <w:gridCol w:w="1370"/>
        <w:gridCol w:w="1370"/>
        <w:gridCol w:w="1369"/>
        <w:gridCol w:w="1368"/>
      </w:tblGrid>
      <w:tr w14:paraId="33BA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vMerge w:val="restart"/>
            <w:vAlign w:val="center"/>
          </w:tcPr>
          <w:p w14:paraId="78ECD4F9">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基本信息</w:t>
            </w:r>
          </w:p>
        </w:tc>
        <w:tc>
          <w:tcPr>
            <w:tcW w:w="4184" w:type="dxa"/>
            <w:gridSpan w:val="3"/>
            <w:vAlign w:val="center"/>
          </w:tcPr>
          <w:p w14:paraId="30B3472C">
            <w:pPr>
              <w:widowControl/>
              <w:jc w:val="center"/>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课程名称</w:t>
            </w:r>
          </w:p>
        </w:tc>
        <w:tc>
          <w:tcPr>
            <w:tcW w:w="1369" w:type="dxa"/>
            <w:vAlign w:val="center"/>
          </w:tcPr>
          <w:p w14:paraId="68BE406B">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学分</w:t>
            </w:r>
          </w:p>
        </w:tc>
        <w:tc>
          <w:tcPr>
            <w:tcW w:w="1368" w:type="dxa"/>
            <w:vAlign w:val="center"/>
          </w:tcPr>
          <w:p w14:paraId="65BA361D">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学时</w:t>
            </w:r>
          </w:p>
        </w:tc>
      </w:tr>
      <w:tr w14:paraId="14C72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vMerge w:val="continue"/>
            <w:vAlign w:val="center"/>
          </w:tcPr>
          <w:p w14:paraId="25A14D75">
            <w:pPr>
              <w:widowControl/>
              <w:rPr>
                <w:rFonts w:ascii="宋体" w:hAnsi="宋体" w:eastAsia="宋体" w:cs="宋体"/>
                <w:color w:val="323232"/>
                <w:sz w:val="29"/>
                <w:szCs w:val="29"/>
                <w:lang w:eastAsia="zh-CN"/>
              </w:rPr>
            </w:pPr>
          </w:p>
        </w:tc>
        <w:tc>
          <w:tcPr>
            <w:tcW w:w="1444" w:type="dxa"/>
            <w:vAlign w:val="center"/>
          </w:tcPr>
          <w:p w14:paraId="38253DAC">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已修课程</w:t>
            </w:r>
          </w:p>
        </w:tc>
        <w:tc>
          <w:tcPr>
            <w:tcW w:w="2740" w:type="dxa"/>
            <w:gridSpan w:val="2"/>
            <w:vAlign w:val="center"/>
          </w:tcPr>
          <w:p w14:paraId="07BBC3DB">
            <w:pPr>
              <w:widowControl/>
              <w:rPr>
                <w:rFonts w:ascii="宋体" w:hAnsi="宋体" w:eastAsia="宋体" w:cs="宋体"/>
                <w:color w:val="323232"/>
                <w:sz w:val="29"/>
                <w:szCs w:val="29"/>
                <w:lang w:eastAsia="zh-CN"/>
              </w:rPr>
            </w:pPr>
          </w:p>
        </w:tc>
        <w:tc>
          <w:tcPr>
            <w:tcW w:w="1369" w:type="dxa"/>
            <w:vAlign w:val="center"/>
          </w:tcPr>
          <w:p w14:paraId="49557044">
            <w:pPr>
              <w:widowControl/>
              <w:rPr>
                <w:rFonts w:ascii="宋体" w:hAnsi="宋体" w:eastAsia="宋体" w:cs="宋体"/>
                <w:color w:val="323232"/>
                <w:sz w:val="29"/>
                <w:szCs w:val="29"/>
                <w:lang w:eastAsia="zh-CN"/>
              </w:rPr>
            </w:pPr>
          </w:p>
        </w:tc>
        <w:tc>
          <w:tcPr>
            <w:tcW w:w="1368" w:type="dxa"/>
            <w:vAlign w:val="center"/>
          </w:tcPr>
          <w:p w14:paraId="6DC0B405">
            <w:pPr>
              <w:widowControl/>
              <w:rPr>
                <w:rFonts w:ascii="宋体" w:hAnsi="宋体" w:eastAsia="宋体" w:cs="宋体"/>
                <w:color w:val="323232"/>
                <w:sz w:val="29"/>
                <w:szCs w:val="29"/>
                <w:lang w:eastAsia="zh-CN"/>
              </w:rPr>
            </w:pPr>
          </w:p>
        </w:tc>
      </w:tr>
      <w:tr w14:paraId="22E2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vMerge w:val="continue"/>
            <w:vAlign w:val="center"/>
          </w:tcPr>
          <w:p w14:paraId="36A6A699">
            <w:pPr>
              <w:widowControl/>
              <w:rPr>
                <w:rFonts w:ascii="宋体" w:hAnsi="宋体" w:eastAsia="宋体" w:cs="宋体"/>
                <w:color w:val="323232"/>
                <w:sz w:val="29"/>
                <w:szCs w:val="29"/>
                <w:lang w:eastAsia="zh-CN"/>
              </w:rPr>
            </w:pPr>
          </w:p>
        </w:tc>
        <w:tc>
          <w:tcPr>
            <w:tcW w:w="1444" w:type="dxa"/>
            <w:vAlign w:val="center"/>
          </w:tcPr>
          <w:p w14:paraId="3252168C">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拟置换课程</w:t>
            </w:r>
          </w:p>
        </w:tc>
        <w:tc>
          <w:tcPr>
            <w:tcW w:w="2740" w:type="dxa"/>
            <w:gridSpan w:val="2"/>
            <w:vAlign w:val="center"/>
          </w:tcPr>
          <w:p w14:paraId="1237BFF8">
            <w:pPr>
              <w:widowControl/>
              <w:rPr>
                <w:rFonts w:ascii="宋体" w:hAnsi="宋体" w:eastAsia="宋体" w:cs="宋体"/>
                <w:color w:val="323232"/>
                <w:sz w:val="29"/>
                <w:szCs w:val="29"/>
                <w:lang w:eastAsia="zh-CN"/>
              </w:rPr>
            </w:pPr>
          </w:p>
        </w:tc>
        <w:tc>
          <w:tcPr>
            <w:tcW w:w="1369" w:type="dxa"/>
            <w:vAlign w:val="center"/>
          </w:tcPr>
          <w:p w14:paraId="7FCC4F07">
            <w:pPr>
              <w:widowControl/>
              <w:rPr>
                <w:rFonts w:ascii="宋体" w:hAnsi="宋体" w:eastAsia="宋体" w:cs="宋体"/>
                <w:color w:val="323232"/>
                <w:sz w:val="29"/>
                <w:szCs w:val="29"/>
                <w:lang w:eastAsia="zh-CN"/>
              </w:rPr>
            </w:pPr>
          </w:p>
        </w:tc>
        <w:tc>
          <w:tcPr>
            <w:tcW w:w="1368" w:type="dxa"/>
            <w:vAlign w:val="center"/>
          </w:tcPr>
          <w:p w14:paraId="5C00B9C0">
            <w:pPr>
              <w:widowControl/>
              <w:rPr>
                <w:rFonts w:ascii="宋体" w:hAnsi="宋体" w:eastAsia="宋体" w:cs="宋体"/>
                <w:color w:val="323232"/>
                <w:sz w:val="29"/>
                <w:szCs w:val="29"/>
                <w:lang w:eastAsia="zh-CN"/>
              </w:rPr>
            </w:pPr>
          </w:p>
        </w:tc>
      </w:tr>
      <w:tr w14:paraId="6B5C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vMerge w:val="restart"/>
            <w:vAlign w:val="center"/>
          </w:tcPr>
          <w:p w14:paraId="747DE574">
            <w:pPr>
              <w:widowControl/>
              <w:ind w:hanging="10"/>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毕业要求符合情况</w:t>
            </w:r>
          </w:p>
        </w:tc>
        <w:tc>
          <w:tcPr>
            <w:tcW w:w="1444" w:type="dxa"/>
            <w:vAlign w:val="center"/>
          </w:tcPr>
          <w:p w14:paraId="1CD88C01">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毕业要求指标点</w:t>
            </w:r>
          </w:p>
        </w:tc>
        <w:tc>
          <w:tcPr>
            <w:tcW w:w="1370" w:type="dxa"/>
            <w:vAlign w:val="center"/>
          </w:tcPr>
          <w:p w14:paraId="3A7FB564">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课程目标</w:t>
            </w:r>
          </w:p>
        </w:tc>
        <w:tc>
          <w:tcPr>
            <w:tcW w:w="1370" w:type="dxa"/>
            <w:vAlign w:val="center"/>
          </w:tcPr>
          <w:p w14:paraId="505E8B8D">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课程内容</w:t>
            </w:r>
          </w:p>
        </w:tc>
        <w:tc>
          <w:tcPr>
            <w:tcW w:w="1369" w:type="dxa"/>
            <w:vAlign w:val="center"/>
          </w:tcPr>
          <w:p w14:paraId="561C9256">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已修课程内容</w:t>
            </w:r>
          </w:p>
        </w:tc>
        <w:tc>
          <w:tcPr>
            <w:tcW w:w="1368" w:type="dxa"/>
            <w:vAlign w:val="center"/>
          </w:tcPr>
          <w:p w14:paraId="2126DF96">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是否符合毕业要求能力要求</w:t>
            </w:r>
          </w:p>
        </w:tc>
      </w:tr>
      <w:tr w14:paraId="5F5E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vMerge w:val="continue"/>
            <w:vAlign w:val="center"/>
          </w:tcPr>
          <w:p w14:paraId="4BDD9F9C">
            <w:pPr>
              <w:widowControl/>
              <w:ind w:hanging="10"/>
              <w:rPr>
                <w:rFonts w:ascii="宋体" w:hAnsi="宋体" w:eastAsia="宋体" w:cs="宋体"/>
                <w:color w:val="323232"/>
                <w:sz w:val="29"/>
                <w:szCs w:val="29"/>
                <w:lang w:eastAsia="zh-CN"/>
              </w:rPr>
            </w:pPr>
          </w:p>
        </w:tc>
        <w:tc>
          <w:tcPr>
            <w:tcW w:w="1444" w:type="dxa"/>
            <w:vAlign w:val="center"/>
          </w:tcPr>
          <w:p w14:paraId="1040F951">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1</w:t>
            </w:r>
            <w:r>
              <w:rPr>
                <w:rFonts w:ascii="宋体" w:hAnsi="宋体" w:eastAsia="宋体" w:cs="宋体"/>
                <w:color w:val="323232"/>
                <w:sz w:val="29"/>
                <w:szCs w:val="29"/>
                <w:lang w:eastAsia="zh-CN"/>
              </w:rPr>
              <w:t>.1</w:t>
            </w:r>
          </w:p>
        </w:tc>
        <w:tc>
          <w:tcPr>
            <w:tcW w:w="1370" w:type="dxa"/>
            <w:vAlign w:val="center"/>
          </w:tcPr>
          <w:p w14:paraId="27A96381">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课程目标1</w:t>
            </w:r>
          </w:p>
        </w:tc>
        <w:tc>
          <w:tcPr>
            <w:tcW w:w="1370" w:type="dxa"/>
            <w:vAlign w:val="center"/>
          </w:tcPr>
          <w:p w14:paraId="285B25DB">
            <w:pPr>
              <w:widowControl/>
              <w:rPr>
                <w:rFonts w:ascii="宋体" w:hAnsi="宋体" w:eastAsia="宋体" w:cs="宋体"/>
                <w:color w:val="323232"/>
                <w:sz w:val="29"/>
                <w:szCs w:val="29"/>
                <w:lang w:eastAsia="zh-CN"/>
              </w:rPr>
            </w:pPr>
          </w:p>
        </w:tc>
        <w:tc>
          <w:tcPr>
            <w:tcW w:w="1369" w:type="dxa"/>
            <w:vAlign w:val="center"/>
          </w:tcPr>
          <w:p w14:paraId="4BC7FBCE">
            <w:pPr>
              <w:widowControl/>
              <w:rPr>
                <w:rFonts w:ascii="宋体" w:hAnsi="宋体" w:eastAsia="宋体" w:cs="宋体"/>
                <w:color w:val="323232"/>
                <w:sz w:val="29"/>
                <w:szCs w:val="29"/>
                <w:lang w:eastAsia="zh-CN"/>
              </w:rPr>
            </w:pPr>
          </w:p>
        </w:tc>
        <w:tc>
          <w:tcPr>
            <w:tcW w:w="1368" w:type="dxa"/>
            <w:vAlign w:val="center"/>
          </w:tcPr>
          <w:p w14:paraId="5213DEFC">
            <w:pPr>
              <w:widowControl/>
              <w:rPr>
                <w:rFonts w:ascii="宋体" w:hAnsi="宋体" w:eastAsia="宋体" w:cs="宋体"/>
                <w:color w:val="323232"/>
                <w:sz w:val="29"/>
                <w:szCs w:val="29"/>
                <w:lang w:eastAsia="zh-CN"/>
              </w:rPr>
            </w:pPr>
          </w:p>
        </w:tc>
      </w:tr>
      <w:tr w14:paraId="4C164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vMerge w:val="continue"/>
            <w:vAlign w:val="center"/>
          </w:tcPr>
          <w:p w14:paraId="3CAB3164">
            <w:pPr>
              <w:widowControl/>
              <w:ind w:hanging="10"/>
              <w:rPr>
                <w:rFonts w:ascii="宋体" w:hAnsi="宋体" w:eastAsia="宋体" w:cs="宋体"/>
                <w:color w:val="323232"/>
                <w:sz w:val="29"/>
                <w:szCs w:val="29"/>
                <w:lang w:eastAsia="zh-CN"/>
              </w:rPr>
            </w:pPr>
          </w:p>
        </w:tc>
        <w:tc>
          <w:tcPr>
            <w:tcW w:w="1444" w:type="dxa"/>
            <w:vAlign w:val="center"/>
          </w:tcPr>
          <w:p w14:paraId="0E929276">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2</w:t>
            </w:r>
            <w:r>
              <w:rPr>
                <w:rFonts w:ascii="宋体" w:hAnsi="宋体" w:eastAsia="宋体" w:cs="宋体"/>
                <w:color w:val="323232"/>
                <w:sz w:val="29"/>
                <w:szCs w:val="29"/>
                <w:lang w:eastAsia="zh-CN"/>
              </w:rPr>
              <w:t>.2</w:t>
            </w:r>
          </w:p>
        </w:tc>
        <w:tc>
          <w:tcPr>
            <w:tcW w:w="1370" w:type="dxa"/>
            <w:vAlign w:val="center"/>
          </w:tcPr>
          <w:p w14:paraId="28097722">
            <w:pPr>
              <w:widowControl/>
              <w:rPr>
                <w:rFonts w:ascii="宋体" w:hAnsi="宋体" w:eastAsia="宋体" w:cs="宋体"/>
                <w:color w:val="323232"/>
                <w:sz w:val="29"/>
                <w:szCs w:val="29"/>
                <w:lang w:eastAsia="zh-CN"/>
              </w:rPr>
            </w:pPr>
          </w:p>
        </w:tc>
        <w:tc>
          <w:tcPr>
            <w:tcW w:w="1370" w:type="dxa"/>
            <w:vAlign w:val="center"/>
          </w:tcPr>
          <w:p w14:paraId="0E2C2B05">
            <w:pPr>
              <w:widowControl/>
              <w:rPr>
                <w:rFonts w:ascii="宋体" w:hAnsi="宋体" w:eastAsia="宋体" w:cs="宋体"/>
                <w:color w:val="323232"/>
                <w:sz w:val="29"/>
                <w:szCs w:val="29"/>
                <w:lang w:eastAsia="zh-CN"/>
              </w:rPr>
            </w:pPr>
          </w:p>
        </w:tc>
        <w:tc>
          <w:tcPr>
            <w:tcW w:w="1369" w:type="dxa"/>
            <w:vAlign w:val="center"/>
          </w:tcPr>
          <w:p w14:paraId="4F7B2639">
            <w:pPr>
              <w:widowControl/>
              <w:rPr>
                <w:rFonts w:ascii="宋体" w:hAnsi="宋体" w:eastAsia="宋体" w:cs="宋体"/>
                <w:color w:val="323232"/>
                <w:sz w:val="29"/>
                <w:szCs w:val="29"/>
                <w:lang w:eastAsia="zh-CN"/>
              </w:rPr>
            </w:pPr>
          </w:p>
        </w:tc>
        <w:tc>
          <w:tcPr>
            <w:tcW w:w="1368" w:type="dxa"/>
            <w:vAlign w:val="center"/>
          </w:tcPr>
          <w:p w14:paraId="42763684">
            <w:pPr>
              <w:widowControl/>
              <w:rPr>
                <w:rFonts w:ascii="宋体" w:hAnsi="宋体" w:eastAsia="宋体" w:cs="宋体"/>
                <w:color w:val="323232"/>
                <w:sz w:val="29"/>
                <w:szCs w:val="29"/>
                <w:lang w:eastAsia="zh-CN"/>
              </w:rPr>
            </w:pPr>
          </w:p>
        </w:tc>
      </w:tr>
      <w:tr w14:paraId="06EE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vMerge w:val="continue"/>
            <w:vAlign w:val="center"/>
          </w:tcPr>
          <w:p w14:paraId="0EFB8501">
            <w:pPr>
              <w:widowControl/>
              <w:ind w:hanging="10"/>
              <w:rPr>
                <w:rFonts w:ascii="宋体" w:hAnsi="宋体" w:eastAsia="宋体" w:cs="宋体"/>
                <w:color w:val="323232"/>
                <w:sz w:val="29"/>
                <w:szCs w:val="29"/>
                <w:lang w:eastAsia="zh-CN"/>
              </w:rPr>
            </w:pPr>
          </w:p>
        </w:tc>
        <w:tc>
          <w:tcPr>
            <w:tcW w:w="1444" w:type="dxa"/>
            <w:vAlign w:val="center"/>
          </w:tcPr>
          <w:p w14:paraId="622A3314">
            <w:pPr>
              <w:widowControl/>
              <w:rPr>
                <w:rFonts w:ascii="宋体" w:hAnsi="宋体" w:eastAsia="宋体" w:cs="宋体"/>
                <w:color w:val="323232"/>
                <w:sz w:val="29"/>
                <w:szCs w:val="29"/>
                <w:lang w:eastAsia="zh-CN"/>
              </w:rPr>
            </w:pPr>
          </w:p>
        </w:tc>
        <w:tc>
          <w:tcPr>
            <w:tcW w:w="1370" w:type="dxa"/>
            <w:vAlign w:val="center"/>
          </w:tcPr>
          <w:p w14:paraId="07F67D8E">
            <w:pPr>
              <w:widowControl/>
              <w:rPr>
                <w:rFonts w:ascii="宋体" w:hAnsi="宋体" w:eastAsia="宋体" w:cs="宋体"/>
                <w:color w:val="323232"/>
                <w:sz w:val="29"/>
                <w:szCs w:val="29"/>
                <w:lang w:eastAsia="zh-CN"/>
              </w:rPr>
            </w:pPr>
          </w:p>
        </w:tc>
        <w:tc>
          <w:tcPr>
            <w:tcW w:w="1370" w:type="dxa"/>
            <w:vAlign w:val="center"/>
          </w:tcPr>
          <w:p w14:paraId="163B6AA9">
            <w:pPr>
              <w:widowControl/>
              <w:rPr>
                <w:rFonts w:ascii="宋体" w:hAnsi="宋体" w:eastAsia="宋体" w:cs="宋体"/>
                <w:color w:val="323232"/>
                <w:sz w:val="29"/>
                <w:szCs w:val="29"/>
                <w:lang w:eastAsia="zh-CN"/>
              </w:rPr>
            </w:pPr>
          </w:p>
        </w:tc>
        <w:tc>
          <w:tcPr>
            <w:tcW w:w="1369" w:type="dxa"/>
            <w:vAlign w:val="center"/>
          </w:tcPr>
          <w:p w14:paraId="0077801C">
            <w:pPr>
              <w:widowControl/>
              <w:rPr>
                <w:rFonts w:ascii="宋体" w:hAnsi="宋体" w:eastAsia="宋体" w:cs="宋体"/>
                <w:color w:val="323232"/>
                <w:sz w:val="29"/>
                <w:szCs w:val="29"/>
                <w:lang w:eastAsia="zh-CN"/>
              </w:rPr>
            </w:pPr>
          </w:p>
        </w:tc>
        <w:tc>
          <w:tcPr>
            <w:tcW w:w="1368" w:type="dxa"/>
            <w:vAlign w:val="center"/>
          </w:tcPr>
          <w:p w14:paraId="037A53D2">
            <w:pPr>
              <w:widowControl/>
              <w:rPr>
                <w:rFonts w:ascii="宋体" w:hAnsi="宋体" w:eastAsia="宋体" w:cs="宋体"/>
                <w:color w:val="323232"/>
                <w:sz w:val="29"/>
                <w:szCs w:val="29"/>
                <w:lang w:eastAsia="zh-CN"/>
              </w:rPr>
            </w:pPr>
          </w:p>
        </w:tc>
      </w:tr>
      <w:tr w14:paraId="7030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vMerge w:val="continue"/>
            <w:vAlign w:val="center"/>
          </w:tcPr>
          <w:p w14:paraId="7D5D83BA">
            <w:pPr>
              <w:widowControl/>
              <w:rPr>
                <w:rFonts w:ascii="宋体" w:hAnsi="宋体" w:eastAsia="宋体" w:cs="宋体"/>
                <w:color w:val="323232"/>
                <w:sz w:val="29"/>
                <w:szCs w:val="29"/>
                <w:lang w:eastAsia="zh-CN"/>
              </w:rPr>
            </w:pPr>
          </w:p>
        </w:tc>
        <w:tc>
          <w:tcPr>
            <w:tcW w:w="1444" w:type="dxa"/>
            <w:vAlign w:val="center"/>
          </w:tcPr>
          <w:p w14:paraId="079365C0">
            <w:pPr>
              <w:widowControl/>
              <w:rPr>
                <w:rFonts w:ascii="宋体" w:hAnsi="宋体" w:eastAsia="宋体" w:cs="宋体"/>
                <w:color w:val="323232"/>
                <w:sz w:val="29"/>
                <w:szCs w:val="29"/>
                <w:lang w:eastAsia="zh-CN"/>
              </w:rPr>
            </w:pPr>
          </w:p>
        </w:tc>
        <w:tc>
          <w:tcPr>
            <w:tcW w:w="1370" w:type="dxa"/>
            <w:vAlign w:val="center"/>
          </w:tcPr>
          <w:p w14:paraId="3CB32116">
            <w:pPr>
              <w:widowControl/>
              <w:rPr>
                <w:rFonts w:ascii="宋体" w:hAnsi="宋体" w:eastAsia="宋体" w:cs="宋体"/>
                <w:color w:val="323232"/>
                <w:sz w:val="29"/>
                <w:szCs w:val="29"/>
                <w:lang w:eastAsia="zh-CN"/>
              </w:rPr>
            </w:pPr>
          </w:p>
        </w:tc>
        <w:tc>
          <w:tcPr>
            <w:tcW w:w="1370" w:type="dxa"/>
            <w:vAlign w:val="center"/>
          </w:tcPr>
          <w:p w14:paraId="3F091485">
            <w:pPr>
              <w:widowControl/>
              <w:rPr>
                <w:rFonts w:ascii="宋体" w:hAnsi="宋体" w:eastAsia="宋体" w:cs="宋体"/>
                <w:color w:val="323232"/>
                <w:sz w:val="29"/>
                <w:szCs w:val="29"/>
                <w:lang w:eastAsia="zh-CN"/>
              </w:rPr>
            </w:pPr>
          </w:p>
        </w:tc>
        <w:tc>
          <w:tcPr>
            <w:tcW w:w="1369" w:type="dxa"/>
            <w:vAlign w:val="center"/>
          </w:tcPr>
          <w:p w14:paraId="5A650FC0">
            <w:pPr>
              <w:widowControl/>
              <w:rPr>
                <w:rFonts w:ascii="宋体" w:hAnsi="宋体" w:eastAsia="宋体" w:cs="宋体"/>
                <w:color w:val="323232"/>
                <w:sz w:val="29"/>
                <w:szCs w:val="29"/>
                <w:lang w:eastAsia="zh-CN"/>
              </w:rPr>
            </w:pPr>
          </w:p>
        </w:tc>
        <w:tc>
          <w:tcPr>
            <w:tcW w:w="1368" w:type="dxa"/>
            <w:vAlign w:val="center"/>
          </w:tcPr>
          <w:p w14:paraId="721A25FE">
            <w:pPr>
              <w:widowControl/>
              <w:rPr>
                <w:rFonts w:ascii="宋体" w:hAnsi="宋体" w:eastAsia="宋体" w:cs="宋体"/>
                <w:color w:val="323232"/>
                <w:sz w:val="29"/>
                <w:szCs w:val="29"/>
                <w:lang w:eastAsia="zh-CN"/>
              </w:rPr>
            </w:pPr>
          </w:p>
        </w:tc>
      </w:tr>
      <w:tr w14:paraId="4A24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tcPr>
          <w:p w14:paraId="0EECC231">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审核结论</w:t>
            </w:r>
          </w:p>
        </w:tc>
        <w:tc>
          <w:tcPr>
            <w:tcW w:w="6921" w:type="dxa"/>
            <w:gridSpan w:val="5"/>
          </w:tcPr>
          <w:p w14:paraId="2BE29503">
            <w:pPr>
              <w:widowControl/>
              <w:rPr>
                <w:rFonts w:ascii="宋体" w:hAnsi="宋体" w:eastAsia="宋体" w:cs="宋体"/>
                <w:color w:val="323232"/>
                <w:sz w:val="29"/>
                <w:szCs w:val="29"/>
                <w:lang w:eastAsia="zh-CN"/>
              </w:rPr>
            </w:pPr>
          </w:p>
          <w:p w14:paraId="2E7B6B4F">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□同意置换</w:t>
            </w:r>
          </w:p>
          <w:p w14:paraId="4FD079A9">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□补修部分内容后同意置换</w:t>
            </w:r>
          </w:p>
          <w:p w14:paraId="0BD81892">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□不予置换</w:t>
            </w:r>
          </w:p>
          <w:p w14:paraId="7C335A26">
            <w:pPr>
              <w:widowControl/>
              <w:ind w:right="1421" w:rightChars="646"/>
              <w:jc w:val="right"/>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 xml:space="preserve">审核人： </w:t>
            </w:r>
            <w:r>
              <w:rPr>
                <w:rFonts w:ascii="宋体" w:hAnsi="宋体" w:eastAsia="宋体" w:cs="宋体"/>
                <w:color w:val="323232"/>
                <w:sz w:val="29"/>
                <w:szCs w:val="29"/>
                <w:lang w:eastAsia="zh-CN"/>
              </w:rPr>
              <w:t xml:space="preserve">    </w:t>
            </w:r>
          </w:p>
          <w:p w14:paraId="59165E16">
            <w:pPr>
              <w:widowControl/>
              <w:ind w:right="1421" w:rightChars="646"/>
              <w:jc w:val="right"/>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年 月 日</w:t>
            </w:r>
          </w:p>
        </w:tc>
      </w:tr>
      <w:tr w14:paraId="6C583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tcPr>
          <w:p w14:paraId="7001DF14">
            <w:pPr>
              <w:widowControl/>
              <w:rPr>
                <w:rFonts w:ascii="宋体" w:hAnsi="宋体" w:eastAsia="宋体" w:cs="宋体"/>
                <w:color w:val="323232"/>
                <w:sz w:val="29"/>
                <w:szCs w:val="29"/>
                <w:lang w:eastAsia="zh-CN"/>
              </w:rPr>
            </w:pPr>
            <w:r>
              <w:rPr>
                <w:rFonts w:hint="eastAsia" w:ascii="宋体" w:hAnsi="宋体" w:eastAsia="宋体" w:cs="宋体"/>
                <w:color w:val="323232"/>
                <w:sz w:val="29"/>
                <w:szCs w:val="29"/>
                <w:lang w:eastAsia="zh-CN"/>
              </w:rPr>
              <w:t>学院意见</w:t>
            </w:r>
          </w:p>
        </w:tc>
        <w:tc>
          <w:tcPr>
            <w:tcW w:w="6921" w:type="dxa"/>
            <w:gridSpan w:val="5"/>
          </w:tcPr>
          <w:p w14:paraId="12D7FFA0">
            <w:pPr>
              <w:widowControl/>
              <w:rPr>
                <w:rFonts w:ascii="宋体" w:hAnsi="宋体" w:eastAsia="宋体" w:cs="宋体"/>
                <w:color w:val="323232"/>
                <w:sz w:val="29"/>
                <w:szCs w:val="29"/>
                <w:lang w:eastAsia="zh-CN"/>
              </w:rPr>
            </w:pPr>
          </w:p>
          <w:p w14:paraId="03764C42">
            <w:pPr>
              <w:widowControl/>
              <w:rPr>
                <w:rFonts w:ascii="宋体" w:hAnsi="宋体" w:eastAsia="宋体" w:cs="宋体"/>
                <w:color w:val="323232"/>
                <w:sz w:val="29"/>
                <w:szCs w:val="29"/>
                <w:lang w:eastAsia="zh-CN"/>
              </w:rPr>
            </w:pPr>
          </w:p>
        </w:tc>
      </w:tr>
    </w:tbl>
    <w:p w14:paraId="102D8A22">
      <w:pPr>
        <w:widowControl/>
        <w:spacing w:after="3" w:line="378" w:lineRule="auto"/>
        <w:ind w:left="12" w:hanging="10"/>
        <w:rPr>
          <w:rFonts w:ascii="仿宋" w:hAnsi="仿宋" w:eastAsia="仿宋" w:cs="仿宋"/>
          <w:color w:val="000000"/>
          <w:kern w:val="2"/>
          <w:sz w:val="32"/>
          <w:lang w:eastAsia="zh-CN"/>
        </w:rPr>
      </w:pPr>
    </w:p>
    <w:p w14:paraId="77DAADC5">
      <w:pPr>
        <w:pStyle w:val="3"/>
        <w:spacing w:before="0" w:line="360" w:lineRule="auto"/>
        <w:ind w:left="0" w:right="-54"/>
        <w:rPr>
          <w:rFonts w:cs="宋体"/>
          <w:lang w:eastAsia="zh-CN"/>
        </w:rPr>
      </w:pPr>
    </w:p>
    <w:p w14:paraId="0966CC2C">
      <w:pPr>
        <w:spacing w:line="360" w:lineRule="auto"/>
        <w:ind w:left="103"/>
        <w:rPr>
          <w:rFonts w:ascii="宋体" w:hAnsi="宋体" w:eastAsia="宋体" w:cs="宋体"/>
          <w:sz w:val="2"/>
          <w:szCs w:val="2"/>
          <w:lang w:eastAsia="zh-CN"/>
        </w:rPr>
      </w:pPr>
    </w:p>
    <w:sectPr>
      <w:pgSz w:w="11910" w:h="16850"/>
      <w:pgMar w:top="1440" w:right="1800" w:bottom="1440" w:left="1800"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B44109"/>
    <w:multiLevelType w:val="multilevel"/>
    <w:tmpl w:val="0AB44109"/>
    <w:lvl w:ilvl="0" w:tentative="0">
      <w:start w:val="4"/>
      <w:numFmt w:val="japaneseCounting"/>
      <w:lvlText w:val="%1、"/>
      <w:lvlJc w:val="left"/>
      <w:pPr>
        <w:ind w:left="600" w:hanging="6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2"/>
  </w:compat>
  <w:rsids>
    <w:rsidRoot w:val="008E4A81"/>
    <w:rsid w:val="00030F9D"/>
    <w:rsid w:val="00093DEB"/>
    <w:rsid w:val="00105318"/>
    <w:rsid w:val="00172024"/>
    <w:rsid w:val="0020755C"/>
    <w:rsid w:val="00221BC3"/>
    <w:rsid w:val="00264B0C"/>
    <w:rsid w:val="00266ECD"/>
    <w:rsid w:val="00276726"/>
    <w:rsid w:val="002D7060"/>
    <w:rsid w:val="002F1C5C"/>
    <w:rsid w:val="002F589F"/>
    <w:rsid w:val="00307839"/>
    <w:rsid w:val="00326079"/>
    <w:rsid w:val="0035737F"/>
    <w:rsid w:val="00377314"/>
    <w:rsid w:val="003B2F7F"/>
    <w:rsid w:val="00437154"/>
    <w:rsid w:val="00474F28"/>
    <w:rsid w:val="004C3CD8"/>
    <w:rsid w:val="0055430C"/>
    <w:rsid w:val="00564392"/>
    <w:rsid w:val="0059669B"/>
    <w:rsid w:val="005C2C5E"/>
    <w:rsid w:val="005D3E62"/>
    <w:rsid w:val="00671508"/>
    <w:rsid w:val="006D3C27"/>
    <w:rsid w:val="006E4284"/>
    <w:rsid w:val="006F4266"/>
    <w:rsid w:val="00720F2F"/>
    <w:rsid w:val="00785457"/>
    <w:rsid w:val="00814753"/>
    <w:rsid w:val="00843EA9"/>
    <w:rsid w:val="00897A24"/>
    <w:rsid w:val="008C2771"/>
    <w:rsid w:val="008D7C1E"/>
    <w:rsid w:val="008E4A81"/>
    <w:rsid w:val="0091109B"/>
    <w:rsid w:val="009158F2"/>
    <w:rsid w:val="00966023"/>
    <w:rsid w:val="009E66D7"/>
    <w:rsid w:val="009E6C71"/>
    <w:rsid w:val="00B27339"/>
    <w:rsid w:val="00B3187F"/>
    <w:rsid w:val="00BA6563"/>
    <w:rsid w:val="00BA720B"/>
    <w:rsid w:val="00BB4D09"/>
    <w:rsid w:val="00BC2410"/>
    <w:rsid w:val="00BC5083"/>
    <w:rsid w:val="00BD5D36"/>
    <w:rsid w:val="00BD7190"/>
    <w:rsid w:val="00C0121F"/>
    <w:rsid w:val="00C107F9"/>
    <w:rsid w:val="00C17E87"/>
    <w:rsid w:val="00C21008"/>
    <w:rsid w:val="00C37535"/>
    <w:rsid w:val="00C601D1"/>
    <w:rsid w:val="00D07C9C"/>
    <w:rsid w:val="00D306BC"/>
    <w:rsid w:val="00D54A18"/>
    <w:rsid w:val="00D558A1"/>
    <w:rsid w:val="00D5596A"/>
    <w:rsid w:val="00D708D5"/>
    <w:rsid w:val="00D82A3F"/>
    <w:rsid w:val="00DC2133"/>
    <w:rsid w:val="00E63E1B"/>
    <w:rsid w:val="00E8620A"/>
    <w:rsid w:val="00EA0EA6"/>
    <w:rsid w:val="00F00FEA"/>
    <w:rsid w:val="5F0D1B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paragraph" w:styleId="2">
    <w:name w:val="heading 1"/>
    <w:basedOn w:val="1"/>
    <w:qFormat/>
    <w:uiPriority w:val="1"/>
    <w:pPr>
      <w:ind w:left="540"/>
      <w:outlineLvl w:val="0"/>
    </w:pPr>
    <w:rPr>
      <w:rFonts w:ascii="Microsoft JhengHei" w:hAnsi="Microsoft JhengHei" w:eastAsia="Microsoft JhengHei"/>
      <w:b/>
      <w:bCs/>
      <w:sz w:val="28"/>
      <w:szCs w:val="2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6"/>
    <w:qFormat/>
    <w:uiPriority w:val="1"/>
    <w:pPr>
      <w:spacing w:before="33"/>
      <w:ind w:left="100"/>
    </w:pPr>
    <w:rPr>
      <w:rFonts w:ascii="宋体" w:hAnsi="宋体" w:eastAsia="宋体"/>
      <w:sz w:val="28"/>
      <w:szCs w:val="28"/>
    </w:rPr>
  </w:style>
  <w:style w:type="paragraph" w:styleId="4">
    <w:name w:val="Balloon Text"/>
    <w:basedOn w:val="1"/>
    <w:link w:val="17"/>
    <w:semiHidden/>
    <w:unhideWhenUsed/>
    <w:uiPriority w:val="99"/>
    <w:rPr>
      <w:sz w:val="18"/>
      <w:szCs w:val="18"/>
    </w:rPr>
  </w:style>
  <w:style w:type="paragraph" w:styleId="5">
    <w:name w:val="footer"/>
    <w:basedOn w:val="1"/>
    <w:link w:val="15"/>
    <w:unhideWhenUsed/>
    <w:uiPriority w:val="99"/>
    <w:pPr>
      <w:tabs>
        <w:tab w:val="center" w:pos="4153"/>
        <w:tab w:val="right" w:pos="8306"/>
      </w:tabs>
      <w:snapToGrid w:val="0"/>
    </w:pPr>
    <w:rPr>
      <w:sz w:val="18"/>
      <w:szCs w:val="18"/>
    </w:rPr>
  </w:style>
  <w:style w:type="paragraph" w:styleId="6">
    <w:name w:val="header"/>
    <w:basedOn w:val="1"/>
    <w:link w:val="14"/>
    <w:unhideWhenUsed/>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uiPriority w:val="99"/>
    <w:pPr>
      <w:widowControl/>
      <w:spacing w:before="100" w:beforeAutospacing="1" w:after="100" w:afterAutospacing="1"/>
    </w:pPr>
    <w:rPr>
      <w:rFonts w:ascii="宋体" w:hAnsi="宋体" w:eastAsia="宋体" w:cs="宋体"/>
      <w:sz w:val="24"/>
      <w:szCs w:val="24"/>
      <w:lang w:eastAsia="zh-CN"/>
    </w:rPr>
  </w:style>
  <w:style w:type="table" w:styleId="9">
    <w:name w:val="Table Grid"/>
    <w:basedOn w:val="8"/>
    <w:qFormat/>
    <w:uiPriority w:val="59"/>
    <w:pPr>
      <w:widowControl/>
    </w:pPr>
    <w:rPr>
      <w:kern w:val="2"/>
      <w:sz w:val="21"/>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style>
  <w:style w:type="paragraph" w:customStyle="1" w:styleId="13">
    <w:name w:val="Table Paragraph"/>
    <w:basedOn w:val="1"/>
    <w:qFormat/>
    <w:uiPriority w:val="1"/>
  </w:style>
  <w:style w:type="character" w:customStyle="1" w:styleId="14">
    <w:name w:val="页眉 字符"/>
    <w:basedOn w:val="10"/>
    <w:link w:val="6"/>
    <w:uiPriority w:val="99"/>
    <w:rPr>
      <w:sz w:val="18"/>
      <w:szCs w:val="18"/>
    </w:rPr>
  </w:style>
  <w:style w:type="character" w:customStyle="1" w:styleId="15">
    <w:name w:val="页脚 字符"/>
    <w:basedOn w:val="10"/>
    <w:link w:val="5"/>
    <w:uiPriority w:val="99"/>
    <w:rPr>
      <w:sz w:val="18"/>
      <w:szCs w:val="18"/>
    </w:rPr>
  </w:style>
  <w:style w:type="character" w:customStyle="1" w:styleId="16">
    <w:name w:val="正文文本 字符"/>
    <w:basedOn w:val="10"/>
    <w:link w:val="3"/>
    <w:uiPriority w:val="1"/>
    <w:rPr>
      <w:rFonts w:ascii="宋体" w:hAnsi="宋体" w:eastAsia="宋体"/>
      <w:sz w:val="28"/>
      <w:szCs w:val="28"/>
    </w:rPr>
  </w:style>
  <w:style w:type="character" w:customStyle="1" w:styleId="17">
    <w:name w:val="批注框文本 字符"/>
    <w:basedOn w:val="10"/>
    <w:link w:val="4"/>
    <w:semiHidden/>
    <w:uiPriority w:val="99"/>
    <w:rPr>
      <w:sz w:val="18"/>
      <w:szCs w:val="18"/>
    </w:rPr>
  </w:style>
  <w:style w:type="table" w:customStyle="1" w:styleId="18">
    <w:name w:val="网格型1"/>
    <w:basedOn w:val="8"/>
    <w:unhideWhenUsed/>
    <w:uiPriority w:val="39"/>
    <w:pPr>
      <w:widowControl/>
    </w:pPr>
    <w:rPr>
      <w:sz w:val="20"/>
      <w:szCs w:val="20"/>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2186</Words>
  <Characters>2247</Characters>
  <Lines>17</Lines>
  <Paragraphs>4</Paragraphs>
  <TotalTime>370</TotalTime>
  <ScaleCrop>false</ScaleCrop>
  <LinksUpToDate>false</LinksUpToDate>
  <CharactersWithSpaces>2267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2025-05-05T13:11:00Z</dcterms:created>
  <dc:creator>pgb</dc:creator>
  <cp:lastModifiedBy>I. do</cp:lastModifiedBy>
  <cp:lastPrinted>2025-05-21T00:31:00Z</cp:lastPrinted>
  <dcterms:modified xsi:type="dcterms:W3CDTF">2026-05-21T00:46:48Z</dcterms:modified>
  <dc:title>化材学院各学科、单位院聘岗位数</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2024-04-23T00:00:00Z</vt:filetime>
  </property>
  <property fmtid="{D5CDD505-2E9C-101B-9397-08002B2CF9AE}" pid="3" name="Creator">
    <vt:lpwstr>WPS 文字</vt:lpwstr>
  </property>
  <property fmtid="{D5CDD505-2E9C-101B-9397-08002B2CF9AE}" pid="4" name="LastSaved">
    <vt:filetime>2025-05-05T00:00:00Z</vt:filetime>
  </property>
  <property fmtid="{D5CDD505-2E9C-101B-9397-08002B2CF9AE}" pid="5" name="KSOTemplateDocerSaveRecord">
    <vt:lpwstr>eyJoZGlkIjoiM2M3MTRlNjVjMTJjYjYyMWNiNWU0ZGRlOGM0MmI4MDkiLCJ1c2VySWQiOiI1MDM1NzM2MTgifQ==</vt:lpwstr>
  </property>
  <property fmtid="{D5CDD505-2E9C-101B-9397-08002B2CF9AE}" pid="6" name="KSOProductBuildVer">
    <vt:lpwstr>2052-12.1.0.25865</vt:lpwstr>
  </property>
  <property fmtid="{D5CDD505-2E9C-101B-9397-08002B2CF9AE}" pid="7" name="ICV">
    <vt:lpwstr>B7567417619846CEBA88F1516A17025C_12</vt:lpwstr>
  </property>
</Properties>
</file>