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99FE9">
      <w:pPr>
        <w:keepNext w:val="0"/>
        <w:keepLines w:val="0"/>
        <w:widowControl w:val="0"/>
        <w:suppressLineNumbers w:val="0"/>
        <w:spacing w:before="0" w:beforeAutospacing="0" w:after="0" w:afterAutospacing="0"/>
        <w:ind w:left="0" w:right="0"/>
        <w:jc w:val="center"/>
        <w:rPr>
          <w:rFonts w:hint="default" w:ascii="仿宋_GB2312" w:eastAsia="PMingLiU" w:cs="仿宋_GB2312"/>
          <w:b/>
          <w:bCs/>
          <w:kern w:val="0"/>
          <w:sz w:val="32"/>
          <w:szCs w:val="32"/>
        </w:rPr>
      </w:pPr>
      <w:r>
        <w:rPr>
          <w:rFonts w:hint="default" w:ascii="仿宋_GB2312" w:hAnsi="Arial Unicode MS" w:eastAsia="仿宋_GB2312" w:cs="仿宋_GB2312"/>
          <w:b/>
          <w:bCs/>
          <w:color w:val="000000"/>
          <w:kern w:val="0"/>
          <w:sz w:val="32"/>
          <w:szCs w:val="32"/>
          <w:lang w:val="en-US" w:eastAsia="zh-CN" w:bidi="ar"/>
        </w:rPr>
        <w:t>辽宁师范大学心理学院</w:t>
      </w:r>
    </w:p>
    <w:p w14:paraId="119AA8B1">
      <w:pPr>
        <w:keepNext w:val="0"/>
        <w:keepLines w:val="0"/>
        <w:widowControl w:val="0"/>
        <w:suppressLineNumbers w:val="0"/>
        <w:spacing w:before="0" w:beforeAutospacing="0" w:after="0" w:afterAutospacing="0"/>
        <w:ind w:left="0" w:right="0"/>
        <w:jc w:val="center"/>
        <w:rPr>
          <w:rFonts w:hint="default" w:ascii="仿宋_GB2312" w:eastAsia="PMingLiU" w:cs="仿宋_GB2312"/>
          <w:b/>
          <w:bCs/>
          <w:kern w:val="0"/>
          <w:sz w:val="32"/>
          <w:szCs w:val="32"/>
        </w:rPr>
      </w:pPr>
      <w:r>
        <w:rPr>
          <w:rFonts w:hint="default" w:ascii="仿宋_GB2312" w:hAnsi="Arial Unicode MS" w:eastAsia="仿宋_GB2312" w:cs="仿宋_GB2312"/>
          <w:b/>
          <w:bCs/>
          <w:color w:val="000000"/>
          <w:kern w:val="0"/>
          <w:sz w:val="32"/>
          <w:szCs w:val="32"/>
          <w:lang w:val="en-US" w:eastAsia="zh-CN" w:bidi="ar"/>
        </w:rPr>
        <w:t>推荐优秀应届本科毕业生免试攻读研究生</w:t>
      </w:r>
    </w:p>
    <w:p w14:paraId="686ED224">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kern w:val="0"/>
          <w:sz w:val="32"/>
          <w:szCs w:val="32"/>
        </w:rPr>
      </w:pPr>
      <w:r>
        <w:rPr>
          <w:rFonts w:hint="default" w:ascii="仿宋_GB2312" w:hAnsi="Arial Unicode MS" w:eastAsia="仿宋_GB2312" w:cs="仿宋_GB2312"/>
          <w:b/>
          <w:bCs/>
          <w:color w:val="000000"/>
          <w:kern w:val="0"/>
          <w:sz w:val="32"/>
          <w:szCs w:val="32"/>
          <w:lang w:val="en-US" w:eastAsia="zh-CN" w:bidi="ar"/>
        </w:rPr>
        <w:t>工作实施细则的补充说明</w:t>
      </w:r>
    </w:p>
    <w:p w14:paraId="6AF38FAA">
      <w:pPr>
        <w:keepNext w:val="0"/>
        <w:keepLines w:val="0"/>
        <w:widowControl w:val="0"/>
        <w:numPr>
          <w:ilvl w:val="0"/>
          <w:numId w:val="1"/>
        </w:numPr>
        <w:suppressLineNumbers w:val="0"/>
        <w:spacing w:before="240" w:beforeLines="100" w:beforeAutospacing="0" w:after="0" w:afterAutospacing="0" w:line="360" w:lineRule="auto"/>
        <w:ind w:left="0" w:right="0" w:firstLine="480" w:firstLineChars="200"/>
        <w:jc w:val="left"/>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根据</w:t>
      </w:r>
      <w:bookmarkStart w:id="0" w:name="OLE_LINK1"/>
      <w:r>
        <w:rPr>
          <w:rFonts w:hint="default" w:ascii="仿宋_GB2312" w:hAnsi="Arial Unicode MS" w:eastAsia="仿宋_GB2312" w:cs="仿宋_GB2312"/>
          <w:color w:val="000000"/>
          <w:kern w:val="0"/>
          <w:sz w:val="24"/>
          <w:szCs w:val="24"/>
          <w:lang w:val="en-US" w:eastAsia="zh-CN" w:bidi="ar"/>
        </w:rPr>
        <w:t>《辽宁师范大学本科生违反考试和学习纪律认定处理办法（2017年9月1日起施行）》</w:t>
      </w:r>
      <w:bookmarkEnd w:id="0"/>
      <w:r>
        <w:rPr>
          <w:rFonts w:hint="default" w:ascii="仿宋_GB2312" w:hAnsi="Arial Unicode MS" w:eastAsia="仿宋_GB2312" w:cs="仿宋_GB2312"/>
          <w:color w:val="000000"/>
          <w:kern w:val="0"/>
          <w:sz w:val="24"/>
          <w:szCs w:val="24"/>
          <w:lang w:val="en-US" w:eastAsia="zh-CN" w:bidi="ar"/>
        </w:rPr>
        <w:t>，被认定为考试作弊的学生不予推荐。</w:t>
      </w:r>
    </w:p>
    <w:p w14:paraId="4B2D1416">
      <w:pPr>
        <w:keepNext w:val="0"/>
        <w:keepLines w:val="0"/>
        <w:widowControl w:val="0"/>
        <w:numPr>
          <w:ilvl w:val="0"/>
          <w:numId w:val="1"/>
        </w:numPr>
        <w:suppressLineNumbers w:val="0"/>
        <w:spacing w:before="0" w:beforeAutospacing="0" w:after="0" w:afterAutospacing="0" w:line="360" w:lineRule="auto"/>
        <w:ind w:left="0" w:right="0" w:firstLine="480" w:firstLineChars="200"/>
        <w:jc w:val="left"/>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获得推荐免试攻读研究生资格的同学，应有高质量的学士学位论文。</w:t>
      </w:r>
    </w:p>
    <w:p w14:paraId="1EF46B87">
      <w:pPr>
        <w:keepNext w:val="0"/>
        <w:keepLines w:val="0"/>
        <w:widowControl w:val="0"/>
        <w:suppressLineNumbers w:val="0"/>
        <w:spacing w:before="0" w:beforeAutospacing="0" w:after="0" w:afterAutospacing="0" w:line="360" w:lineRule="auto"/>
        <w:ind w:left="0" w:right="0" w:firstLine="480"/>
        <w:jc w:val="both"/>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3. 德育测评考核不合格者不予推荐。</w:t>
      </w:r>
    </w:p>
    <w:p w14:paraId="2BB76701">
      <w:pPr>
        <w:keepNext w:val="0"/>
        <w:keepLines w:val="0"/>
        <w:widowControl w:val="0"/>
        <w:suppressLineNumbers w:val="0"/>
        <w:spacing w:before="0" w:beforeAutospacing="0" w:after="0" w:afterAutospacing="0" w:line="360" w:lineRule="auto"/>
        <w:ind w:left="0" w:right="0" w:firstLine="480"/>
        <w:jc w:val="both"/>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4. 科研创新成绩的审核、答辩由学院成立专家审核小组完成，具体负责推免生学术专长审核工作（专家组成员原则上应具有相关学科副教授以上职称，一般不少于5人），未通过审核鉴定或答辩的学生不予推荐</w:t>
      </w:r>
      <w:bookmarkStart w:id="1" w:name="_GoBack"/>
      <w:bookmarkEnd w:id="1"/>
      <w:r>
        <w:rPr>
          <w:rFonts w:hint="default" w:ascii="仿宋_GB2312" w:hAnsi="Arial Unicode MS" w:eastAsia="仿宋_GB2312" w:cs="仿宋_GB2312"/>
          <w:color w:val="000000"/>
          <w:kern w:val="0"/>
          <w:sz w:val="24"/>
          <w:szCs w:val="24"/>
          <w:lang w:val="en-US" w:eastAsia="zh-CN" w:bidi="ar"/>
        </w:rPr>
        <w:t>。</w:t>
      </w:r>
    </w:p>
    <w:p w14:paraId="3FE243E3">
      <w:pPr>
        <w:keepNext w:val="0"/>
        <w:keepLines w:val="0"/>
        <w:widowControl w:val="0"/>
        <w:suppressLineNumbers w:val="0"/>
        <w:spacing w:before="0" w:beforeAutospacing="0" w:after="0" w:afterAutospacing="0" w:line="360" w:lineRule="auto"/>
        <w:ind w:left="0" w:right="0" w:firstLine="425"/>
        <w:jc w:val="both"/>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5. 推免名额分配原则</w:t>
      </w:r>
    </w:p>
    <w:p w14:paraId="544B9E8B">
      <w:pPr>
        <w:keepNext w:val="0"/>
        <w:keepLines w:val="0"/>
        <w:widowControl/>
        <w:suppressLineNumbers w:val="0"/>
        <w:spacing w:before="0" w:beforeAutospacing="0" w:after="0" w:afterAutospacing="0" w:line="360" w:lineRule="auto"/>
        <w:ind w:left="0" w:right="0" w:firstLine="640"/>
        <w:jc w:val="left"/>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学院推荐免试硕士研究生由两部分组成：非补偿名额和补偿名额。补偿名额为定向名额，学校、专业和专业类型已限定，不可更改。非补偿名额对学校、专业和专业类型没有限制，非补偿名额可以就读其他学校，也可以就读本校，就读学校由申请人本人联系。</w:t>
      </w:r>
    </w:p>
    <w:p w14:paraId="4FDD1106">
      <w:pPr>
        <w:keepNext w:val="0"/>
        <w:keepLines w:val="0"/>
        <w:widowControl w:val="0"/>
        <w:suppressLineNumbers w:val="0"/>
        <w:spacing w:before="0" w:beforeAutospacing="0" w:after="0" w:afterAutospacing="0" w:line="360" w:lineRule="auto"/>
        <w:ind w:left="0" w:right="0" w:firstLine="480"/>
        <w:jc w:val="both"/>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学院根据学校分配的名额，由推免工作领导小组按照各类推免名额要求根据各专业人数比例进行分配。</w:t>
      </w:r>
    </w:p>
    <w:p w14:paraId="2EE96464">
      <w:pPr>
        <w:keepNext w:val="0"/>
        <w:keepLines w:val="0"/>
        <w:widowControl w:val="0"/>
        <w:suppressLineNumbers w:val="0"/>
        <w:spacing w:before="0" w:beforeAutospacing="0" w:after="0" w:afterAutospacing="0"/>
        <w:ind w:left="0" w:right="0" w:firstLine="319"/>
        <w:jc w:val="both"/>
        <w:rPr>
          <w:rFonts w:hint="default" w:ascii="Arial Unicode MS" w:hAnsi="Arial Unicode MS" w:eastAsia="Arial Unicode MS" w:cs="Arial Unicode MS"/>
          <w:kern w:val="2"/>
          <w:sz w:val="24"/>
          <w:szCs w:val="24"/>
        </w:rPr>
      </w:pPr>
      <w:r>
        <w:rPr>
          <w:rFonts w:hint="default" w:ascii="仿宋_GB2312" w:hAnsi="Arial Unicode MS" w:eastAsia="仿宋_GB2312" w:cs="仿宋_GB2312"/>
          <w:color w:val="000000"/>
          <w:kern w:val="0"/>
          <w:sz w:val="24"/>
          <w:szCs w:val="24"/>
          <w:lang w:val="en-US" w:eastAsia="zh-CN" w:bidi="ar"/>
        </w:rPr>
        <w:t>6. 心理学院本科生推荐免试研究生科研创新成绩计算办法</w:t>
      </w:r>
    </w:p>
    <w:p w14:paraId="08737070">
      <w:pPr>
        <w:keepNext w:val="0"/>
        <w:keepLines w:val="0"/>
        <w:widowControl/>
        <w:suppressLineNumbers w:val="0"/>
        <w:spacing w:before="0" w:beforeAutospacing="0" w:after="0" w:afterAutospacing="0" w:line="420" w:lineRule="atLeast"/>
        <w:ind w:left="300" w:right="300" w:firstLine="640"/>
        <w:jc w:val="left"/>
        <w:rPr>
          <w:rFonts w:hint="default" w:ascii="Arial Unicode MS" w:hAnsi="Arial Unicode MS" w:eastAsia="Arial Unicode MS" w:cs="Arial Unicode MS"/>
          <w:kern w:val="2"/>
          <w:sz w:val="24"/>
          <w:szCs w:val="24"/>
        </w:rPr>
      </w:pPr>
      <w:r>
        <w:rPr>
          <w:rFonts w:hint="default" w:ascii="仿宋_GB2312" w:hAnsi="Arial Unicode MS" w:eastAsia="仿宋_GB2312" w:cs="仿宋_GB2312"/>
          <w:color w:val="000000"/>
          <w:kern w:val="0"/>
          <w:sz w:val="24"/>
          <w:szCs w:val="24"/>
          <w:lang w:val="en-US" w:eastAsia="zh-CN" w:bidi="ar"/>
        </w:rPr>
        <w:t>为做好推荐免试硕士研究生工作，根据《辽宁师范大学推荐免试硕士研究生实施办法》（辽师大校发〔2023〕38号）的原则和要求，我院结合自身实际情况制定了本计算办法。</w:t>
      </w:r>
      <w:r>
        <w:rPr>
          <w:rFonts w:hint="default" w:ascii="Courier New" w:hAnsi="Courier New" w:eastAsia="Arial Unicode MS" w:cs="Arial Unicode MS"/>
          <w:color w:val="000000"/>
          <w:kern w:val="0"/>
          <w:sz w:val="24"/>
          <w:szCs w:val="24"/>
          <w:lang w:val="en-US" w:eastAsia="zh-CN" w:bidi="ar"/>
        </w:rPr>
        <w:t xml:space="preserve"> </w:t>
      </w:r>
    </w:p>
    <w:p w14:paraId="2A59F793">
      <w:pPr>
        <w:pStyle w:val="2"/>
        <w:keepNext w:val="0"/>
        <w:keepLines w:val="0"/>
        <w:widowControl/>
        <w:suppressLineNumbers w:val="0"/>
        <w:spacing w:before="0" w:beforeAutospacing="0" w:after="0" w:afterAutospacing="0" w:line="420" w:lineRule="atLeast"/>
        <w:ind w:left="300" w:right="300" w:firstLine="64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一、科研创新成绩占推免综合考核成绩的10%（即10分），包括本科生科研项目、公开发表学术论文、授权专利和学科竞赛获奖组成。</w:t>
      </w:r>
    </w:p>
    <w:p w14:paraId="4507578F">
      <w:pPr>
        <w:pStyle w:val="2"/>
        <w:keepNext w:val="0"/>
        <w:keepLines w:val="0"/>
        <w:widowControl/>
        <w:suppressLineNumbers w:val="0"/>
        <w:spacing w:before="0" w:beforeAutospacing="0" w:after="0" w:afterAutospacing="0" w:line="420" w:lineRule="atLeast"/>
        <w:ind w:left="300" w:right="300" w:firstLine="640"/>
        <w:jc w:val="both"/>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二、科研创新成果第一署名单位须为辽宁师范大学。科研成果必须为与本专业具有较强相关性的成果。同一成果以最高分计入，不累计加分。多人共同成果项目：两人按6:4比例计算成绩，三人按5:3:2比例计算成绩，四人按4:3:2:1比例计算成绩，五人按4:3:1:1:1比例计算成绩。（</w:t>
      </w:r>
      <w:r>
        <w:rPr>
          <w:rFonts w:hint="default" w:ascii="仿宋_GB2312" w:hAnsi="Arial Unicode MS" w:eastAsia="仿宋_GB2312" w:cs="仿宋_GB2312"/>
          <w:b/>
          <w:bCs/>
          <w:color w:val="000000"/>
          <w:kern w:val="0"/>
          <w:sz w:val="24"/>
          <w:szCs w:val="24"/>
          <w:lang w:val="en-US" w:eastAsia="zh-CN" w:bidi="ar"/>
        </w:rPr>
        <w:t>对于涉及到教师参与的学术论文，教师也参与比例分配</w:t>
      </w:r>
      <w:r>
        <w:rPr>
          <w:rFonts w:hint="default" w:ascii="仿宋_GB2312" w:hAnsi="Arial Unicode MS" w:eastAsia="仿宋_GB2312" w:cs="仿宋_GB2312"/>
          <w:color w:val="000000"/>
          <w:kern w:val="0"/>
          <w:sz w:val="24"/>
          <w:szCs w:val="24"/>
          <w:lang w:val="en-US" w:eastAsia="zh-CN" w:bidi="ar"/>
        </w:rPr>
        <w:t>）</w:t>
      </w:r>
      <w:r>
        <w:rPr>
          <w:rFonts w:hint="default" w:ascii="Courier New" w:hAnsi="Courier New" w:eastAsia="Arial Unicode MS" w:cs="Arial Unicode MS"/>
          <w:color w:val="000000"/>
          <w:kern w:val="0"/>
          <w:sz w:val="24"/>
          <w:szCs w:val="24"/>
          <w:lang w:val="en-US" w:eastAsia="zh-CN" w:bidi="ar"/>
        </w:rPr>
        <w:t xml:space="preserve"> </w:t>
      </w:r>
    </w:p>
    <w:p w14:paraId="57C04853">
      <w:pPr>
        <w:pStyle w:val="2"/>
        <w:keepNext w:val="0"/>
        <w:keepLines w:val="0"/>
        <w:widowControl/>
        <w:suppressLineNumbers w:val="0"/>
        <w:spacing w:before="0" w:beforeAutospacing="0" w:after="0" w:afterAutospacing="0" w:line="420" w:lineRule="atLeast"/>
        <w:ind w:left="300" w:right="106" w:firstLine="660"/>
        <w:jc w:val="both"/>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三、本科生科研项目包括大学生创新创业训练计划项目、教师指导本科生科研训练项目、实验室开放项目、本科生自主科研立项等科研项目。</w:t>
      </w:r>
      <w:r>
        <w:rPr>
          <w:rFonts w:hint="default" w:ascii="Courier New" w:hAnsi="Courier New" w:eastAsia="Arial Unicode MS" w:cs="Arial Unicode MS"/>
          <w:color w:val="000000"/>
          <w:kern w:val="0"/>
          <w:sz w:val="24"/>
          <w:szCs w:val="24"/>
          <w:lang w:val="en-US" w:eastAsia="zh-CN" w:bidi="ar"/>
        </w:rPr>
        <w:t xml:space="preserve"> </w:t>
      </w:r>
    </w:p>
    <w:p w14:paraId="5156D467">
      <w:pPr>
        <w:pStyle w:val="2"/>
        <w:keepNext w:val="0"/>
        <w:keepLines w:val="0"/>
        <w:widowControl/>
        <w:suppressLineNumbers w:val="0"/>
        <w:spacing w:before="0" w:beforeAutospacing="0" w:after="0" w:afterAutospacing="0" w:line="420" w:lineRule="atLeast"/>
        <w:ind w:left="300" w:right="106" w:firstLine="660"/>
        <w:jc w:val="both"/>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四、关于项目以及获奖级别的说明：国家级成果指政府、科技部、教育部级别、国家级学会、国家级协会级别的成果；省级成果指省政府、省科技厅、省教育厅、省级学会、省级协会级别的成果；市级成果指市政府、市科技局、市教育局、市级学会、市级协会级别的成果；校级成果指校级奖励的成果。</w:t>
      </w:r>
      <w:r>
        <w:rPr>
          <w:rFonts w:hint="default" w:ascii="Courier New" w:hAnsi="Courier New" w:eastAsia="Arial Unicode MS" w:cs="Arial Unicode MS"/>
          <w:color w:val="000000"/>
          <w:kern w:val="0"/>
          <w:sz w:val="24"/>
          <w:szCs w:val="24"/>
          <w:lang w:val="en-US" w:eastAsia="zh-CN" w:bidi="ar"/>
        </w:rPr>
        <w:t xml:space="preserve"> </w:t>
      </w:r>
    </w:p>
    <w:p w14:paraId="41375856">
      <w:pPr>
        <w:pStyle w:val="2"/>
        <w:keepNext w:val="0"/>
        <w:keepLines w:val="0"/>
        <w:widowControl/>
        <w:suppressLineNumbers w:val="0"/>
        <w:spacing w:before="0" w:beforeAutospacing="0" w:after="0" w:afterAutospacing="0" w:line="420" w:lineRule="atLeast"/>
        <w:ind w:left="300" w:right="106" w:firstLine="640"/>
        <w:jc w:val="both"/>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五、以申请本科生中所得最高分为标准按10分</w:t>
      </w:r>
      <w:r>
        <w:rPr>
          <w:rFonts w:hint="default" w:ascii="Courier New" w:hAnsi="Courier New" w:eastAsia="Arial Unicode MS" w:cs="Courier New"/>
          <w:color w:val="000000"/>
          <w:kern w:val="0"/>
          <w:sz w:val="24"/>
          <w:szCs w:val="24"/>
          <w:lang w:val="en-US" w:eastAsia="zh-CN" w:bidi="ar"/>
        </w:rPr>
        <w:t>“</w:t>
      </w:r>
      <w:r>
        <w:rPr>
          <w:rFonts w:hint="default" w:ascii="仿宋_GB2312" w:hAnsi="Arial Unicode MS" w:eastAsia="仿宋_GB2312" w:cs="仿宋_GB2312"/>
          <w:color w:val="000000"/>
          <w:kern w:val="0"/>
          <w:sz w:val="24"/>
          <w:szCs w:val="24"/>
          <w:lang w:val="en-US" w:eastAsia="zh-CN" w:bidi="ar"/>
        </w:rPr>
        <w:t>归一化</w:t>
      </w:r>
      <w:r>
        <w:rPr>
          <w:rFonts w:hint="default" w:ascii="Courier New" w:hAnsi="Courier New" w:eastAsia="Arial Unicode MS" w:cs="Courier New"/>
          <w:color w:val="000000"/>
          <w:kern w:val="0"/>
          <w:sz w:val="24"/>
          <w:szCs w:val="24"/>
          <w:lang w:val="en-US" w:eastAsia="zh-CN" w:bidi="ar"/>
        </w:rPr>
        <w:t>”</w:t>
      </w:r>
      <w:r>
        <w:rPr>
          <w:rFonts w:hint="default" w:ascii="仿宋_GB2312" w:hAnsi="Arial Unicode MS" w:eastAsia="仿宋_GB2312" w:cs="仿宋_GB2312"/>
          <w:color w:val="000000"/>
          <w:kern w:val="0"/>
          <w:sz w:val="24"/>
          <w:szCs w:val="24"/>
          <w:lang w:val="en-US" w:eastAsia="zh-CN" w:bidi="ar"/>
        </w:rPr>
        <w:t>折算出每位本科生科研总分，分值按四舍五入保留两位小数。例如，有20名本科生参评，其中学生甲科研最好，假定其科研累积分为135分，学生乙较弱，假定其科研累积分为85分，那么通过折算，学生甲的科研分为 135</w:t>
      </w:r>
      <w:r>
        <w:rPr>
          <w:rFonts w:hint="default" w:ascii="Courier New" w:hAnsi="Courier New" w:eastAsia="Arial Unicode MS" w:cs="Courier New"/>
          <w:color w:val="000000"/>
          <w:kern w:val="0"/>
          <w:sz w:val="24"/>
          <w:szCs w:val="24"/>
          <w:lang w:val="en-US" w:eastAsia="zh-CN" w:bidi="ar"/>
        </w:rPr>
        <w:t>÷</w:t>
      </w:r>
      <w:r>
        <w:rPr>
          <w:rFonts w:hint="default" w:ascii="仿宋_GB2312" w:hAnsi="Arial Unicode MS" w:eastAsia="仿宋_GB2312" w:cs="仿宋_GB2312"/>
          <w:color w:val="000000"/>
          <w:kern w:val="0"/>
          <w:sz w:val="24"/>
          <w:szCs w:val="24"/>
          <w:lang w:val="en-US" w:eastAsia="zh-CN" w:bidi="ar"/>
        </w:rPr>
        <w:t>135*10=10分，学生乙的科研分为85</w:t>
      </w:r>
      <w:r>
        <w:rPr>
          <w:rFonts w:hint="default" w:ascii="Courier New" w:hAnsi="Courier New" w:eastAsia="Arial Unicode MS" w:cs="Courier New"/>
          <w:color w:val="000000"/>
          <w:kern w:val="0"/>
          <w:sz w:val="24"/>
          <w:szCs w:val="24"/>
          <w:lang w:val="en-US" w:eastAsia="zh-CN" w:bidi="ar"/>
        </w:rPr>
        <w:t>÷</w:t>
      </w:r>
      <w:r>
        <w:rPr>
          <w:rFonts w:hint="default" w:ascii="仿宋_GB2312" w:hAnsi="Arial Unicode MS" w:eastAsia="仿宋_GB2312" w:cs="仿宋_GB2312"/>
          <w:color w:val="000000"/>
          <w:kern w:val="0"/>
          <w:sz w:val="24"/>
          <w:szCs w:val="24"/>
          <w:lang w:val="en-US" w:eastAsia="zh-CN" w:bidi="ar"/>
        </w:rPr>
        <w:t>135*10</w:t>
      </w:r>
      <w:r>
        <w:rPr>
          <w:rFonts w:hint="default" w:ascii="Courier New" w:hAnsi="Courier New" w:eastAsia="Arial Unicode MS" w:cs="Courier New"/>
          <w:color w:val="000000"/>
          <w:kern w:val="0"/>
          <w:sz w:val="24"/>
          <w:szCs w:val="24"/>
          <w:lang w:val="en-US" w:eastAsia="zh-CN" w:bidi="ar"/>
        </w:rPr>
        <w:t>≈</w:t>
      </w:r>
      <w:r>
        <w:rPr>
          <w:rFonts w:hint="default" w:ascii="仿宋_GB2312" w:hAnsi="Arial Unicode MS" w:eastAsia="仿宋_GB2312" w:cs="仿宋_GB2312"/>
          <w:color w:val="000000"/>
          <w:kern w:val="0"/>
          <w:sz w:val="24"/>
          <w:szCs w:val="24"/>
          <w:lang w:val="en-US" w:eastAsia="zh-CN" w:bidi="ar"/>
        </w:rPr>
        <w:t>6.30分。</w:t>
      </w:r>
      <w:r>
        <w:rPr>
          <w:rFonts w:hint="default" w:ascii="Courier New" w:hAnsi="Courier New" w:eastAsia="Arial Unicode MS" w:cs="Arial Unicode MS"/>
          <w:color w:val="000000"/>
          <w:kern w:val="0"/>
          <w:sz w:val="24"/>
          <w:szCs w:val="24"/>
          <w:lang w:val="en-US" w:eastAsia="zh-CN" w:bidi="ar"/>
        </w:rPr>
        <w:t xml:space="preserve"> </w:t>
      </w:r>
    </w:p>
    <w:p w14:paraId="5AC8D73B">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Courier New" w:hAnsi="Courier New" w:eastAsia="Arial Unicode MS" w:cs="Arial Unicode MS"/>
          <w:color w:val="000000"/>
          <w:kern w:val="0"/>
          <w:sz w:val="32"/>
          <w:szCs w:val="32"/>
          <w:lang w:val="en-US" w:eastAsia="zh-CN" w:bidi="ar"/>
        </w:rPr>
        <w:t xml:space="preserve">   </w:t>
      </w:r>
      <w:r>
        <w:rPr>
          <w:rFonts w:hint="default" w:ascii="仿宋_GB2312" w:hAnsi="Arial Unicode MS" w:eastAsia="仿宋_GB2312" w:cs="仿宋_GB2312"/>
          <w:color w:val="000000"/>
          <w:kern w:val="0"/>
          <w:sz w:val="24"/>
          <w:szCs w:val="24"/>
          <w:lang w:val="en-US" w:eastAsia="zh-CN" w:bidi="ar"/>
        </w:rPr>
        <w:t xml:space="preserve"> 六、各项科研成果分值的具体计算方案：</w:t>
      </w:r>
      <w:r>
        <w:rPr>
          <w:rFonts w:hint="default" w:ascii="Courier New" w:hAnsi="Courier New" w:eastAsia="Arial Unicode MS" w:cs="Arial Unicode MS"/>
          <w:color w:val="000000"/>
          <w:kern w:val="0"/>
          <w:sz w:val="24"/>
          <w:szCs w:val="24"/>
          <w:lang w:val="en-US" w:eastAsia="zh-CN" w:bidi="ar"/>
        </w:rPr>
        <w:t xml:space="preserve"> </w:t>
      </w:r>
    </w:p>
    <w:p w14:paraId="79E2D31B">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（1）大学生创新创业训练计划项目、教师指导本科生科研训练项目、本科生自主科研立项等科研项目，每项总分如下：</w:t>
      </w:r>
    </w:p>
    <w:tbl>
      <w:tblPr>
        <w:tblStyle w:val="3"/>
        <w:tblW w:w="7087" w:type="dxa"/>
        <w:tblInd w:w="44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Layout w:type="fixed"/>
        <w:tblCellMar>
          <w:top w:w="0" w:type="dxa"/>
          <w:left w:w="10" w:type="dxa"/>
          <w:bottom w:w="0" w:type="dxa"/>
          <w:right w:w="10" w:type="dxa"/>
        </w:tblCellMar>
      </w:tblPr>
      <w:tblGrid>
        <w:gridCol w:w="1701"/>
        <w:gridCol w:w="1275"/>
        <w:gridCol w:w="1276"/>
        <w:gridCol w:w="1418"/>
        <w:gridCol w:w="1417"/>
      </w:tblGrid>
      <w:tr w14:paraId="079D31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701"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3368EF44">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项目情况</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5"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4ACACB0">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国家级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6C62C57">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省级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6B526647">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市级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59483EF5">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校级</w:t>
            </w:r>
          </w:p>
        </w:tc>
      </w:tr>
      <w:tr w14:paraId="554DE38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55" w:hRule="atLeast"/>
        </w:trPr>
        <w:tc>
          <w:tcPr>
            <w:tcW w:w="1701"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2DD89545">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项目结题</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5"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5DBDF93">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35BDE7A">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16</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26F4D86A">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8</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8ADB18F">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4</w:t>
            </w:r>
          </w:p>
        </w:tc>
      </w:tr>
      <w:tr w14:paraId="4F7289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701"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01D82FDF">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项目立项</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5"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5939F0BF">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16</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9F855C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12</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AE62951">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4</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42B5B49">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w:t>
            </w:r>
          </w:p>
        </w:tc>
      </w:tr>
    </w:tbl>
    <w:p w14:paraId="70AFD62C">
      <w:pPr>
        <w:pStyle w:val="2"/>
        <w:keepNext w:val="0"/>
        <w:keepLines w:val="0"/>
        <w:widowControl w:val="0"/>
        <w:suppressLineNumbers w:val="0"/>
        <w:spacing w:before="0" w:beforeAutospacing="0" w:after="0" w:afterAutospacing="0"/>
        <w:ind w:left="6" w:right="0" w:hanging="6"/>
        <w:jc w:val="left"/>
        <w:rPr>
          <w:rFonts w:hint="default" w:ascii="Arial Unicode MS" w:hAnsi="Arial Unicode MS" w:eastAsia="Arial Unicode MS" w:cs="Arial Unicode MS"/>
          <w:sz w:val="24"/>
          <w:szCs w:val="24"/>
        </w:rPr>
      </w:pPr>
      <w:r>
        <w:rPr>
          <w:rFonts w:hint="default" w:ascii="Arial Unicode MS" w:hAnsi="Arial Unicode MS" w:eastAsia="Arial Unicode MS" w:cs="Arial Unicode MS"/>
          <w:color w:val="000000"/>
          <w:kern w:val="0"/>
          <w:sz w:val="24"/>
          <w:szCs w:val="24"/>
          <w:lang w:val="en-US" w:eastAsia="zh-CN" w:bidi="ar"/>
        </w:rPr>
        <w:t xml:space="preserve"> </w:t>
      </w:r>
    </w:p>
    <w:p w14:paraId="19170D27">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（2）实验室开放项目每项立项计2分, 结项计4分，按照参与人数平均分配。</w:t>
      </w:r>
      <w:r>
        <w:rPr>
          <w:rFonts w:hint="default" w:ascii="Courier New" w:hAnsi="Courier New" w:eastAsia="Arial Unicode MS" w:cs="Arial Unicode MS"/>
          <w:color w:val="000000"/>
          <w:kern w:val="0"/>
          <w:sz w:val="24"/>
          <w:szCs w:val="24"/>
          <w:lang w:val="en-US" w:eastAsia="zh-CN" w:bidi="ar"/>
        </w:rPr>
        <w:t xml:space="preserve"> </w:t>
      </w:r>
    </w:p>
    <w:p w14:paraId="72894F01">
      <w:pPr>
        <w:pStyle w:val="2"/>
        <w:keepNext w:val="0"/>
        <w:keepLines w:val="0"/>
        <w:widowControl/>
        <w:suppressLineNumbers w:val="0"/>
        <w:spacing w:before="0" w:beforeAutospacing="0" w:after="0" w:afterAutospacing="0" w:line="420" w:lineRule="atLeast"/>
        <w:ind w:left="300" w:right="300"/>
        <w:jc w:val="left"/>
        <w:rPr>
          <w:rFonts w:hint="default" w:ascii="仿宋_GB2312" w:hAnsi="仿宋_GB2312" w:eastAsia="PMingLiU" w:cs="仿宋_GB2312"/>
          <w:sz w:val="24"/>
          <w:szCs w:val="24"/>
        </w:rPr>
      </w:pPr>
      <w:r>
        <w:rPr>
          <w:rFonts w:hint="default" w:ascii="仿宋_GB2312" w:hAnsi="仿宋_GB2312" w:eastAsia="PMingLiU" w:cs="仿宋_GB2312"/>
          <w:color w:val="000000"/>
          <w:kern w:val="0"/>
          <w:sz w:val="24"/>
          <w:szCs w:val="24"/>
          <w:lang w:val="en-US" w:eastAsia="zh-CN" w:bidi="ar"/>
        </w:rPr>
        <w:t xml:space="preserve"> </w:t>
      </w:r>
    </w:p>
    <w:p w14:paraId="495CD54E">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（3）学术论文</w:t>
      </w:r>
      <w:r>
        <w:rPr>
          <w:rFonts w:hint="default" w:ascii="Courier New" w:hAnsi="Courier New" w:eastAsia="Arial Unicode MS" w:cs="Arial Unicode MS"/>
          <w:color w:val="000000"/>
          <w:kern w:val="0"/>
          <w:sz w:val="24"/>
          <w:szCs w:val="24"/>
          <w:lang w:val="en-US" w:eastAsia="zh-CN" w:bidi="ar"/>
        </w:rPr>
        <w:t xml:space="preserve"> </w:t>
      </w:r>
    </w:p>
    <w:p w14:paraId="50DE65B3">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Courier New" w:hAnsi="Courier New" w:eastAsia="Arial Unicode MS" w:cs="Arial Unicode MS"/>
          <w:color w:val="000000"/>
          <w:kern w:val="0"/>
          <w:sz w:val="24"/>
          <w:szCs w:val="24"/>
          <w:lang w:val="en-US" w:eastAsia="zh-CN" w:bidi="ar"/>
        </w:rPr>
        <w:t xml:space="preserve">  </w:t>
      </w:r>
      <w:r>
        <w:rPr>
          <w:rFonts w:hint="default" w:ascii="仿宋_GB2312" w:hAnsi="Arial Unicode MS" w:eastAsia="仿宋_GB2312" w:cs="仿宋_GB2312"/>
          <w:color w:val="000000"/>
          <w:kern w:val="0"/>
          <w:sz w:val="24"/>
          <w:szCs w:val="24"/>
          <w:lang w:val="en-US" w:eastAsia="zh-CN" w:bidi="ar"/>
        </w:rPr>
        <w:t xml:space="preserve"> 论文必须正式发表，每篇论文总分如下。论文分类以学校科研处最新相关文件规定为界定标准。</w:t>
      </w:r>
      <w:r>
        <w:rPr>
          <w:rFonts w:hint="default" w:ascii="Courier New" w:hAnsi="Courier New" w:eastAsia="Arial Unicode MS" w:cs="Arial Unicode MS"/>
          <w:color w:val="000000"/>
          <w:kern w:val="0"/>
          <w:sz w:val="24"/>
          <w:szCs w:val="24"/>
          <w:lang w:val="en-US" w:eastAsia="zh-CN" w:bidi="ar"/>
        </w:rPr>
        <w:t xml:space="preserve"> </w:t>
      </w:r>
    </w:p>
    <w:tbl>
      <w:tblPr>
        <w:tblStyle w:val="3"/>
        <w:tblW w:w="7050" w:type="dxa"/>
        <w:tblInd w:w="43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Layout w:type="fixed"/>
        <w:tblCellMar>
          <w:top w:w="0" w:type="dxa"/>
          <w:left w:w="10" w:type="dxa"/>
          <w:bottom w:w="0" w:type="dxa"/>
          <w:right w:w="10" w:type="dxa"/>
        </w:tblCellMar>
      </w:tblPr>
      <w:tblGrid>
        <w:gridCol w:w="2550"/>
        <w:gridCol w:w="2421"/>
        <w:gridCol w:w="2079"/>
      </w:tblGrid>
      <w:tr w14:paraId="5994D0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55" w:hRule="atLeast"/>
        </w:trPr>
        <w:tc>
          <w:tcPr>
            <w:tcW w:w="2550"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35787957">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SCI、SSCI、A类</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2421"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BA56017">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B类</w:t>
            </w:r>
          </w:p>
        </w:tc>
        <w:tc>
          <w:tcPr>
            <w:tcW w:w="2079"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A8D2544">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trike/>
                <w:dstrike w:val="0"/>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C类</w:t>
            </w:r>
          </w:p>
        </w:tc>
      </w:tr>
      <w:tr w14:paraId="65DA61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24" w:hRule="atLeast"/>
        </w:trPr>
        <w:tc>
          <w:tcPr>
            <w:tcW w:w="2550"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08A17DC4">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2421"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70E413FA">
            <w:pPr>
              <w:pStyle w:val="2"/>
              <w:keepNext w:val="0"/>
              <w:keepLines w:val="0"/>
              <w:widowControl/>
              <w:suppressLineNumbers w:val="0"/>
              <w:spacing w:before="0" w:beforeAutospacing="0" w:after="0" w:afterAutospacing="0"/>
              <w:ind w:left="0" w:right="0"/>
              <w:jc w:val="center"/>
              <w:rPr>
                <w:rFonts w:hint="default" w:ascii="仿宋_GB2312" w:eastAsia="仿宋_GB2312" w:cs="仿宋_GB2312"/>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12</w:t>
            </w:r>
          </w:p>
        </w:tc>
        <w:tc>
          <w:tcPr>
            <w:tcW w:w="2079"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8875503">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trike/>
                <w:dstrike w:val="0"/>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6</w:t>
            </w:r>
          </w:p>
        </w:tc>
      </w:tr>
    </w:tbl>
    <w:p w14:paraId="47D4D2F3">
      <w:pPr>
        <w:pStyle w:val="2"/>
        <w:keepNext w:val="0"/>
        <w:keepLines w:val="0"/>
        <w:widowControl w:val="0"/>
        <w:suppressLineNumbers w:val="0"/>
        <w:spacing w:before="120" w:beforeLines="50" w:beforeAutospacing="0" w:after="0" w:afterAutospacing="0"/>
        <w:ind w:left="0" w:right="0" w:firstLine="240" w:firstLineChars="100"/>
        <w:jc w:val="left"/>
        <w:rPr>
          <w:rFonts w:hint="default" w:ascii="仿宋_GB2312" w:eastAsia="仿宋_GB2312" w:cs="仿宋_GB2312"/>
          <w:sz w:val="24"/>
          <w:szCs w:val="24"/>
        </w:rPr>
      </w:pPr>
      <w:r>
        <w:rPr>
          <w:rFonts w:hint="default" w:ascii="仿宋_GB2312" w:hAnsi="Arial Unicode MS" w:eastAsia="仿宋_GB2312" w:cs="仿宋_GB2312"/>
          <w:color w:val="000000"/>
          <w:kern w:val="0"/>
          <w:sz w:val="24"/>
          <w:szCs w:val="24"/>
          <w:lang w:val="en-US" w:eastAsia="zh-CN" w:bidi="ar"/>
        </w:rPr>
        <w:t>注：EI检索的会议论文不计分。</w:t>
      </w:r>
    </w:p>
    <w:p w14:paraId="47A99375">
      <w:pPr>
        <w:pStyle w:val="2"/>
        <w:keepNext w:val="0"/>
        <w:keepLines w:val="0"/>
        <w:widowControl/>
        <w:suppressLineNumbers w:val="0"/>
        <w:spacing w:before="0" w:beforeAutospacing="0" w:after="0" w:afterAutospacing="0" w:line="420" w:lineRule="atLeast"/>
        <w:ind w:left="300" w:right="300"/>
        <w:jc w:val="left"/>
        <w:rPr>
          <w:rFonts w:hint="default" w:ascii="仿宋_GB2312" w:eastAsia="PMingLiU" w:cs="仿宋_GB2312"/>
          <w:sz w:val="24"/>
          <w:szCs w:val="24"/>
        </w:rPr>
      </w:pPr>
      <w:r>
        <w:rPr>
          <w:rFonts w:hint="default" w:ascii="仿宋_GB2312" w:hAnsi="Arial Unicode MS" w:eastAsia="PMingLiU" w:cs="仿宋_GB2312"/>
          <w:color w:val="000000"/>
          <w:kern w:val="0"/>
          <w:sz w:val="24"/>
          <w:szCs w:val="24"/>
          <w:lang w:val="en-US" w:eastAsia="zh-CN" w:bidi="ar"/>
        </w:rPr>
        <w:t xml:space="preserve"> </w:t>
      </w:r>
    </w:p>
    <w:p w14:paraId="6390E120">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（4）授权专利</w:t>
      </w:r>
      <w:r>
        <w:rPr>
          <w:rFonts w:hint="default" w:ascii="Courier New" w:hAnsi="Courier New" w:eastAsia="Arial Unicode MS" w:cs="Arial Unicode MS"/>
          <w:color w:val="000000"/>
          <w:kern w:val="0"/>
          <w:sz w:val="24"/>
          <w:szCs w:val="24"/>
          <w:lang w:val="en-US" w:eastAsia="zh-CN" w:bidi="ar"/>
        </w:rPr>
        <w:t xml:space="preserve"> </w:t>
      </w:r>
    </w:p>
    <w:tbl>
      <w:tblPr>
        <w:tblStyle w:val="3"/>
        <w:tblW w:w="7097" w:type="dxa"/>
        <w:tblInd w:w="43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Layout w:type="fixed"/>
        <w:tblCellMar>
          <w:top w:w="0" w:type="dxa"/>
          <w:left w:w="10" w:type="dxa"/>
          <w:bottom w:w="0" w:type="dxa"/>
          <w:right w:w="10" w:type="dxa"/>
        </w:tblCellMar>
      </w:tblPr>
      <w:tblGrid>
        <w:gridCol w:w="2561"/>
        <w:gridCol w:w="2126"/>
        <w:gridCol w:w="2410"/>
      </w:tblGrid>
      <w:tr w14:paraId="7F2B382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2561"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38AF0FFE">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级别</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212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D27019E">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发明专利</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2410"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874B9B8">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实用新型专利</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706304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2561"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0BB2F2DC">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获得授权</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212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732685E7">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2410"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26BFD832">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16</w:t>
            </w:r>
            <w:r>
              <w:rPr>
                <w:rFonts w:hint="default" w:ascii="Verdana" w:hAnsi="Verdana" w:eastAsia="Arial Unicode MS" w:cs="Verdana"/>
                <w:color w:val="000000"/>
                <w:kern w:val="0"/>
                <w:sz w:val="24"/>
                <w:szCs w:val="24"/>
                <w:bdr w:val="none" w:color="auto" w:sz="0" w:space="0"/>
                <w:lang w:val="en-US" w:eastAsia="zh-CN" w:bidi="ar"/>
              </w:rPr>
              <w:t xml:space="preserve"> </w:t>
            </w:r>
          </w:p>
        </w:tc>
      </w:tr>
    </w:tbl>
    <w:p w14:paraId="19C0B61A">
      <w:pPr>
        <w:pStyle w:val="2"/>
        <w:keepNext w:val="0"/>
        <w:keepLines w:val="0"/>
        <w:widowControl w:val="0"/>
        <w:suppressLineNumbers w:val="0"/>
        <w:spacing w:before="0" w:beforeAutospacing="0" w:after="0" w:afterAutospacing="0"/>
        <w:ind w:left="300" w:right="0" w:hanging="300"/>
        <w:jc w:val="left"/>
        <w:rPr>
          <w:rFonts w:hint="default" w:ascii="Arial Unicode MS" w:hAnsi="Arial Unicode MS" w:eastAsia="Arial Unicode MS" w:cs="Arial Unicode MS"/>
          <w:sz w:val="24"/>
          <w:szCs w:val="24"/>
        </w:rPr>
      </w:pPr>
      <w:r>
        <w:rPr>
          <w:rFonts w:hint="default" w:ascii="Arial Unicode MS" w:hAnsi="Arial Unicode MS" w:eastAsia="Arial Unicode MS" w:cs="Arial Unicode MS"/>
          <w:color w:val="000000"/>
          <w:kern w:val="0"/>
          <w:sz w:val="24"/>
          <w:szCs w:val="24"/>
          <w:lang w:val="en-US" w:eastAsia="zh-CN" w:bidi="ar"/>
        </w:rPr>
        <w:t xml:space="preserve"> </w:t>
      </w:r>
    </w:p>
    <w:p w14:paraId="6B71A35E">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（5）各类学科竞赛</w:t>
      </w:r>
      <w:r>
        <w:rPr>
          <w:rFonts w:hint="default" w:ascii="Courier New" w:hAnsi="Courier New" w:eastAsia="Arial Unicode MS" w:cs="Arial Unicode MS"/>
          <w:color w:val="000000"/>
          <w:kern w:val="0"/>
          <w:sz w:val="24"/>
          <w:szCs w:val="24"/>
          <w:lang w:val="en-US" w:eastAsia="zh-CN" w:bidi="ar"/>
        </w:rPr>
        <w:t xml:space="preserve"> </w:t>
      </w:r>
    </w:p>
    <w:tbl>
      <w:tblPr>
        <w:tblStyle w:val="3"/>
        <w:tblW w:w="7097" w:type="dxa"/>
        <w:tblInd w:w="43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Layout w:type="fixed"/>
        <w:tblCellMar>
          <w:top w:w="0" w:type="dxa"/>
          <w:left w:w="10" w:type="dxa"/>
          <w:bottom w:w="0" w:type="dxa"/>
          <w:right w:w="10" w:type="dxa"/>
        </w:tblCellMar>
      </w:tblPr>
      <w:tblGrid>
        <w:gridCol w:w="1440"/>
        <w:gridCol w:w="1546"/>
        <w:gridCol w:w="1418"/>
        <w:gridCol w:w="1276"/>
        <w:gridCol w:w="1417"/>
      </w:tblGrid>
      <w:tr w14:paraId="189447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440"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0C691461">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级别</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4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7F25CB0">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国家级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E1C0B35">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省级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26D385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市级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64F1498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校级</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7ED530B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440"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232C6FA1">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一等奖</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4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F60960C">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6486A2BF">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12</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534A896A">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8</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2E34BA17">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4</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1E9D70B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440"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6E6DA5AE">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二等奖</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4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206AA38">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18</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02F521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9CA5A5B">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6</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735E7EE9">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671E58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440"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520D4A45">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三等奖</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4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29F90F4">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16</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AC1FE44">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8</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C442901">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4</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601D6ECF">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w:t>
            </w:r>
            <w:r>
              <w:rPr>
                <w:rFonts w:hint="default" w:ascii="Verdana" w:hAnsi="Verdana" w:eastAsia="Arial Unicode MS" w:cs="Verdana"/>
                <w:color w:val="000000"/>
                <w:kern w:val="0"/>
                <w:sz w:val="24"/>
                <w:szCs w:val="24"/>
                <w:bdr w:val="none" w:color="auto" w:sz="0" w:space="0"/>
                <w:lang w:val="en-US" w:eastAsia="zh-CN" w:bidi="ar"/>
              </w:rPr>
              <w:t xml:space="preserve"> </w:t>
            </w:r>
          </w:p>
        </w:tc>
      </w:tr>
    </w:tbl>
    <w:p w14:paraId="3E10BADC">
      <w:pPr>
        <w:pStyle w:val="2"/>
        <w:keepNext w:val="0"/>
        <w:keepLines w:val="0"/>
        <w:widowControl w:val="0"/>
        <w:suppressLineNumbers w:val="0"/>
        <w:spacing w:before="0" w:beforeAutospacing="0" w:after="0" w:afterAutospacing="0"/>
        <w:ind w:left="300" w:right="0" w:hanging="300"/>
        <w:jc w:val="left"/>
        <w:rPr>
          <w:rFonts w:hint="default" w:ascii="Arial Unicode MS" w:hAnsi="Arial Unicode MS" w:eastAsia="Arial Unicode MS" w:cs="Arial Unicode MS"/>
          <w:sz w:val="24"/>
          <w:szCs w:val="24"/>
        </w:rPr>
      </w:pPr>
      <w:r>
        <w:rPr>
          <w:rFonts w:hint="default" w:ascii="Arial Unicode MS" w:hAnsi="Arial Unicode MS" w:eastAsia="Arial Unicode MS" w:cs="Arial Unicode MS"/>
          <w:color w:val="000000"/>
          <w:kern w:val="0"/>
          <w:sz w:val="24"/>
          <w:szCs w:val="24"/>
          <w:lang w:val="en-US" w:eastAsia="zh-CN" w:bidi="ar"/>
        </w:rPr>
        <w:t xml:space="preserve"> </w:t>
      </w:r>
    </w:p>
    <w:p w14:paraId="748276D1">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Courier New" w:hAnsi="Courier New" w:eastAsia="Arial Unicode MS" w:cs="Arial Unicode MS"/>
          <w:color w:val="000000"/>
          <w:kern w:val="0"/>
          <w:sz w:val="24"/>
          <w:szCs w:val="24"/>
          <w:lang w:val="en-US" w:eastAsia="zh-CN" w:bidi="ar"/>
        </w:rPr>
        <w:t xml:space="preserve"> </w:t>
      </w:r>
    </w:p>
    <w:p w14:paraId="79A49F4F">
      <w:pPr>
        <w:pStyle w:val="2"/>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sz w:val="24"/>
          <w:szCs w:val="24"/>
        </w:rPr>
      </w:pPr>
      <w:r>
        <w:rPr>
          <w:rFonts w:hint="default" w:ascii="仿宋_GB2312" w:hAnsi="Arial Unicode MS" w:eastAsia="仿宋_GB2312" w:cs="仿宋_GB2312"/>
          <w:color w:val="000000"/>
          <w:kern w:val="0"/>
          <w:sz w:val="24"/>
          <w:szCs w:val="24"/>
          <w:lang w:val="en-US" w:eastAsia="zh-CN" w:bidi="ar"/>
        </w:rPr>
        <w:t>（6）科研获奖</w:t>
      </w:r>
      <w:r>
        <w:rPr>
          <w:rFonts w:hint="default" w:ascii="Courier New" w:hAnsi="Courier New" w:eastAsia="Arial Unicode MS" w:cs="Arial Unicode MS"/>
          <w:color w:val="000000"/>
          <w:kern w:val="0"/>
          <w:sz w:val="24"/>
          <w:szCs w:val="24"/>
          <w:lang w:val="en-US" w:eastAsia="zh-CN" w:bidi="ar"/>
        </w:rPr>
        <w:t xml:space="preserve"> </w:t>
      </w:r>
    </w:p>
    <w:tbl>
      <w:tblPr>
        <w:tblStyle w:val="3"/>
        <w:tblW w:w="7097" w:type="dxa"/>
        <w:tblInd w:w="43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Layout w:type="fixed"/>
        <w:tblCellMar>
          <w:top w:w="0" w:type="dxa"/>
          <w:left w:w="10" w:type="dxa"/>
          <w:bottom w:w="0" w:type="dxa"/>
          <w:right w:w="10" w:type="dxa"/>
        </w:tblCellMar>
      </w:tblPr>
      <w:tblGrid>
        <w:gridCol w:w="1427"/>
        <w:gridCol w:w="1559"/>
        <w:gridCol w:w="1418"/>
        <w:gridCol w:w="1276"/>
        <w:gridCol w:w="1417"/>
      </w:tblGrid>
      <w:tr w14:paraId="040945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427"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141D476E">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级别</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59"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70EF451">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国家级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63BB1BC0">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省级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0C279B2">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市级</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B5D1EA8">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校级</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154B3C4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tblCellMar>
            <w:top w:w="0" w:type="dxa"/>
            <w:left w:w="10" w:type="dxa"/>
            <w:bottom w:w="0" w:type="dxa"/>
            <w:right w:w="10" w:type="dxa"/>
          </w:tblCellMar>
        </w:tblPrEx>
        <w:trPr>
          <w:trHeight w:val="355" w:hRule="atLeast"/>
        </w:trPr>
        <w:tc>
          <w:tcPr>
            <w:tcW w:w="1427"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3721416E">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一等奖</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59"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C643ACB">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4742A2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12</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26610F0">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8</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53565D4">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2</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0737CDC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55" w:hRule="atLeast"/>
        </w:trPr>
        <w:tc>
          <w:tcPr>
            <w:tcW w:w="1427"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1DB2EF25">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二等奖</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59"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172456B3">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18</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26D28CE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10</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7B0F39F">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6</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3607881C">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w:t>
            </w:r>
            <w:r>
              <w:rPr>
                <w:rFonts w:hint="default" w:ascii="Verdana" w:hAnsi="Verdana" w:eastAsia="Arial Unicode MS" w:cs="Verdana"/>
                <w:color w:val="000000"/>
                <w:kern w:val="0"/>
                <w:sz w:val="24"/>
                <w:szCs w:val="24"/>
                <w:bdr w:val="none" w:color="auto" w:sz="0" w:space="0"/>
                <w:lang w:val="en-US" w:eastAsia="zh-CN" w:bidi="ar"/>
              </w:rPr>
              <w:t xml:space="preserve"> </w:t>
            </w:r>
          </w:p>
        </w:tc>
      </w:tr>
      <w:tr w14:paraId="576FD1C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55" w:hRule="atLeast"/>
        </w:trPr>
        <w:tc>
          <w:tcPr>
            <w:tcW w:w="1427" w:type="dxa"/>
            <w:tcBorders>
              <w:top w:val="single" w:color="000000" w:sz="6" w:space="0"/>
              <w:left w:val="single" w:color="000000" w:sz="6" w:space="0"/>
              <w:bottom w:val="single" w:color="000000" w:sz="6" w:space="0"/>
              <w:right w:val="single" w:color="000000" w:sz="6" w:space="0"/>
            </w:tcBorders>
            <w:shd w:val="clear"/>
            <w:tcMar>
              <w:top w:w="80" w:type="dxa"/>
              <w:left w:w="80" w:type="dxa"/>
              <w:bottom w:w="80" w:type="dxa"/>
              <w:right w:w="80" w:type="dxa"/>
            </w:tcMar>
            <w:vAlign w:val="center"/>
          </w:tcPr>
          <w:p w14:paraId="124A91B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三等奖</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559"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4815A28A">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16</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8"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25530536">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8</w:t>
            </w:r>
          </w:p>
        </w:tc>
        <w:tc>
          <w:tcPr>
            <w:tcW w:w="1276"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620E2898">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4</w:t>
            </w:r>
            <w:r>
              <w:rPr>
                <w:rFonts w:hint="default" w:ascii="Verdana" w:hAnsi="Verdana" w:eastAsia="Arial Unicode MS" w:cs="Verdana"/>
                <w:color w:val="000000"/>
                <w:kern w:val="0"/>
                <w:sz w:val="24"/>
                <w:szCs w:val="24"/>
                <w:bdr w:val="none" w:color="auto" w:sz="0" w:space="0"/>
                <w:lang w:val="en-US" w:eastAsia="zh-CN" w:bidi="ar"/>
              </w:rPr>
              <w:t xml:space="preserve"> </w:t>
            </w:r>
          </w:p>
        </w:tc>
        <w:tc>
          <w:tcPr>
            <w:tcW w:w="1417" w:type="dxa"/>
            <w:tcBorders>
              <w:top w:val="single" w:color="000000" w:sz="6" w:space="0"/>
              <w:left w:val="nil"/>
              <w:bottom w:val="single" w:color="000000" w:sz="6" w:space="0"/>
              <w:right w:val="single" w:color="000000" w:sz="6" w:space="0"/>
            </w:tcBorders>
            <w:shd w:val="clear"/>
            <w:tcMar>
              <w:top w:w="80" w:type="dxa"/>
              <w:left w:w="80" w:type="dxa"/>
              <w:bottom w:w="80" w:type="dxa"/>
              <w:right w:w="80" w:type="dxa"/>
            </w:tcMar>
            <w:vAlign w:val="center"/>
          </w:tcPr>
          <w:p w14:paraId="0AFECE1B">
            <w:pPr>
              <w:pStyle w:val="2"/>
              <w:keepNext w:val="0"/>
              <w:keepLines w:val="0"/>
              <w:widowControl/>
              <w:suppressLineNumbers w:val="0"/>
              <w:spacing w:before="0" w:beforeAutospacing="0" w:after="0" w:afterAutospacing="0"/>
              <w:ind w:left="0" w:right="0"/>
              <w:jc w:val="center"/>
              <w:rPr>
                <w:rFonts w:hint="default" w:ascii="Arial Unicode MS" w:hAnsi="Arial Unicode MS" w:eastAsia="Arial Unicode MS" w:cs="Arial Unicode MS"/>
                <w:sz w:val="24"/>
                <w:szCs w:val="24"/>
                <w:bdr w:val="none" w:color="auto" w:sz="0" w:space="0"/>
              </w:rPr>
            </w:pPr>
            <w:r>
              <w:rPr>
                <w:rFonts w:hint="default" w:ascii="仿宋_GB2312" w:hAnsi="Arial Unicode MS" w:eastAsia="仿宋_GB2312" w:cs="仿宋_GB2312"/>
                <w:color w:val="000000"/>
                <w:kern w:val="0"/>
                <w:sz w:val="24"/>
                <w:szCs w:val="24"/>
                <w:bdr w:val="none" w:color="auto" w:sz="0" w:space="0"/>
                <w:lang w:val="en-US" w:eastAsia="zh-CN" w:bidi="ar"/>
              </w:rPr>
              <w:t>1</w:t>
            </w:r>
            <w:r>
              <w:rPr>
                <w:rFonts w:hint="default" w:ascii="Verdana" w:hAnsi="Verdana" w:eastAsia="Arial Unicode MS" w:cs="Verdana"/>
                <w:color w:val="000000"/>
                <w:kern w:val="0"/>
                <w:sz w:val="24"/>
                <w:szCs w:val="24"/>
                <w:bdr w:val="none" w:color="auto" w:sz="0" w:space="0"/>
                <w:lang w:val="en-US" w:eastAsia="zh-CN" w:bidi="ar"/>
              </w:rPr>
              <w:t xml:space="preserve"> </w:t>
            </w:r>
          </w:p>
        </w:tc>
      </w:tr>
    </w:tbl>
    <w:p w14:paraId="5FCBA8B6">
      <w:pPr>
        <w:pStyle w:val="2"/>
        <w:keepNext w:val="0"/>
        <w:keepLines w:val="0"/>
        <w:widowControl w:val="0"/>
        <w:suppressLineNumbers w:val="0"/>
        <w:spacing w:before="0" w:beforeAutospacing="0" w:after="0" w:afterAutospacing="0"/>
        <w:ind w:left="300" w:right="0" w:hanging="300"/>
        <w:jc w:val="left"/>
        <w:rPr>
          <w:rFonts w:hint="default" w:ascii="Arial Unicode MS" w:hAnsi="Arial Unicode MS" w:eastAsia="Arial Unicode MS" w:cs="Arial Unicode MS"/>
          <w:sz w:val="24"/>
          <w:szCs w:val="24"/>
        </w:rPr>
      </w:pPr>
      <w:r>
        <w:rPr>
          <w:rFonts w:hint="default" w:ascii="Arial Unicode MS" w:hAnsi="Arial Unicode MS" w:eastAsia="Arial Unicode MS" w:cs="Arial Unicode MS"/>
          <w:color w:val="000000"/>
          <w:kern w:val="0"/>
          <w:sz w:val="24"/>
          <w:szCs w:val="24"/>
          <w:lang w:val="en-US" w:eastAsia="zh-CN" w:bidi="ar"/>
        </w:rPr>
        <w:t xml:space="preserve"> </w:t>
      </w:r>
    </w:p>
    <w:p w14:paraId="2B438852">
      <w:pPr>
        <w:keepNext w:val="0"/>
        <w:keepLines w:val="0"/>
        <w:widowControl/>
        <w:suppressLineNumbers w:val="0"/>
        <w:spacing w:before="0" w:beforeAutospacing="0" w:after="0" w:afterAutospacing="0" w:line="420" w:lineRule="atLeast"/>
        <w:ind w:left="300" w:right="300"/>
        <w:jc w:val="left"/>
        <w:rPr>
          <w:rFonts w:hint="default" w:ascii="Arial Unicode MS" w:hAnsi="Arial Unicode MS" w:eastAsia="Arial Unicode MS" w:cs="Arial Unicode MS"/>
          <w:kern w:val="2"/>
          <w:sz w:val="24"/>
          <w:szCs w:val="24"/>
        </w:rPr>
      </w:pPr>
      <w:r>
        <w:rPr>
          <w:rFonts w:hint="default" w:ascii="Courier New" w:hAnsi="Courier New" w:eastAsia="Arial Unicode MS" w:cs="Arial Unicode MS"/>
          <w:color w:val="000000"/>
          <w:kern w:val="0"/>
          <w:sz w:val="24"/>
          <w:szCs w:val="24"/>
          <w:lang w:val="en-US" w:eastAsia="zh-CN" w:bidi="ar"/>
        </w:rPr>
        <w:t xml:space="preserve">   </w:t>
      </w:r>
      <w:r>
        <w:rPr>
          <w:rFonts w:hint="default" w:ascii="仿宋_GB2312" w:hAnsi="Arial Unicode MS" w:eastAsia="仿宋_GB2312" w:cs="仿宋_GB2312"/>
          <w:color w:val="000000"/>
          <w:kern w:val="0"/>
          <w:sz w:val="24"/>
          <w:szCs w:val="24"/>
          <w:lang w:val="en-US" w:eastAsia="zh-CN" w:bidi="ar"/>
        </w:rPr>
        <w:t xml:space="preserve"> </w:t>
      </w:r>
      <w:r>
        <w:rPr>
          <w:rFonts w:hint="default" w:ascii="仿宋_GB2312" w:hAnsi="Arial Unicode MS" w:eastAsia="PMingLiU" w:cs="仿宋_GB2312"/>
          <w:color w:val="000000"/>
          <w:kern w:val="0"/>
          <w:sz w:val="24"/>
          <w:szCs w:val="24"/>
          <w:lang w:val="en-US" w:eastAsia="zh-CN" w:bidi="ar"/>
        </w:rPr>
        <w:t xml:space="preserve">   </w:t>
      </w:r>
      <w:r>
        <w:rPr>
          <w:rFonts w:hint="default" w:ascii="仿宋_GB2312" w:hAnsi="Arial Unicode MS" w:eastAsia="仿宋_GB2312" w:cs="仿宋_GB2312"/>
          <w:color w:val="000000"/>
          <w:kern w:val="0"/>
          <w:sz w:val="24"/>
          <w:szCs w:val="24"/>
          <w:lang w:val="en-US" w:eastAsia="zh-CN" w:bidi="ar"/>
        </w:rPr>
        <w:t>其中各项分类以科研处等学校最新相关文件规定为界定标准。</w:t>
      </w:r>
      <w:r>
        <w:rPr>
          <w:rFonts w:hint="default" w:ascii="Courier New" w:hAnsi="Courier New" w:eastAsia="Arial Unicode MS" w:cs="Arial Unicode MS"/>
          <w:color w:val="000000"/>
          <w:kern w:val="0"/>
          <w:sz w:val="24"/>
          <w:szCs w:val="24"/>
          <w:lang w:val="en-US" w:eastAsia="zh-CN" w:bidi="ar"/>
        </w:rPr>
        <w:t xml:space="preserve"> </w:t>
      </w:r>
    </w:p>
    <w:p w14:paraId="0BBF814F">
      <w:pPr>
        <w:keepNext w:val="0"/>
        <w:keepLines w:val="0"/>
        <w:widowControl w:val="0"/>
        <w:suppressLineNumbers w:val="0"/>
        <w:spacing w:before="0" w:beforeAutospacing="0" w:after="0" w:afterAutospacing="0"/>
        <w:ind w:left="480" w:right="0" w:firstLine="480" w:firstLineChars="200"/>
        <w:jc w:val="both"/>
        <w:rPr>
          <w:rFonts w:hint="default" w:ascii="仿宋_GB2312" w:eastAsia="仿宋_GB2312" w:cs="仿宋_GB2312"/>
          <w:kern w:val="2"/>
          <w:sz w:val="24"/>
          <w:szCs w:val="24"/>
        </w:rPr>
      </w:pPr>
      <w:r>
        <w:rPr>
          <w:rFonts w:hint="default" w:ascii="仿宋_GB2312" w:hAnsi="Arial Unicode MS" w:eastAsia="仿宋_GB2312" w:cs="仿宋_GB2312"/>
          <w:color w:val="000000"/>
          <w:kern w:val="0"/>
          <w:sz w:val="24"/>
          <w:szCs w:val="24"/>
          <w:lang w:val="en-US" w:eastAsia="zh-CN" w:bidi="ar"/>
        </w:rPr>
        <w:t>七、本计算办法未尽事宜由心理学院推免生遴选工作领导小组和专家审核小组负责解释。</w:t>
      </w:r>
    </w:p>
    <w:p w14:paraId="67DD6528">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 xml:space="preserve">           学院联系人及咨询电话：王老师：0411-82156471</w:t>
      </w:r>
    </w:p>
    <w:p w14:paraId="59E81742">
      <w:pPr>
        <w:keepNext w:val="0"/>
        <w:keepLines w:val="0"/>
        <w:widowControl w:val="0"/>
        <w:suppressLineNumbers w:val="0"/>
        <w:spacing w:before="0" w:beforeAutospacing="0" w:after="0" w:afterAutospacing="0"/>
        <w:ind w:left="0" w:right="0"/>
        <w:jc w:val="both"/>
        <w:rPr>
          <w:rFonts w:hint="default" w:ascii="Arial Unicode MS" w:hAnsi="Arial Unicode MS" w:eastAsia="Arial Unicode MS" w:cs="Arial Unicode MS"/>
          <w:kern w:val="2"/>
          <w:sz w:val="21"/>
          <w:szCs w:val="21"/>
        </w:rPr>
      </w:pPr>
      <w:r>
        <w:rPr>
          <w:rFonts w:hint="default" w:ascii="Arial Unicode MS" w:hAnsi="Arial Unicode MS" w:eastAsia="Arial Unicode MS" w:cs="Arial Unicode MS"/>
          <w:color w:val="000000"/>
          <w:kern w:val="2"/>
          <w:sz w:val="21"/>
          <w:szCs w:val="21"/>
          <w:lang w:val="en-US" w:eastAsia="zh-CN" w:bidi="ar"/>
        </w:rPr>
        <w:t xml:space="preserve"> </w:t>
      </w:r>
    </w:p>
    <w:p w14:paraId="46E82AF7">
      <w:pPr>
        <w:keepNext w:val="0"/>
        <w:keepLines w:val="0"/>
        <w:widowControl w:val="0"/>
        <w:suppressLineNumbers w:val="0"/>
        <w:spacing w:before="0" w:beforeAutospacing="0" w:after="0" w:afterAutospacing="0"/>
        <w:ind w:left="0" w:right="0"/>
        <w:jc w:val="both"/>
        <w:rPr>
          <w:rFonts w:hint="default" w:ascii="Arial Unicode MS" w:hAnsi="Arial Unicode MS" w:eastAsia="Arial Unicode MS" w:cs="Arial Unicode MS"/>
          <w:kern w:val="2"/>
          <w:sz w:val="21"/>
          <w:szCs w:val="21"/>
        </w:rPr>
      </w:pPr>
      <w:r>
        <w:rPr>
          <w:rFonts w:hint="default" w:ascii="Arial Unicode MS" w:hAnsi="Arial Unicode MS" w:eastAsia="Arial Unicode MS" w:cs="Arial Unicode MS"/>
          <w:color w:val="000000"/>
          <w:kern w:val="2"/>
          <w:sz w:val="21"/>
          <w:szCs w:val="21"/>
          <w:lang w:val="en-US" w:eastAsia="zh-CN" w:bidi="ar"/>
        </w:rPr>
        <w:t xml:space="preserve"> </w:t>
      </w:r>
    </w:p>
    <w:p w14:paraId="2315F361">
      <w:pPr>
        <w:keepNext w:val="0"/>
        <w:keepLines w:val="0"/>
        <w:widowControl w:val="0"/>
        <w:suppressLineNumbers w:val="0"/>
        <w:spacing w:before="0" w:beforeAutospacing="0" w:after="0" w:afterAutospacing="0"/>
        <w:ind w:left="0" w:right="0"/>
        <w:jc w:val="both"/>
        <w:rPr>
          <w:rFonts w:hint="default" w:ascii="Arial Unicode MS" w:hAnsi="Arial Unicode MS" w:eastAsia="Arial Unicode MS" w:cs="Arial Unicode MS"/>
          <w:kern w:val="2"/>
          <w:sz w:val="21"/>
          <w:szCs w:val="21"/>
        </w:rPr>
      </w:pPr>
      <w:r>
        <w:rPr>
          <w:rFonts w:hint="default" w:ascii="Arial Unicode MS" w:hAnsi="Arial Unicode MS" w:eastAsia="Arial Unicode MS" w:cs="Arial Unicode MS"/>
          <w:color w:val="000000"/>
          <w:kern w:val="2"/>
          <w:sz w:val="21"/>
          <w:szCs w:val="21"/>
          <w:lang w:val="en-US" w:eastAsia="zh-CN" w:bidi="ar"/>
        </w:rPr>
        <w:t xml:space="preserve"> </w:t>
      </w:r>
    </w:p>
    <w:p w14:paraId="0CD23C9D">
      <w:pPr>
        <w:keepNext w:val="0"/>
        <w:keepLines w:val="0"/>
        <w:widowControl w:val="0"/>
        <w:suppressLineNumbers w:val="0"/>
        <w:spacing w:before="0" w:beforeAutospacing="0" w:after="0" w:afterAutospacing="0"/>
        <w:ind w:left="0" w:right="0"/>
        <w:jc w:val="both"/>
        <w:rPr>
          <w:rFonts w:hint="default" w:ascii="Arial Unicode MS" w:hAnsi="Arial Unicode MS" w:eastAsia="Arial Unicode MS" w:cs="Arial Unicode MS"/>
          <w:kern w:val="2"/>
          <w:sz w:val="21"/>
          <w:szCs w:val="21"/>
        </w:rPr>
      </w:pPr>
      <w:r>
        <w:rPr>
          <w:rFonts w:hint="default" w:ascii="Arial Unicode MS" w:hAnsi="Arial Unicode MS" w:eastAsia="Arial Unicode MS" w:cs="Arial Unicode MS"/>
          <w:color w:val="000000"/>
          <w:kern w:val="2"/>
          <w:sz w:val="21"/>
          <w:szCs w:val="21"/>
          <w:lang w:val="en-US" w:eastAsia="zh-CN" w:bidi="ar"/>
        </w:rPr>
        <w:t xml:space="preserve"> </w:t>
      </w:r>
    </w:p>
    <w:p w14:paraId="322280A8">
      <w:pPr>
        <w:keepNext w:val="0"/>
        <w:keepLines w:val="0"/>
        <w:widowControl/>
        <w:suppressLineNumbers w:val="0"/>
        <w:spacing w:before="0" w:beforeAutospacing="0" w:after="0" w:afterAutospacing="0" w:line="420" w:lineRule="atLeast"/>
        <w:ind w:left="300" w:right="300"/>
        <w:jc w:val="right"/>
        <w:rPr>
          <w:rFonts w:hint="default" w:ascii="仿宋_GB2312" w:eastAsia="仿宋_GB2312" w:cs="仿宋_GB2312"/>
          <w:kern w:val="0"/>
          <w:sz w:val="24"/>
          <w:szCs w:val="24"/>
        </w:rPr>
      </w:pPr>
      <w:r>
        <w:rPr>
          <w:rFonts w:hint="default" w:ascii="仿宋_GB2312" w:hAnsi="Arial Unicode MS" w:eastAsia="仿宋_GB2312" w:cs="仿宋_GB2312"/>
          <w:color w:val="000000"/>
          <w:kern w:val="0"/>
          <w:sz w:val="24"/>
          <w:szCs w:val="24"/>
          <w:lang w:val="en-US" w:eastAsia="zh-CN" w:bidi="ar"/>
        </w:rPr>
        <w:t>辽宁师范大学心理学院</w:t>
      </w:r>
    </w:p>
    <w:p w14:paraId="19451F09">
      <w:pPr>
        <w:keepNext w:val="0"/>
        <w:keepLines w:val="0"/>
        <w:widowControl/>
        <w:suppressLineNumbers w:val="0"/>
        <w:spacing w:before="0" w:beforeAutospacing="0" w:after="0" w:afterAutospacing="0" w:line="420" w:lineRule="atLeast"/>
        <w:ind w:left="300" w:right="300"/>
        <w:jc w:val="right"/>
      </w:pPr>
      <w:r>
        <w:rPr>
          <w:rFonts w:hint="default" w:ascii="仿宋_GB2312" w:hAnsi="Arial Unicode MS" w:eastAsia="仿宋_GB2312" w:cs="仿宋_GB2312"/>
          <w:color w:val="000000"/>
          <w:kern w:val="0"/>
          <w:sz w:val="24"/>
          <w:szCs w:val="24"/>
          <w:lang w:val="en-US" w:eastAsia="zh-CN" w:bidi="ar"/>
        </w:rPr>
        <w:t>2025年8月25日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Arial Unicode MS">
    <w:altName w:val="Arial"/>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00" w:usb3="00000000" w:csb0="00000000" w:csb1="00000000"/>
  </w:font>
  <w:font w:name="PMingLiU">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04396"/>
    <w:multiLevelType w:val="multilevel"/>
    <w:tmpl w:val="08504396"/>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jNTE3YzVlZTQzZWIyMmY1NDM3YTRhZTMyOTg2MmIifQ=="/>
  </w:docVars>
  <w:rsids>
    <w:rsidRoot w:val="4A676F78"/>
    <w:rsid w:val="4A676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Web)"/>
    <w:basedOn w:val="1"/>
    <w:uiPriority w:val="0"/>
    <w:pPr>
      <w:widowControl/>
      <w:spacing w:before="0" w:beforeAutospacing="1" w:after="0" w:afterAutospacing="1"/>
      <w:ind w:left="0" w:right="0"/>
      <w:jc w:val="left"/>
    </w:pPr>
    <w:rPr>
      <w:rFonts w:ascii="宋体" w:hAnsi="宋体" w:eastAsia="宋体" w:cs="宋体"/>
      <w:color w:val="auto"/>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2025-08-26T11:45:00Z</dcterms:created>
  <dc:creator>保研岛明明</dc:creator>
  <cp:lastModifiedBy>保研岛明明</cp:lastModifiedBy>
  <dcterms:modified xsi:type="dcterms:W3CDTF">2025-08-26T11:46:19Z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906A8E46567142BEAD771B8B3C154A34_11</vt:lpwstr>
  </property>
</Properties>
</file>