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1DE" w:rsidRDefault="00A651DE" w:rsidP="00A651DE">
      <w:pPr>
        <w:spacing w:beforeLines="150" w:before="468" w:afterLines="100" w:after="312" w:line="480" w:lineRule="exact"/>
        <w:ind w:firstLine="720"/>
        <w:jc w:val="center"/>
        <w:rPr>
          <w:rFonts w:eastAsia="华文中宋"/>
          <w:bCs/>
          <w:sz w:val="36"/>
          <w:szCs w:val="36"/>
        </w:rPr>
      </w:pPr>
      <w:r w:rsidRPr="00D224B5">
        <w:rPr>
          <w:rFonts w:ascii="华文中宋" w:eastAsia="华文中宋" w:hAnsi="华文中宋"/>
          <w:kern w:val="0"/>
          <w:sz w:val="36"/>
          <w:szCs w:val="36"/>
        </w:rPr>
        <w:t>大连理工大学</w:t>
      </w:r>
      <w:r w:rsidRPr="00D224B5">
        <w:rPr>
          <w:rFonts w:ascii="华文中宋" w:eastAsia="华文中宋" w:hAnsi="华文中宋" w:hint="eastAsia"/>
          <w:kern w:val="0"/>
          <w:sz w:val="36"/>
          <w:szCs w:val="36"/>
        </w:rPr>
        <w:t>基础学科拔尖学生培养基地</w:t>
      </w:r>
      <w:r w:rsidRPr="00D224B5">
        <w:rPr>
          <w:rFonts w:ascii="华文中宋" w:eastAsia="华文中宋" w:hAnsi="华文中宋"/>
          <w:kern w:val="0"/>
          <w:sz w:val="36"/>
          <w:szCs w:val="36"/>
        </w:rPr>
        <w:t>管理办法</w:t>
      </w:r>
    </w:p>
    <w:p w:rsidR="00A651DE" w:rsidRDefault="00A651DE" w:rsidP="00A651DE">
      <w:pPr>
        <w:spacing w:line="380" w:lineRule="exact"/>
        <w:ind w:firstLineChars="200" w:firstLine="420"/>
        <w:rPr>
          <w:rFonts w:hint="eastAsia"/>
          <w:szCs w:val="21"/>
        </w:rPr>
      </w:pPr>
    </w:p>
    <w:p w:rsidR="00A651DE" w:rsidRDefault="00A651DE" w:rsidP="00A651DE">
      <w:pPr>
        <w:spacing w:line="380" w:lineRule="exact"/>
        <w:ind w:firstLineChars="200" w:firstLine="420"/>
        <w:rPr>
          <w:szCs w:val="21"/>
        </w:rPr>
      </w:pPr>
      <w:r>
        <w:rPr>
          <w:rFonts w:hint="eastAsia"/>
          <w:szCs w:val="21"/>
        </w:rPr>
        <w:t>为贯彻落实《教育部等六部门关于实施基础学科拔尖学生培养计划</w:t>
      </w:r>
      <w:r>
        <w:rPr>
          <w:rFonts w:hint="eastAsia"/>
          <w:szCs w:val="21"/>
        </w:rPr>
        <w:t>2.0</w:t>
      </w:r>
      <w:r>
        <w:rPr>
          <w:rFonts w:hint="eastAsia"/>
          <w:szCs w:val="21"/>
        </w:rPr>
        <w:t>的意见》（</w:t>
      </w:r>
      <w:proofErr w:type="gramStart"/>
      <w:r>
        <w:rPr>
          <w:rFonts w:hint="eastAsia"/>
          <w:szCs w:val="21"/>
        </w:rPr>
        <w:t>教高〔</w:t>
      </w:r>
      <w:r>
        <w:rPr>
          <w:rFonts w:hint="eastAsia"/>
          <w:szCs w:val="21"/>
        </w:rPr>
        <w:t>2018</w:t>
      </w:r>
      <w:r>
        <w:rPr>
          <w:rFonts w:hint="eastAsia"/>
          <w:szCs w:val="21"/>
        </w:rPr>
        <w:t>〕</w:t>
      </w:r>
      <w:proofErr w:type="gramEnd"/>
      <w:r>
        <w:rPr>
          <w:rFonts w:hint="eastAsia"/>
          <w:szCs w:val="21"/>
        </w:rPr>
        <w:t>8</w:t>
      </w:r>
      <w:r>
        <w:rPr>
          <w:rFonts w:hint="eastAsia"/>
          <w:szCs w:val="21"/>
        </w:rPr>
        <w:t>号），统筹做好基础学科拔尖学生培养基地（以下简称“拔尖基地”）学生的选拔、培养与学生管理等工作，特制订本管理办法。</w:t>
      </w:r>
    </w:p>
    <w:p w:rsidR="00A651DE" w:rsidRDefault="00A651DE" w:rsidP="00A651DE">
      <w:pPr>
        <w:spacing w:beforeLines="25" w:before="78" w:afterLines="25" w:after="78" w:line="380" w:lineRule="exact"/>
        <w:ind w:firstLineChars="200" w:firstLine="420"/>
        <w:rPr>
          <w:rFonts w:eastAsia="黑体"/>
          <w:bCs/>
          <w:szCs w:val="21"/>
        </w:rPr>
      </w:pPr>
      <w:r>
        <w:rPr>
          <w:rFonts w:eastAsia="黑体" w:hint="eastAsia"/>
          <w:bCs/>
          <w:szCs w:val="21"/>
        </w:rPr>
        <w:t>一</w:t>
      </w:r>
      <w:r>
        <w:rPr>
          <w:rFonts w:eastAsia="黑体"/>
          <w:bCs/>
          <w:szCs w:val="21"/>
        </w:rPr>
        <w:t>、</w:t>
      </w:r>
      <w:r>
        <w:rPr>
          <w:rFonts w:eastAsia="黑体" w:hint="eastAsia"/>
          <w:bCs/>
          <w:szCs w:val="21"/>
        </w:rPr>
        <w:t>基地情况</w:t>
      </w:r>
    </w:p>
    <w:p w:rsidR="00A651DE" w:rsidRDefault="00A651DE" w:rsidP="00A651DE">
      <w:pPr>
        <w:spacing w:line="380" w:lineRule="exact"/>
        <w:ind w:firstLineChars="200" w:firstLine="420"/>
        <w:rPr>
          <w:szCs w:val="21"/>
        </w:rPr>
      </w:pPr>
      <w:r>
        <w:rPr>
          <w:rFonts w:hint="eastAsia"/>
          <w:szCs w:val="21"/>
        </w:rPr>
        <w:t>目前，我校获批</w:t>
      </w:r>
      <w:r>
        <w:rPr>
          <w:rFonts w:hint="eastAsia"/>
          <w:szCs w:val="21"/>
        </w:rPr>
        <w:t>2</w:t>
      </w:r>
      <w:r>
        <w:rPr>
          <w:rFonts w:hint="eastAsia"/>
          <w:szCs w:val="21"/>
        </w:rPr>
        <w:t>个国家级拔尖基地：华罗庚数学拔尖学生培养基地（数学类专业）、张大</w:t>
      </w:r>
      <w:proofErr w:type="gramStart"/>
      <w:r>
        <w:rPr>
          <w:rFonts w:hint="eastAsia"/>
          <w:szCs w:val="21"/>
        </w:rPr>
        <w:t>煜</w:t>
      </w:r>
      <w:proofErr w:type="gramEnd"/>
      <w:r>
        <w:rPr>
          <w:rFonts w:hint="eastAsia"/>
          <w:szCs w:val="21"/>
        </w:rPr>
        <w:t>化学拔尖学生培养基地（应用化学专业）；设有</w:t>
      </w:r>
      <w:r>
        <w:rPr>
          <w:rFonts w:hint="eastAsia"/>
          <w:szCs w:val="21"/>
        </w:rPr>
        <w:t>1</w:t>
      </w:r>
      <w:r>
        <w:rPr>
          <w:rFonts w:hint="eastAsia"/>
          <w:szCs w:val="21"/>
        </w:rPr>
        <w:t>个校级拔尖基地：王大珩物理基础科学班（应用物理学专业），各拔尖基地分别成立相应专业的基础科学人才培养基地班（以下简称基地班）。</w:t>
      </w:r>
    </w:p>
    <w:p w:rsidR="00A651DE" w:rsidRDefault="00A651DE" w:rsidP="00A651DE">
      <w:pPr>
        <w:spacing w:beforeLines="25" w:before="78" w:afterLines="25" w:after="78" w:line="380" w:lineRule="exact"/>
        <w:ind w:firstLineChars="200" w:firstLine="420"/>
        <w:rPr>
          <w:rFonts w:eastAsia="黑体"/>
          <w:bCs/>
          <w:szCs w:val="21"/>
        </w:rPr>
      </w:pPr>
      <w:r>
        <w:rPr>
          <w:rFonts w:eastAsia="黑体" w:hint="eastAsia"/>
          <w:bCs/>
          <w:szCs w:val="21"/>
        </w:rPr>
        <w:t>二</w:t>
      </w:r>
      <w:r>
        <w:rPr>
          <w:rFonts w:eastAsia="黑体"/>
          <w:bCs/>
          <w:szCs w:val="21"/>
        </w:rPr>
        <w:t>、</w:t>
      </w:r>
      <w:r>
        <w:rPr>
          <w:rFonts w:eastAsia="黑体" w:hint="eastAsia"/>
          <w:bCs/>
          <w:szCs w:val="21"/>
        </w:rPr>
        <w:t>招录与选拔机制</w:t>
      </w:r>
    </w:p>
    <w:p w:rsidR="00A651DE" w:rsidRDefault="00A651DE" w:rsidP="00A651DE">
      <w:pPr>
        <w:spacing w:line="380" w:lineRule="exact"/>
        <w:ind w:firstLineChars="200" w:firstLine="420"/>
        <w:rPr>
          <w:szCs w:val="21"/>
        </w:rPr>
      </w:pPr>
      <w:r>
        <w:rPr>
          <w:rFonts w:hint="eastAsia"/>
          <w:szCs w:val="21"/>
        </w:rPr>
        <w:t xml:space="preserve">1. </w:t>
      </w:r>
      <w:r>
        <w:rPr>
          <w:rFonts w:hint="eastAsia"/>
          <w:szCs w:val="21"/>
        </w:rPr>
        <w:t>各基地</w:t>
      </w:r>
      <w:proofErr w:type="gramStart"/>
      <w:r>
        <w:rPr>
          <w:rFonts w:hint="eastAsia"/>
          <w:szCs w:val="21"/>
        </w:rPr>
        <w:t>班采取</w:t>
      </w:r>
      <w:proofErr w:type="gramEnd"/>
      <w:r>
        <w:rPr>
          <w:rFonts w:hint="eastAsia"/>
          <w:szCs w:val="21"/>
        </w:rPr>
        <w:t>不同的招录方式。张大</w:t>
      </w:r>
      <w:proofErr w:type="gramStart"/>
      <w:r>
        <w:rPr>
          <w:rFonts w:hint="eastAsia"/>
          <w:szCs w:val="21"/>
        </w:rPr>
        <w:t>煜</w:t>
      </w:r>
      <w:proofErr w:type="gramEnd"/>
      <w:r>
        <w:rPr>
          <w:rFonts w:hint="eastAsia"/>
          <w:szCs w:val="21"/>
        </w:rPr>
        <w:t>化学基地班和王大珩物理基地班实行</w:t>
      </w:r>
      <w:r>
        <w:rPr>
          <w:rFonts w:hint="eastAsia"/>
        </w:rPr>
        <w:t>高考直接招生，</w:t>
      </w:r>
      <w:r>
        <w:rPr>
          <w:rFonts w:hint="eastAsia"/>
          <w:szCs w:val="21"/>
        </w:rPr>
        <w:t>华罗庚数学基地班在入校半年后进行</w:t>
      </w:r>
      <w:proofErr w:type="gramStart"/>
      <w:r>
        <w:rPr>
          <w:rFonts w:hint="eastAsia"/>
          <w:szCs w:val="21"/>
        </w:rPr>
        <w:t>选拨</w:t>
      </w:r>
      <w:proofErr w:type="gramEnd"/>
      <w:r>
        <w:rPr>
          <w:rFonts w:hint="eastAsia"/>
        </w:rPr>
        <w:t>。</w:t>
      </w:r>
    </w:p>
    <w:p w:rsidR="00A651DE" w:rsidRDefault="00A651DE" w:rsidP="00A651DE">
      <w:pPr>
        <w:numPr>
          <w:ilvl w:val="0"/>
          <w:numId w:val="10"/>
        </w:numPr>
        <w:spacing w:line="380" w:lineRule="exact"/>
        <w:ind w:firstLineChars="200" w:firstLine="420"/>
        <w:rPr>
          <w:szCs w:val="21"/>
        </w:rPr>
      </w:pPr>
      <w:r>
        <w:rPr>
          <w:rFonts w:hint="eastAsia"/>
          <w:szCs w:val="21"/>
        </w:rPr>
        <w:t>基地班学生实施退出和补入动态调整机制。学院负责制订具体的退出和补入动态调整实施细则，按学年对基地班学生实施动态调整，实施细则须在入学或</w:t>
      </w:r>
      <w:proofErr w:type="gramStart"/>
      <w:r>
        <w:rPr>
          <w:rFonts w:hint="eastAsia"/>
          <w:szCs w:val="21"/>
        </w:rPr>
        <w:t>选拨</w:t>
      </w:r>
      <w:proofErr w:type="gramEnd"/>
      <w:r>
        <w:rPr>
          <w:rFonts w:hint="eastAsia"/>
          <w:szCs w:val="21"/>
        </w:rPr>
        <w:t>后一个月内向学生公布并提交教务处备案。对于学业考核未达到拔尖基地培养要求的，应退出基地班，转入普通班就读；如本专业没有普通班，可留在基地班内转为普通培养模式继续学习；退出学生空出的名额，可用于从校内选拔有意愿加入基地班学习且综合素质优秀的学生，选拔补入的学生同等享有基地</w:t>
      </w:r>
      <w:proofErr w:type="gramStart"/>
      <w:r>
        <w:rPr>
          <w:rFonts w:hint="eastAsia"/>
          <w:szCs w:val="21"/>
        </w:rPr>
        <w:t>班相应</w:t>
      </w:r>
      <w:proofErr w:type="gramEnd"/>
      <w:r>
        <w:rPr>
          <w:rFonts w:hint="eastAsia"/>
          <w:szCs w:val="21"/>
        </w:rPr>
        <w:t>政策。动态调整过程中，张大</w:t>
      </w:r>
      <w:proofErr w:type="gramStart"/>
      <w:r>
        <w:rPr>
          <w:rFonts w:hint="eastAsia"/>
          <w:szCs w:val="21"/>
        </w:rPr>
        <w:t>煜</w:t>
      </w:r>
      <w:proofErr w:type="gramEnd"/>
      <w:r>
        <w:rPr>
          <w:rFonts w:hint="eastAsia"/>
          <w:szCs w:val="21"/>
        </w:rPr>
        <w:t>化学基地班和王大珩物理基地班学生</w:t>
      </w:r>
      <w:r>
        <w:rPr>
          <w:rFonts w:hint="eastAsia"/>
        </w:rPr>
        <w:t>人数不得超过当年录取人数</w:t>
      </w:r>
      <w:r>
        <w:rPr>
          <w:rFonts w:hint="eastAsia"/>
        </w:rPr>
        <w:t>,</w:t>
      </w:r>
      <w:r>
        <w:rPr>
          <w:rFonts w:hint="eastAsia"/>
          <w:szCs w:val="21"/>
        </w:rPr>
        <w:t xml:space="preserve"> </w:t>
      </w:r>
      <w:r>
        <w:rPr>
          <w:rFonts w:hint="eastAsia"/>
          <w:szCs w:val="21"/>
        </w:rPr>
        <w:t>华罗庚数学基地</w:t>
      </w:r>
      <w:proofErr w:type="gramStart"/>
      <w:r>
        <w:rPr>
          <w:rFonts w:hint="eastAsia"/>
          <w:szCs w:val="21"/>
        </w:rPr>
        <w:t>班</w:t>
      </w:r>
      <w:r>
        <w:rPr>
          <w:rFonts w:hint="eastAsia"/>
        </w:rPr>
        <w:t>不得</w:t>
      </w:r>
      <w:proofErr w:type="gramEnd"/>
      <w:r>
        <w:rPr>
          <w:rFonts w:hint="eastAsia"/>
        </w:rPr>
        <w:t>超过当年招生计划人数</w:t>
      </w:r>
      <w:r>
        <w:rPr>
          <w:rFonts w:hint="eastAsia"/>
          <w:szCs w:val="21"/>
        </w:rPr>
        <w:t>。</w:t>
      </w:r>
    </w:p>
    <w:p w:rsidR="00A651DE" w:rsidRDefault="00A651DE" w:rsidP="00A651DE">
      <w:pPr>
        <w:numPr>
          <w:ilvl w:val="0"/>
          <w:numId w:val="10"/>
        </w:numPr>
        <w:spacing w:line="380" w:lineRule="exact"/>
        <w:ind w:firstLineChars="200" w:firstLine="420"/>
        <w:rPr>
          <w:szCs w:val="21"/>
        </w:rPr>
      </w:pPr>
      <w:r>
        <w:rPr>
          <w:rFonts w:hint="eastAsia"/>
          <w:szCs w:val="21"/>
        </w:rPr>
        <w:t>转入或转出基地班的学生，按调整</w:t>
      </w:r>
      <w:proofErr w:type="gramStart"/>
      <w:r>
        <w:rPr>
          <w:rFonts w:hint="eastAsia"/>
          <w:szCs w:val="21"/>
        </w:rPr>
        <w:t>后所在</w:t>
      </w:r>
      <w:proofErr w:type="gramEnd"/>
      <w:r>
        <w:rPr>
          <w:rFonts w:hint="eastAsia"/>
          <w:szCs w:val="21"/>
        </w:rPr>
        <w:t>班级（专业）的培养方案修读课程。调整前有不及格需要重修的课程，根据各专业具体要求进行重修或修读相应其他课程。其他须补修的课程，可在导师指导下按相关专业的要求进行修读。由于培养方案变更而多修读的学分，可由学生所在学院根据具体情况，经认定后转换为其他相应课程的学分，具体细则由各拔尖基地根据本办法自行制订。</w:t>
      </w:r>
    </w:p>
    <w:p w:rsidR="00A651DE" w:rsidRDefault="00A651DE" w:rsidP="00A651DE">
      <w:pPr>
        <w:spacing w:beforeLines="25" w:before="78" w:afterLines="25" w:after="78" w:line="380" w:lineRule="exact"/>
        <w:ind w:firstLineChars="200" w:firstLine="420"/>
        <w:rPr>
          <w:rFonts w:eastAsia="黑体"/>
          <w:bCs/>
          <w:szCs w:val="21"/>
        </w:rPr>
      </w:pPr>
      <w:r>
        <w:rPr>
          <w:rFonts w:eastAsia="黑体" w:hint="eastAsia"/>
          <w:bCs/>
          <w:szCs w:val="21"/>
        </w:rPr>
        <w:t>三、培养模式</w:t>
      </w:r>
    </w:p>
    <w:p w:rsidR="00A651DE" w:rsidRDefault="00A651DE" w:rsidP="00A651DE">
      <w:pPr>
        <w:spacing w:line="380" w:lineRule="exact"/>
        <w:ind w:firstLineChars="200" w:firstLine="420"/>
        <w:rPr>
          <w:szCs w:val="21"/>
        </w:rPr>
      </w:pPr>
      <w:r>
        <w:rPr>
          <w:rFonts w:hint="eastAsia"/>
          <w:szCs w:val="21"/>
        </w:rPr>
        <w:t>学校以拔尖基地为载体，营造适宜拔尖人才成长的学术环境，打造高水平的学术教育与德育教育平台，吸收优秀学生投身基础科学研究，使学生具备能够服务国家重大需求、应对人类未来重大挑战、探索重大科学问题、承担国家重大研究计划的发展潜力，未来逐步成长为具有家国情怀、人文情怀、世界胸怀的国际一流科学家。</w:t>
      </w:r>
    </w:p>
    <w:p w:rsidR="00A651DE" w:rsidRDefault="00A651DE" w:rsidP="00A651DE">
      <w:pPr>
        <w:spacing w:line="380" w:lineRule="exact"/>
        <w:ind w:firstLineChars="200" w:firstLine="420"/>
        <w:rPr>
          <w:szCs w:val="21"/>
        </w:rPr>
      </w:pPr>
      <w:r>
        <w:rPr>
          <w:rFonts w:hint="eastAsia"/>
          <w:szCs w:val="21"/>
        </w:rPr>
        <w:t>1.</w:t>
      </w:r>
      <w:r>
        <w:rPr>
          <w:rFonts w:hint="eastAsia"/>
          <w:szCs w:val="21"/>
        </w:rPr>
        <w:t>强化使命驱动，提升综合素养。依托全国重点马克思主义学院，</w:t>
      </w:r>
      <w:proofErr w:type="gramStart"/>
      <w:r>
        <w:rPr>
          <w:rFonts w:hint="eastAsia"/>
          <w:szCs w:val="21"/>
        </w:rPr>
        <w:t>创新思政课程</w:t>
      </w:r>
      <w:proofErr w:type="gramEnd"/>
      <w:r>
        <w:rPr>
          <w:rFonts w:hint="eastAsia"/>
          <w:szCs w:val="21"/>
        </w:rPr>
        <w:t>教学模</w:t>
      </w:r>
      <w:r>
        <w:rPr>
          <w:rFonts w:hint="eastAsia"/>
          <w:szCs w:val="21"/>
        </w:rPr>
        <w:lastRenderedPageBreak/>
        <w:t>式；依托国家级课程</w:t>
      </w:r>
      <w:proofErr w:type="gramStart"/>
      <w:r>
        <w:rPr>
          <w:rFonts w:hint="eastAsia"/>
          <w:szCs w:val="21"/>
        </w:rPr>
        <w:t>思政教学</w:t>
      </w:r>
      <w:proofErr w:type="gramEnd"/>
      <w:r>
        <w:rPr>
          <w:rFonts w:hint="eastAsia"/>
          <w:szCs w:val="21"/>
        </w:rPr>
        <w:t>研究示范中心，深化</w:t>
      </w:r>
      <w:proofErr w:type="gramStart"/>
      <w:r>
        <w:rPr>
          <w:rFonts w:hint="eastAsia"/>
          <w:szCs w:val="21"/>
        </w:rPr>
        <w:t>课程思政内涵</w:t>
      </w:r>
      <w:proofErr w:type="gramEnd"/>
      <w:r>
        <w:rPr>
          <w:rFonts w:hint="eastAsia"/>
          <w:szCs w:val="21"/>
        </w:rPr>
        <w:t>建设，激励学生把自身价值的实现与国家发展紧密联系，把所学所思落实到报效国家的实际行动中；按照“注重基础、突出前沿、底宽顶尖”原则，制订专门的通识与基础课程方案，促进科学与人文教育结合，思想政治与文化素质教育结合。</w:t>
      </w:r>
    </w:p>
    <w:p w:rsidR="00A651DE" w:rsidRDefault="00A651DE" w:rsidP="00A651DE">
      <w:pPr>
        <w:spacing w:line="380" w:lineRule="exact"/>
        <w:ind w:firstLineChars="200" w:firstLine="420"/>
        <w:rPr>
          <w:szCs w:val="21"/>
        </w:rPr>
      </w:pPr>
      <w:r>
        <w:rPr>
          <w:rFonts w:hint="eastAsia"/>
          <w:szCs w:val="21"/>
        </w:rPr>
        <w:t xml:space="preserve">2. </w:t>
      </w:r>
      <w:r>
        <w:rPr>
          <w:rFonts w:hint="eastAsia"/>
          <w:szCs w:val="21"/>
        </w:rPr>
        <w:t>打造培养特区，探索建立书院制。完善建立中西贯通的现代书院</w:t>
      </w:r>
      <w:proofErr w:type="gramStart"/>
      <w:r>
        <w:rPr>
          <w:rFonts w:hint="eastAsia"/>
          <w:szCs w:val="21"/>
        </w:rPr>
        <w:t>制培养</w:t>
      </w:r>
      <w:proofErr w:type="gramEnd"/>
      <w:r>
        <w:rPr>
          <w:rFonts w:hint="eastAsia"/>
          <w:szCs w:val="21"/>
        </w:rPr>
        <w:t>新模式，在学生的招生、培养、学籍、日常生活管理等环节，以及教师的聘任、考核等方面，根据因材施教和个性化要求，实行特殊政策；加强学习生活社区建设，注重环境浸润熏陶，促进拔尖学生的价值塑造和人格养成。</w:t>
      </w:r>
    </w:p>
    <w:p w:rsidR="00A651DE" w:rsidRDefault="00A651DE" w:rsidP="00A651DE">
      <w:pPr>
        <w:spacing w:line="380" w:lineRule="exact"/>
        <w:ind w:firstLineChars="200" w:firstLine="420"/>
        <w:rPr>
          <w:szCs w:val="21"/>
        </w:rPr>
      </w:pPr>
      <w:r>
        <w:rPr>
          <w:rFonts w:hint="eastAsia"/>
          <w:szCs w:val="21"/>
        </w:rPr>
        <w:t>3.</w:t>
      </w:r>
      <w:r>
        <w:rPr>
          <w:rFonts w:hint="eastAsia"/>
          <w:szCs w:val="21"/>
        </w:rPr>
        <w:t>注重名师引领，实施本科导师制。持续加强师资队伍建设，汇聚一批热爱教育事业、学术造诣深厚、教学经验丰富、具有国际视野的杰出学者参与人才培养，让顶尖人才培养未来拔尖人才；深入实施导师制，聘请理念新、能力强、肯投入的博士生导师担任本科生导师，在课程学习、科学研究、综合能力培养以及学术生涯规划等方面给予学生全方位、个性化的指导。</w:t>
      </w:r>
    </w:p>
    <w:p w:rsidR="00A651DE" w:rsidRDefault="00A651DE" w:rsidP="00A651DE">
      <w:pPr>
        <w:spacing w:line="380" w:lineRule="exact"/>
        <w:ind w:firstLineChars="200" w:firstLine="420"/>
        <w:rPr>
          <w:szCs w:val="21"/>
        </w:rPr>
      </w:pPr>
      <w:r>
        <w:rPr>
          <w:rFonts w:hint="eastAsia"/>
          <w:szCs w:val="21"/>
        </w:rPr>
        <w:t>4.</w:t>
      </w:r>
      <w:r>
        <w:rPr>
          <w:rFonts w:hint="eastAsia"/>
          <w:szCs w:val="21"/>
        </w:rPr>
        <w:t>加强个性培养，推进完全学分制。在定制的个性化人才培养方案基础上，营造第二课堂学术氛围，通过学术沙龙、兴趣讨论、科研小组等，给予学生更多自主学习、自由探索的空间；推进完全学分制，以学分积累作为毕业标准，学生可自主安排学习进程，实行灵活的选修、免修和缓修制度，在考核评价中淡化功利性指标，帮助学生早成才、快成才。</w:t>
      </w:r>
    </w:p>
    <w:p w:rsidR="00A651DE" w:rsidRDefault="00A651DE" w:rsidP="00A651DE">
      <w:pPr>
        <w:spacing w:line="380" w:lineRule="exact"/>
        <w:ind w:firstLineChars="200" w:firstLine="420"/>
        <w:rPr>
          <w:szCs w:val="21"/>
        </w:rPr>
      </w:pPr>
      <w:r>
        <w:rPr>
          <w:rFonts w:hint="eastAsia"/>
          <w:szCs w:val="21"/>
        </w:rPr>
        <w:t>5.</w:t>
      </w:r>
      <w:r>
        <w:rPr>
          <w:rFonts w:hint="eastAsia"/>
          <w:szCs w:val="21"/>
        </w:rPr>
        <w:t>促进学科交叉，强化科教融合。将学科交叉作为拔尖人才培养的重要途径，建设跨学科课程体系、组建跨学科教学团队、设立交叉学科研究课题，为学生参与跨学科学习和研究创造条件；强化与中科院等科研院所深度合作，依托协同创新中心、协同育人科研项目平台等，鼓励学生早进课题、早进实验室、早进团队，点燃学生科技创新激情，实现科研创新训练项目、本科毕业论文和硕士、博士研究内容有效衔接。</w:t>
      </w:r>
    </w:p>
    <w:p w:rsidR="00A651DE" w:rsidRDefault="00A651DE" w:rsidP="00A651DE">
      <w:pPr>
        <w:spacing w:line="380" w:lineRule="exact"/>
        <w:ind w:firstLineChars="200" w:firstLine="420"/>
        <w:rPr>
          <w:szCs w:val="21"/>
        </w:rPr>
      </w:pPr>
      <w:r>
        <w:rPr>
          <w:rFonts w:hint="eastAsia"/>
          <w:szCs w:val="21"/>
        </w:rPr>
        <w:t>6.</w:t>
      </w:r>
      <w:r>
        <w:rPr>
          <w:rFonts w:hint="eastAsia"/>
          <w:szCs w:val="21"/>
        </w:rPr>
        <w:t>汇聚优质资源，深化国际合作。依托中外一流大学“同窗友情”育成计划，优先安排拔尖学生赴国外一流大学留学和交流学习，全面提升学生的国际视野和全球竞争力；鼓励每个拔尖基地确定多所国际一流大学，固定时间，明确任务，专人负责，使学生能够参与实质性国际交流，构建国内外双向互动、合作共赢的拔尖人才培养长效机制。</w:t>
      </w:r>
    </w:p>
    <w:p w:rsidR="00A651DE" w:rsidRDefault="00A651DE" w:rsidP="00A651DE">
      <w:pPr>
        <w:spacing w:line="380" w:lineRule="exact"/>
        <w:ind w:firstLineChars="200" w:firstLine="420"/>
        <w:rPr>
          <w:szCs w:val="21"/>
        </w:rPr>
      </w:pPr>
      <w:r>
        <w:rPr>
          <w:rFonts w:hint="eastAsia"/>
          <w:szCs w:val="21"/>
        </w:rPr>
        <w:t>7.</w:t>
      </w:r>
      <w:r>
        <w:rPr>
          <w:rFonts w:hint="eastAsia"/>
          <w:szCs w:val="21"/>
        </w:rPr>
        <w:t>强化本</w:t>
      </w:r>
      <w:proofErr w:type="gramStart"/>
      <w:r>
        <w:rPr>
          <w:rFonts w:hint="eastAsia"/>
          <w:szCs w:val="21"/>
        </w:rPr>
        <w:t>研</w:t>
      </w:r>
      <w:proofErr w:type="gramEnd"/>
      <w:r>
        <w:rPr>
          <w:rFonts w:hint="eastAsia"/>
          <w:szCs w:val="21"/>
        </w:rPr>
        <w:t>衔接，助力学生发展。注重拔尖人才的本</w:t>
      </w:r>
      <w:proofErr w:type="gramStart"/>
      <w:r>
        <w:rPr>
          <w:rFonts w:hint="eastAsia"/>
          <w:szCs w:val="21"/>
        </w:rPr>
        <w:t>研</w:t>
      </w:r>
      <w:proofErr w:type="gramEnd"/>
      <w:r>
        <w:rPr>
          <w:rFonts w:hint="eastAsia"/>
          <w:szCs w:val="21"/>
        </w:rPr>
        <w:t>衔接培养，为优秀学生继续深造创造良好条件。在推荐免试攻读研究生方面，拔尖基地在参照</w:t>
      </w:r>
      <w:r>
        <w:rPr>
          <w:rFonts w:cs="宋体" w:hint="eastAsia"/>
        </w:rPr>
        <w:t>《大连理工大学推荐优秀应届本科毕业生免试攻读研究生工作实施办法》基础上，</w:t>
      </w:r>
      <w:r>
        <w:rPr>
          <w:rFonts w:hint="eastAsia"/>
          <w:szCs w:val="21"/>
        </w:rPr>
        <w:t>享受国家、学校和学院制订的特殊政策，</w:t>
      </w:r>
      <w:r>
        <w:rPr>
          <w:rFonts w:cs="宋体" w:hint="eastAsia"/>
        </w:rPr>
        <w:t>在学校统筹管理下，实施</w:t>
      </w:r>
      <w:proofErr w:type="gramStart"/>
      <w:r>
        <w:rPr>
          <w:rFonts w:cs="宋体" w:hint="eastAsia"/>
        </w:rPr>
        <w:t>个性化推免办法</w:t>
      </w:r>
      <w:proofErr w:type="gramEnd"/>
      <w:r>
        <w:rPr>
          <w:rFonts w:cs="宋体" w:hint="eastAsia"/>
        </w:rPr>
        <w:t>，</w:t>
      </w:r>
      <w:r>
        <w:rPr>
          <w:rFonts w:hint="eastAsia"/>
          <w:szCs w:val="21"/>
        </w:rPr>
        <w:t>推荐免试攻读研究生的比例不低于</w:t>
      </w:r>
      <w:r>
        <w:rPr>
          <w:rFonts w:hint="eastAsia"/>
          <w:szCs w:val="21"/>
        </w:rPr>
        <w:t>50%</w:t>
      </w:r>
      <w:r>
        <w:rPr>
          <w:rFonts w:cs="宋体" w:hint="eastAsia"/>
        </w:rPr>
        <w:t>。</w:t>
      </w:r>
    </w:p>
    <w:p w:rsidR="00A651DE" w:rsidRDefault="00A651DE" w:rsidP="00A651DE">
      <w:pPr>
        <w:spacing w:beforeLines="25" w:before="78" w:afterLines="25" w:after="78" w:line="380" w:lineRule="exact"/>
        <w:ind w:firstLineChars="200" w:firstLine="420"/>
        <w:rPr>
          <w:rFonts w:eastAsia="黑体"/>
          <w:bCs/>
          <w:szCs w:val="21"/>
        </w:rPr>
      </w:pPr>
      <w:r>
        <w:rPr>
          <w:rFonts w:eastAsia="黑体" w:hint="eastAsia"/>
          <w:bCs/>
          <w:szCs w:val="21"/>
        </w:rPr>
        <w:t>四、学生管理</w:t>
      </w:r>
    </w:p>
    <w:p w:rsidR="00A651DE" w:rsidRDefault="00A651DE" w:rsidP="00A651DE">
      <w:pPr>
        <w:spacing w:line="380" w:lineRule="exact"/>
        <w:ind w:firstLineChars="200" w:firstLine="420"/>
        <w:rPr>
          <w:szCs w:val="21"/>
        </w:rPr>
      </w:pPr>
      <w:r>
        <w:rPr>
          <w:rFonts w:hint="eastAsia"/>
          <w:szCs w:val="21"/>
        </w:rPr>
        <w:t>1.</w:t>
      </w:r>
      <w:r>
        <w:rPr>
          <w:rFonts w:hint="eastAsia"/>
          <w:szCs w:val="21"/>
        </w:rPr>
        <w:t>拔尖基地为每名学生建立成长档案，记录学生在思想品德、学业成绩、科研能力、社会实践、海外交流直至升学就业等各方面的成长情况。</w:t>
      </w:r>
    </w:p>
    <w:p w:rsidR="00A651DE" w:rsidRDefault="00A651DE" w:rsidP="00A651DE">
      <w:pPr>
        <w:spacing w:line="380" w:lineRule="exact"/>
        <w:ind w:firstLineChars="200" w:firstLine="420"/>
        <w:rPr>
          <w:szCs w:val="21"/>
        </w:rPr>
      </w:pPr>
      <w:r>
        <w:rPr>
          <w:rFonts w:hint="eastAsia"/>
          <w:szCs w:val="21"/>
        </w:rPr>
        <w:t>2.</w:t>
      </w:r>
      <w:r>
        <w:rPr>
          <w:rFonts w:hint="eastAsia"/>
          <w:szCs w:val="21"/>
        </w:rPr>
        <w:t>拔尖基地制订政策，对符合条件的优秀学生，设定专门的学术发展基金，积极支持学生参加国内外学术交流会议和学科竞赛。</w:t>
      </w:r>
    </w:p>
    <w:p w:rsidR="00A651DE" w:rsidRDefault="00A651DE" w:rsidP="00A651DE">
      <w:pPr>
        <w:spacing w:beforeLines="25" w:before="78" w:afterLines="25" w:after="78" w:line="380" w:lineRule="exact"/>
        <w:ind w:firstLineChars="200" w:firstLine="420"/>
        <w:rPr>
          <w:rFonts w:eastAsia="黑体"/>
          <w:bCs/>
          <w:szCs w:val="21"/>
        </w:rPr>
      </w:pPr>
      <w:r>
        <w:rPr>
          <w:rFonts w:eastAsia="黑体" w:hint="eastAsia"/>
          <w:bCs/>
          <w:szCs w:val="21"/>
        </w:rPr>
        <w:t>五</w:t>
      </w:r>
      <w:r>
        <w:rPr>
          <w:rFonts w:eastAsia="黑体"/>
          <w:bCs/>
          <w:szCs w:val="21"/>
        </w:rPr>
        <w:t>、其他</w:t>
      </w:r>
    </w:p>
    <w:p w:rsidR="00A651DE" w:rsidRDefault="00A651DE" w:rsidP="00A651DE">
      <w:pPr>
        <w:spacing w:line="380" w:lineRule="exact"/>
        <w:ind w:firstLineChars="200" w:firstLine="420"/>
        <w:rPr>
          <w:szCs w:val="21"/>
        </w:rPr>
      </w:pPr>
      <w:r>
        <w:rPr>
          <w:rFonts w:hint="eastAsia"/>
          <w:szCs w:val="21"/>
        </w:rPr>
        <w:lastRenderedPageBreak/>
        <w:t>1.</w:t>
      </w:r>
      <w:r>
        <w:rPr>
          <w:rFonts w:hint="eastAsia"/>
          <w:szCs w:val="21"/>
        </w:rPr>
        <w:t>各拔尖基地应根据本办法，结合自身实际，制订具体的实施方案。</w:t>
      </w:r>
    </w:p>
    <w:p w:rsidR="00A651DE" w:rsidRDefault="00A651DE" w:rsidP="00A651DE">
      <w:pPr>
        <w:spacing w:line="380" w:lineRule="exact"/>
        <w:ind w:firstLineChars="200" w:firstLine="420"/>
        <w:rPr>
          <w:szCs w:val="21"/>
        </w:rPr>
      </w:pPr>
      <w:r>
        <w:rPr>
          <w:rFonts w:hint="eastAsia"/>
          <w:szCs w:val="21"/>
        </w:rPr>
        <w:t>2.</w:t>
      </w:r>
      <w:r>
        <w:rPr>
          <w:rFonts w:hint="eastAsia"/>
          <w:szCs w:val="21"/>
        </w:rPr>
        <w:t>本管理办法自</w:t>
      </w:r>
      <w:r>
        <w:rPr>
          <w:rFonts w:hint="eastAsia"/>
          <w:szCs w:val="21"/>
        </w:rPr>
        <w:t>2020</w:t>
      </w:r>
      <w:r>
        <w:rPr>
          <w:rFonts w:hint="eastAsia"/>
          <w:szCs w:val="21"/>
        </w:rPr>
        <w:t>级学生开始实行，由教务处负责解释。</w:t>
      </w:r>
    </w:p>
    <w:p w:rsidR="00A651DE" w:rsidRDefault="00A651DE" w:rsidP="00A651DE">
      <w:pPr>
        <w:spacing w:line="380" w:lineRule="exact"/>
        <w:ind w:firstLineChars="2571" w:firstLine="5399"/>
        <w:rPr>
          <w:rFonts w:eastAsia="楷体_GB2312"/>
          <w:szCs w:val="21"/>
        </w:rPr>
      </w:pPr>
    </w:p>
    <w:p w:rsidR="00A651DE" w:rsidRDefault="00A651DE" w:rsidP="00A651DE">
      <w:pPr>
        <w:spacing w:line="380" w:lineRule="exact"/>
        <w:ind w:firstLineChars="2770" w:firstLine="5817"/>
        <w:rPr>
          <w:rFonts w:ascii="楷体_GB2312" w:eastAsia="楷体_GB2312"/>
          <w:szCs w:val="21"/>
        </w:rPr>
      </w:pPr>
      <w:r>
        <w:rPr>
          <w:rFonts w:ascii="楷体_GB2312" w:eastAsia="楷体_GB2312"/>
          <w:szCs w:val="21"/>
        </w:rPr>
        <w:t>二</w:t>
      </w:r>
      <w:r>
        <w:rPr>
          <w:rFonts w:ascii="楷体_GB2312" w:eastAsia="楷体_GB2312" w:hint="eastAsia"/>
          <w:szCs w:val="21"/>
        </w:rPr>
        <w:t>〇二一</w:t>
      </w:r>
      <w:r>
        <w:rPr>
          <w:rFonts w:ascii="楷体_GB2312" w:eastAsia="楷体_GB2312"/>
          <w:szCs w:val="21"/>
        </w:rPr>
        <w:t>年八月</w:t>
      </w:r>
      <w:r>
        <w:rPr>
          <w:rFonts w:ascii="楷体_GB2312" w:eastAsia="楷体_GB2312" w:hint="eastAsia"/>
          <w:szCs w:val="21"/>
        </w:rPr>
        <w:t>制订</w:t>
      </w:r>
    </w:p>
    <w:p w:rsidR="004A6F16" w:rsidRDefault="004A6F16">
      <w:pPr>
        <w:ind w:firstLine="480"/>
      </w:pPr>
      <w:bookmarkStart w:id="0" w:name="_GoBack"/>
      <w:bookmarkEnd w:id="0"/>
    </w:p>
    <w:sectPr w:rsidR="004A6F16">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113" w:rsidRDefault="00936113" w:rsidP="00A651DE">
      <w:pPr>
        <w:ind w:firstLine="480"/>
      </w:pPr>
      <w:r>
        <w:separator/>
      </w:r>
    </w:p>
  </w:endnote>
  <w:endnote w:type="continuationSeparator" w:id="0">
    <w:p w:rsidR="00936113" w:rsidRDefault="00936113" w:rsidP="00A651DE">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DE" w:rsidRDefault="00A651DE" w:rsidP="00A651DE">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DE" w:rsidRDefault="00A651DE" w:rsidP="00A651DE">
    <w:pPr>
      <w:pStyle w:val="a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DE" w:rsidRDefault="00A651DE" w:rsidP="00A651DE">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113" w:rsidRDefault="00936113" w:rsidP="00A651DE">
      <w:pPr>
        <w:ind w:firstLine="480"/>
      </w:pPr>
      <w:r>
        <w:separator/>
      </w:r>
    </w:p>
  </w:footnote>
  <w:footnote w:type="continuationSeparator" w:id="0">
    <w:p w:rsidR="00936113" w:rsidRDefault="00936113" w:rsidP="00A651DE">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DE" w:rsidRDefault="00A651DE" w:rsidP="00A651DE">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DE" w:rsidRDefault="00A651DE" w:rsidP="00A651DE">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DE" w:rsidRDefault="00A651DE" w:rsidP="00A651DE">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E1DE88"/>
    <w:multiLevelType w:val="multilevel"/>
    <w:tmpl w:val="488CAC92"/>
    <w:lvl w:ilvl="0">
      <w:start w:val="1"/>
      <w:numFmt w:val="chineseCounting"/>
      <w:pStyle w:val="1"/>
      <w:suff w:val="nothing"/>
      <w:lvlText w:val="第%1章 "/>
      <w:lvlJc w:val="left"/>
      <w:pPr>
        <w:ind w:left="432" w:hanging="432"/>
      </w:pPr>
      <w:rPr>
        <w:rFonts w:hint="eastAsia"/>
      </w:rPr>
    </w:lvl>
    <w:lvl w:ilvl="1">
      <w:start w:val="1"/>
      <w:numFmt w:val="decimal"/>
      <w:pStyle w:val="2"/>
      <w:isLgl/>
      <w:lvlText w:val="%1.%2."/>
      <w:lvlJc w:val="left"/>
      <w:pPr>
        <w:ind w:left="575" w:hanging="575"/>
      </w:pPr>
      <w:rPr>
        <w:rFonts w:hint="eastAsia"/>
      </w:rPr>
    </w:lvl>
    <w:lvl w:ilvl="2">
      <w:start w:val="1"/>
      <w:numFmt w:val="decimal"/>
      <w:pStyle w:val="3"/>
      <w:isLgl/>
      <w:lvlText w:val="%1.%2.%3."/>
      <w:lvlJc w:val="left"/>
      <w:pPr>
        <w:ind w:left="720" w:hanging="720"/>
      </w:pPr>
      <w:rPr>
        <w:rFonts w:hint="eastAsia"/>
      </w:rPr>
    </w:lvl>
    <w:lvl w:ilvl="3">
      <w:start w:val="1"/>
      <w:numFmt w:val="decimal"/>
      <w:pStyle w:val="4"/>
      <w:isLgl/>
      <w:lvlText w:val="%1.%2.%3.%4."/>
      <w:lvlJc w:val="left"/>
      <w:pPr>
        <w:ind w:left="864" w:hanging="864"/>
      </w:pPr>
      <w:rPr>
        <w:rFonts w:hint="eastAsia"/>
      </w:rPr>
    </w:lvl>
    <w:lvl w:ilvl="4">
      <w:start w:val="1"/>
      <w:numFmt w:val="decimal"/>
      <w:pStyle w:val="5"/>
      <w:isLgl/>
      <w:lvlText w:val="%1.%2.%3.%4.%5."/>
      <w:lvlJc w:val="left"/>
      <w:pPr>
        <w:ind w:left="1008" w:hanging="1008"/>
      </w:pPr>
      <w:rPr>
        <w:rFonts w:hint="eastAsia"/>
      </w:rPr>
    </w:lvl>
    <w:lvl w:ilvl="5">
      <w:start w:val="1"/>
      <w:numFmt w:val="decimal"/>
      <w:pStyle w:val="6"/>
      <w:isLgl/>
      <w:lvlText w:val="%1.%2.%3.%4.%5.%6."/>
      <w:lvlJc w:val="left"/>
      <w:pPr>
        <w:ind w:left="1151" w:hanging="1151"/>
      </w:pPr>
      <w:rPr>
        <w:rFonts w:hint="eastAsia"/>
      </w:rPr>
    </w:lvl>
    <w:lvl w:ilvl="6">
      <w:start w:val="1"/>
      <w:numFmt w:val="decimal"/>
      <w:pStyle w:val="7"/>
      <w:isLgl/>
      <w:lvlText w:val="%1.%2.%3.%4.%5.%6.%7."/>
      <w:lvlJc w:val="left"/>
      <w:pPr>
        <w:ind w:left="1296" w:hanging="1296"/>
      </w:pPr>
      <w:rPr>
        <w:rFonts w:hint="eastAsia"/>
      </w:rPr>
    </w:lvl>
    <w:lvl w:ilvl="7">
      <w:start w:val="1"/>
      <w:numFmt w:val="decimal"/>
      <w:pStyle w:val="8"/>
      <w:isLgl/>
      <w:lvlText w:val="%1.%2.%3.%4.%5.%6.%7.%8."/>
      <w:lvlJc w:val="left"/>
      <w:pPr>
        <w:ind w:left="1440" w:hanging="1440"/>
      </w:pPr>
      <w:rPr>
        <w:rFonts w:hint="eastAsia"/>
      </w:rPr>
    </w:lvl>
    <w:lvl w:ilvl="8">
      <w:start w:val="1"/>
      <w:numFmt w:val="decimal"/>
      <w:pStyle w:val="9"/>
      <w:isLgl/>
      <w:lvlText w:val="%1.%2.%3.%4.%5.%6.%7.%8.%9."/>
      <w:lvlJc w:val="left"/>
      <w:pPr>
        <w:ind w:left="1583" w:hanging="1583"/>
      </w:pPr>
      <w:rPr>
        <w:rFonts w:hint="eastAsia"/>
      </w:rPr>
    </w:lvl>
  </w:abstractNum>
  <w:abstractNum w:abstractNumId="1">
    <w:nsid w:val="C314010C"/>
    <w:multiLevelType w:val="singleLevel"/>
    <w:tmpl w:val="C314010C"/>
    <w:lvl w:ilvl="0">
      <w:start w:val="2"/>
      <w:numFmt w:val="decimal"/>
      <w:suff w:val="space"/>
      <w:lvlText w:val="%1."/>
      <w:lvlJc w:val="left"/>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3D"/>
    <w:rsid w:val="003E392A"/>
    <w:rsid w:val="004A6F16"/>
    <w:rsid w:val="0058273D"/>
    <w:rsid w:val="006661D9"/>
    <w:rsid w:val="00936113"/>
    <w:rsid w:val="00A65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1DE"/>
    <w:pPr>
      <w:widowControl w:val="0"/>
      <w:jc w:val="both"/>
    </w:pPr>
    <w:rPr>
      <w:rFonts w:ascii="Times New Roman" w:eastAsia="宋体" w:hAnsi="Times New Roman" w:cs="Times New Roman"/>
      <w:szCs w:val="24"/>
    </w:rPr>
  </w:style>
  <w:style w:type="paragraph" w:styleId="1">
    <w:name w:val="heading 1"/>
    <w:basedOn w:val="a"/>
    <w:next w:val="a"/>
    <w:link w:val="1Char"/>
    <w:qFormat/>
    <w:rsid w:val="003E392A"/>
    <w:pPr>
      <w:keepNext/>
      <w:keepLines/>
      <w:numPr>
        <w:numId w:val="9"/>
      </w:numPr>
      <w:ind w:firstLine="0"/>
      <w:outlineLvl w:val="0"/>
    </w:pPr>
    <w:rPr>
      <w:rFonts w:ascii="Calibri" w:hAnsi="Calibri" w:cs="黑体"/>
      <w:b/>
      <w:color w:val="0070C0"/>
      <w:kern w:val="44"/>
      <w:sz w:val="44"/>
      <w:lang w:eastAsia="en-US"/>
    </w:rPr>
  </w:style>
  <w:style w:type="paragraph" w:styleId="2">
    <w:name w:val="heading 2"/>
    <w:basedOn w:val="a"/>
    <w:next w:val="a"/>
    <w:link w:val="2Char"/>
    <w:unhideWhenUsed/>
    <w:qFormat/>
    <w:rsid w:val="003E392A"/>
    <w:pPr>
      <w:keepNext/>
      <w:keepLines/>
      <w:numPr>
        <w:ilvl w:val="1"/>
        <w:numId w:val="9"/>
      </w:numPr>
      <w:pBdr>
        <w:top w:val="none" w:sz="0" w:space="1" w:color="auto"/>
        <w:left w:val="none" w:sz="0" w:space="4" w:color="auto"/>
        <w:bottom w:val="single" w:sz="4" w:space="1" w:color="auto"/>
        <w:right w:val="none" w:sz="0" w:space="4" w:color="auto"/>
      </w:pBdr>
      <w:shd w:val="clear" w:color="auto" w:fill="F2F2F2" w:themeFill="background1" w:themeFillShade="F2"/>
      <w:spacing w:before="260" w:after="160"/>
      <w:ind w:firstLine="0"/>
      <w:outlineLvl w:val="1"/>
    </w:pPr>
    <w:rPr>
      <w:rFonts w:asciiTheme="majorHAnsi" w:hAnsiTheme="majorHAnsi" w:cstheme="majorBidi"/>
      <w:b/>
      <w:bCs/>
      <w:color w:val="365F91" w:themeColor="accent1" w:themeShade="BF"/>
      <w:sz w:val="32"/>
      <w:szCs w:val="32"/>
    </w:rPr>
  </w:style>
  <w:style w:type="paragraph" w:styleId="3">
    <w:name w:val="heading 3"/>
    <w:basedOn w:val="2"/>
    <w:next w:val="a"/>
    <w:link w:val="3Char"/>
    <w:unhideWhenUsed/>
    <w:qFormat/>
    <w:rsid w:val="003E392A"/>
    <w:pPr>
      <w:numPr>
        <w:ilvl w:val="2"/>
      </w:numPr>
      <w:spacing w:after="260" w:line="360" w:lineRule="auto"/>
      <w:outlineLvl w:val="2"/>
    </w:pPr>
    <w:rPr>
      <w:rFonts w:asciiTheme="minorHAnsi" w:hAnsiTheme="minorHAnsi"/>
      <w:color w:val="404040" w:themeColor="text1" w:themeTint="BF"/>
      <w:sz w:val="28"/>
    </w:rPr>
  </w:style>
  <w:style w:type="paragraph" w:styleId="4">
    <w:name w:val="heading 4"/>
    <w:basedOn w:val="a"/>
    <w:next w:val="a"/>
    <w:link w:val="4Char"/>
    <w:unhideWhenUsed/>
    <w:qFormat/>
    <w:rsid w:val="003E392A"/>
    <w:pPr>
      <w:keepNext/>
      <w:keepLines/>
      <w:numPr>
        <w:ilvl w:val="3"/>
        <w:numId w:val="9"/>
      </w:numPr>
      <w:spacing w:line="372" w:lineRule="auto"/>
      <w:ind w:firstLine="0"/>
      <w:outlineLvl w:val="3"/>
    </w:pPr>
    <w:rPr>
      <w:rFonts w:ascii="Arial" w:eastAsia="黑体" w:hAnsi="Arial"/>
      <w:b/>
      <w:sz w:val="28"/>
    </w:rPr>
  </w:style>
  <w:style w:type="paragraph" w:styleId="5">
    <w:name w:val="heading 5"/>
    <w:basedOn w:val="a"/>
    <w:next w:val="a"/>
    <w:link w:val="5Char"/>
    <w:unhideWhenUsed/>
    <w:qFormat/>
    <w:rsid w:val="003E392A"/>
    <w:pPr>
      <w:keepNext/>
      <w:keepLines/>
      <w:numPr>
        <w:ilvl w:val="4"/>
        <w:numId w:val="9"/>
      </w:numPr>
      <w:spacing w:line="372" w:lineRule="auto"/>
      <w:ind w:firstLine="0"/>
      <w:outlineLvl w:val="4"/>
    </w:pPr>
    <w:rPr>
      <w:b/>
      <w:sz w:val="28"/>
    </w:rPr>
  </w:style>
  <w:style w:type="paragraph" w:styleId="6">
    <w:name w:val="heading 6"/>
    <w:basedOn w:val="a"/>
    <w:next w:val="a"/>
    <w:link w:val="6Char"/>
    <w:semiHidden/>
    <w:unhideWhenUsed/>
    <w:qFormat/>
    <w:rsid w:val="003E392A"/>
    <w:pPr>
      <w:keepNext/>
      <w:keepLines/>
      <w:numPr>
        <w:ilvl w:val="5"/>
        <w:numId w:val="9"/>
      </w:numPr>
      <w:spacing w:line="317" w:lineRule="auto"/>
      <w:ind w:firstLine="0"/>
      <w:outlineLvl w:val="5"/>
    </w:pPr>
    <w:rPr>
      <w:rFonts w:ascii="Arial" w:eastAsia="黑体" w:hAnsi="Arial"/>
      <w:b/>
    </w:rPr>
  </w:style>
  <w:style w:type="paragraph" w:styleId="7">
    <w:name w:val="heading 7"/>
    <w:basedOn w:val="a"/>
    <w:next w:val="a"/>
    <w:link w:val="7Char"/>
    <w:semiHidden/>
    <w:unhideWhenUsed/>
    <w:qFormat/>
    <w:rsid w:val="003E392A"/>
    <w:pPr>
      <w:keepNext/>
      <w:keepLines/>
      <w:numPr>
        <w:ilvl w:val="6"/>
        <w:numId w:val="9"/>
      </w:numPr>
      <w:spacing w:line="317" w:lineRule="auto"/>
      <w:ind w:firstLine="0"/>
      <w:outlineLvl w:val="6"/>
    </w:pPr>
    <w:rPr>
      <w:b/>
    </w:rPr>
  </w:style>
  <w:style w:type="paragraph" w:styleId="8">
    <w:name w:val="heading 8"/>
    <w:basedOn w:val="a"/>
    <w:next w:val="a"/>
    <w:link w:val="8Char"/>
    <w:semiHidden/>
    <w:unhideWhenUsed/>
    <w:qFormat/>
    <w:rsid w:val="003E392A"/>
    <w:pPr>
      <w:keepNext/>
      <w:keepLines/>
      <w:numPr>
        <w:ilvl w:val="7"/>
        <w:numId w:val="9"/>
      </w:numPr>
      <w:spacing w:line="317" w:lineRule="auto"/>
      <w:ind w:firstLine="0"/>
      <w:outlineLvl w:val="7"/>
    </w:pPr>
    <w:rPr>
      <w:rFonts w:ascii="Arial" w:eastAsia="黑体" w:hAnsi="Arial"/>
    </w:rPr>
  </w:style>
  <w:style w:type="paragraph" w:styleId="9">
    <w:name w:val="heading 9"/>
    <w:basedOn w:val="a"/>
    <w:next w:val="a"/>
    <w:link w:val="9Char"/>
    <w:semiHidden/>
    <w:unhideWhenUsed/>
    <w:qFormat/>
    <w:rsid w:val="003E392A"/>
    <w:pPr>
      <w:keepNext/>
      <w:keepLines/>
      <w:numPr>
        <w:ilvl w:val="8"/>
        <w:numId w:val="1"/>
      </w:numPr>
      <w:spacing w:line="317" w:lineRule="auto"/>
      <w:ind w:firstLine="0"/>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E392A"/>
    <w:rPr>
      <w:rFonts w:ascii="Calibri" w:eastAsia="宋体" w:hAnsi="Calibri" w:cs="黑体"/>
      <w:b/>
      <w:color w:val="0070C0"/>
      <w:kern w:val="44"/>
      <w:sz w:val="44"/>
      <w:lang w:eastAsia="en-US"/>
    </w:rPr>
  </w:style>
  <w:style w:type="character" w:customStyle="1" w:styleId="2Char">
    <w:name w:val="标题 2 Char"/>
    <w:basedOn w:val="a0"/>
    <w:link w:val="2"/>
    <w:qFormat/>
    <w:rsid w:val="003E392A"/>
    <w:rPr>
      <w:rFonts w:asciiTheme="majorHAnsi" w:eastAsia="宋体" w:hAnsiTheme="majorHAnsi" w:cstheme="majorBidi"/>
      <w:b/>
      <w:bCs/>
      <w:color w:val="365F91" w:themeColor="accent1" w:themeShade="BF"/>
      <w:sz w:val="32"/>
      <w:szCs w:val="32"/>
      <w:shd w:val="clear" w:color="auto" w:fill="F2F2F2" w:themeFill="background1" w:themeFillShade="F2"/>
    </w:rPr>
  </w:style>
  <w:style w:type="character" w:customStyle="1" w:styleId="3Char">
    <w:name w:val="标题 3 Char"/>
    <w:basedOn w:val="a0"/>
    <w:link w:val="3"/>
    <w:qFormat/>
    <w:rsid w:val="003E392A"/>
    <w:rPr>
      <w:rFonts w:eastAsia="宋体" w:cstheme="majorBidi"/>
      <w:b/>
      <w:bCs/>
      <w:color w:val="404040" w:themeColor="text1" w:themeTint="BF"/>
      <w:sz w:val="28"/>
      <w:szCs w:val="32"/>
      <w:shd w:val="clear" w:color="auto" w:fill="F2F2F2" w:themeFill="background1" w:themeFillShade="F2"/>
    </w:rPr>
  </w:style>
  <w:style w:type="character" w:customStyle="1" w:styleId="4Char">
    <w:name w:val="标题 4 Char"/>
    <w:basedOn w:val="a0"/>
    <w:link w:val="4"/>
    <w:rsid w:val="003E392A"/>
    <w:rPr>
      <w:rFonts w:ascii="Arial" w:eastAsia="黑体" w:hAnsi="Arial"/>
      <w:b/>
      <w:color w:val="595959" w:themeColor="text1" w:themeTint="A6"/>
      <w:sz w:val="28"/>
    </w:rPr>
  </w:style>
  <w:style w:type="character" w:customStyle="1" w:styleId="5Char">
    <w:name w:val="标题 5 Char"/>
    <w:basedOn w:val="a0"/>
    <w:link w:val="5"/>
    <w:rsid w:val="003E392A"/>
    <w:rPr>
      <w:rFonts w:ascii="微软雅黑" w:eastAsia="微软雅黑" w:hAnsi="微软雅黑"/>
      <w:b/>
      <w:color w:val="595959" w:themeColor="text1" w:themeTint="A6"/>
      <w:sz w:val="28"/>
    </w:rPr>
  </w:style>
  <w:style w:type="character" w:customStyle="1" w:styleId="6Char">
    <w:name w:val="标题 6 Char"/>
    <w:basedOn w:val="a0"/>
    <w:link w:val="6"/>
    <w:semiHidden/>
    <w:rsid w:val="003E392A"/>
    <w:rPr>
      <w:rFonts w:ascii="Arial" w:eastAsia="黑体" w:hAnsi="Arial"/>
      <w:b/>
      <w:color w:val="595959" w:themeColor="text1" w:themeTint="A6"/>
      <w:sz w:val="24"/>
    </w:rPr>
  </w:style>
  <w:style w:type="character" w:customStyle="1" w:styleId="7Char">
    <w:name w:val="标题 7 Char"/>
    <w:basedOn w:val="a0"/>
    <w:link w:val="7"/>
    <w:semiHidden/>
    <w:rsid w:val="003E392A"/>
    <w:rPr>
      <w:rFonts w:ascii="微软雅黑" w:eastAsia="微软雅黑" w:hAnsi="微软雅黑"/>
      <w:b/>
      <w:color w:val="595959" w:themeColor="text1" w:themeTint="A6"/>
      <w:sz w:val="24"/>
    </w:rPr>
  </w:style>
  <w:style w:type="character" w:customStyle="1" w:styleId="8Char">
    <w:name w:val="标题 8 Char"/>
    <w:basedOn w:val="a0"/>
    <w:link w:val="8"/>
    <w:semiHidden/>
    <w:rsid w:val="003E392A"/>
    <w:rPr>
      <w:rFonts w:ascii="Arial" w:eastAsia="黑体" w:hAnsi="Arial"/>
      <w:color w:val="595959" w:themeColor="text1" w:themeTint="A6"/>
      <w:sz w:val="24"/>
    </w:rPr>
  </w:style>
  <w:style w:type="character" w:customStyle="1" w:styleId="9Char">
    <w:name w:val="标题 9 Char"/>
    <w:basedOn w:val="a0"/>
    <w:link w:val="9"/>
    <w:semiHidden/>
    <w:rsid w:val="003E392A"/>
    <w:rPr>
      <w:rFonts w:ascii="Arial" w:eastAsia="黑体" w:hAnsi="Arial"/>
      <w:color w:val="595959" w:themeColor="text1" w:themeTint="A6"/>
    </w:rPr>
  </w:style>
  <w:style w:type="paragraph" w:styleId="a3">
    <w:name w:val="List Paragraph"/>
    <w:basedOn w:val="a"/>
    <w:uiPriority w:val="34"/>
    <w:qFormat/>
    <w:rsid w:val="003E392A"/>
    <w:pPr>
      <w:ind w:firstLine="420"/>
    </w:pPr>
  </w:style>
  <w:style w:type="paragraph" w:styleId="a4">
    <w:name w:val="header"/>
    <w:basedOn w:val="a"/>
    <w:link w:val="Char"/>
    <w:uiPriority w:val="99"/>
    <w:unhideWhenUsed/>
    <w:rsid w:val="00A651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651DE"/>
    <w:rPr>
      <w:rFonts w:ascii="微软雅黑" w:eastAsia="微软雅黑" w:hAnsi="微软雅黑"/>
      <w:color w:val="595959" w:themeColor="text1" w:themeTint="A6"/>
      <w:sz w:val="18"/>
      <w:szCs w:val="18"/>
    </w:rPr>
  </w:style>
  <w:style w:type="paragraph" w:styleId="a5">
    <w:name w:val="footer"/>
    <w:basedOn w:val="a"/>
    <w:link w:val="Char0"/>
    <w:uiPriority w:val="99"/>
    <w:unhideWhenUsed/>
    <w:rsid w:val="00A651DE"/>
    <w:pPr>
      <w:tabs>
        <w:tab w:val="center" w:pos="4153"/>
        <w:tab w:val="right" w:pos="8306"/>
      </w:tabs>
      <w:snapToGrid w:val="0"/>
      <w:jc w:val="left"/>
    </w:pPr>
    <w:rPr>
      <w:sz w:val="18"/>
      <w:szCs w:val="18"/>
    </w:rPr>
  </w:style>
  <w:style w:type="character" w:customStyle="1" w:styleId="Char0">
    <w:name w:val="页脚 Char"/>
    <w:basedOn w:val="a0"/>
    <w:link w:val="a5"/>
    <w:uiPriority w:val="99"/>
    <w:rsid w:val="00A651DE"/>
    <w:rPr>
      <w:rFonts w:ascii="微软雅黑" w:eastAsia="微软雅黑" w:hAnsi="微软雅黑"/>
      <w:color w:val="595959" w:themeColor="text1" w:themeTint="A6"/>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1DE"/>
    <w:pPr>
      <w:widowControl w:val="0"/>
      <w:jc w:val="both"/>
    </w:pPr>
    <w:rPr>
      <w:rFonts w:ascii="Times New Roman" w:eastAsia="宋体" w:hAnsi="Times New Roman" w:cs="Times New Roman"/>
      <w:szCs w:val="24"/>
    </w:rPr>
  </w:style>
  <w:style w:type="paragraph" w:styleId="1">
    <w:name w:val="heading 1"/>
    <w:basedOn w:val="a"/>
    <w:next w:val="a"/>
    <w:link w:val="1Char"/>
    <w:qFormat/>
    <w:rsid w:val="003E392A"/>
    <w:pPr>
      <w:keepNext/>
      <w:keepLines/>
      <w:numPr>
        <w:numId w:val="9"/>
      </w:numPr>
      <w:ind w:firstLine="0"/>
      <w:outlineLvl w:val="0"/>
    </w:pPr>
    <w:rPr>
      <w:rFonts w:ascii="Calibri" w:hAnsi="Calibri" w:cs="黑体"/>
      <w:b/>
      <w:color w:val="0070C0"/>
      <w:kern w:val="44"/>
      <w:sz w:val="44"/>
      <w:lang w:eastAsia="en-US"/>
    </w:rPr>
  </w:style>
  <w:style w:type="paragraph" w:styleId="2">
    <w:name w:val="heading 2"/>
    <w:basedOn w:val="a"/>
    <w:next w:val="a"/>
    <w:link w:val="2Char"/>
    <w:unhideWhenUsed/>
    <w:qFormat/>
    <w:rsid w:val="003E392A"/>
    <w:pPr>
      <w:keepNext/>
      <w:keepLines/>
      <w:numPr>
        <w:ilvl w:val="1"/>
        <w:numId w:val="9"/>
      </w:numPr>
      <w:pBdr>
        <w:top w:val="none" w:sz="0" w:space="1" w:color="auto"/>
        <w:left w:val="none" w:sz="0" w:space="4" w:color="auto"/>
        <w:bottom w:val="single" w:sz="4" w:space="1" w:color="auto"/>
        <w:right w:val="none" w:sz="0" w:space="4" w:color="auto"/>
      </w:pBdr>
      <w:shd w:val="clear" w:color="auto" w:fill="F2F2F2" w:themeFill="background1" w:themeFillShade="F2"/>
      <w:spacing w:before="260" w:after="160"/>
      <w:ind w:firstLine="0"/>
      <w:outlineLvl w:val="1"/>
    </w:pPr>
    <w:rPr>
      <w:rFonts w:asciiTheme="majorHAnsi" w:hAnsiTheme="majorHAnsi" w:cstheme="majorBidi"/>
      <w:b/>
      <w:bCs/>
      <w:color w:val="365F91" w:themeColor="accent1" w:themeShade="BF"/>
      <w:sz w:val="32"/>
      <w:szCs w:val="32"/>
    </w:rPr>
  </w:style>
  <w:style w:type="paragraph" w:styleId="3">
    <w:name w:val="heading 3"/>
    <w:basedOn w:val="2"/>
    <w:next w:val="a"/>
    <w:link w:val="3Char"/>
    <w:unhideWhenUsed/>
    <w:qFormat/>
    <w:rsid w:val="003E392A"/>
    <w:pPr>
      <w:numPr>
        <w:ilvl w:val="2"/>
      </w:numPr>
      <w:spacing w:after="260" w:line="360" w:lineRule="auto"/>
      <w:outlineLvl w:val="2"/>
    </w:pPr>
    <w:rPr>
      <w:rFonts w:asciiTheme="minorHAnsi" w:hAnsiTheme="minorHAnsi"/>
      <w:color w:val="404040" w:themeColor="text1" w:themeTint="BF"/>
      <w:sz w:val="28"/>
    </w:rPr>
  </w:style>
  <w:style w:type="paragraph" w:styleId="4">
    <w:name w:val="heading 4"/>
    <w:basedOn w:val="a"/>
    <w:next w:val="a"/>
    <w:link w:val="4Char"/>
    <w:unhideWhenUsed/>
    <w:qFormat/>
    <w:rsid w:val="003E392A"/>
    <w:pPr>
      <w:keepNext/>
      <w:keepLines/>
      <w:numPr>
        <w:ilvl w:val="3"/>
        <w:numId w:val="9"/>
      </w:numPr>
      <w:spacing w:line="372" w:lineRule="auto"/>
      <w:ind w:firstLine="0"/>
      <w:outlineLvl w:val="3"/>
    </w:pPr>
    <w:rPr>
      <w:rFonts w:ascii="Arial" w:eastAsia="黑体" w:hAnsi="Arial"/>
      <w:b/>
      <w:sz w:val="28"/>
    </w:rPr>
  </w:style>
  <w:style w:type="paragraph" w:styleId="5">
    <w:name w:val="heading 5"/>
    <w:basedOn w:val="a"/>
    <w:next w:val="a"/>
    <w:link w:val="5Char"/>
    <w:unhideWhenUsed/>
    <w:qFormat/>
    <w:rsid w:val="003E392A"/>
    <w:pPr>
      <w:keepNext/>
      <w:keepLines/>
      <w:numPr>
        <w:ilvl w:val="4"/>
        <w:numId w:val="9"/>
      </w:numPr>
      <w:spacing w:line="372" w:lineRule="auto"/>
      <w:ind w:firstLine="0"/>
      <w:outlineLvl w:val="4"/>
    </w:pPr>
    <w:rPr>
      <w:b/>
      <w:sz w:val="28"/>
    </w:rPr>
  </w:style>
  <w:style w:type="paragraph" w:styleId="6">
    <w:name w:val="heading 6"/>
    <w:basedOn w:val="a"/>
    <w:next w:val="a"/>
    <w:link w:val="6Char"/>
    <w:semiHidden/>
    <w:unhideWhenUsed/>
    <w:qFormat/>
    <w:rsid w:val="003E392A"/>
    <w:pPr>
      <w:keepNext/>
      <w:keepLines/>
      <w:numPr>
        <w:ilvl w:val="5"/>
        <w:numId w:val="9"/>
      </w:numPr>
      <w:spacing w:line="317" w:lineRule="auto"/>
      <w:ind w:firstLine="0"/>
      <w:outlineLvl w:val="5"/>
    </w:pPr>
    <w:rPr>
      <w:rFonts w:ascii="Arial" w:eastAsia="黑体" w:hAnsi="Arial"/>
      <w:b/>
    </w:rPr>
  </w:style>
  <w:style w:type="paragraph" w:styleId="7">
    <w:name w:val="heading 7"/>
    <w:basedOn w:val="a"/>
    <w:next w:val="a"/>
    <w:link w:val="7Char"/>
    <w:semiHidden/>
    <w:unhideWhenUsed/>
    <w:qFormat/>
    <w:rsid w:val="003E392A"/>
    <w:pPr>
      <w:keepNext/>
      <w:keepLines/>
      <w:numPr>
        <w:ilvl w:val="6"/>
        <w:numId w:val="9"/>
      </w:numPr>
      <w:spacing w:line="317" w:lineRule="auto"/>
      <w:ind w:firstLine="0"/>
      <w:outlineLvl w:val="6"/>
    </w:pPr>
    <w:rPr>
      <w:b/>
    </w:rPr>
  </w:style>
  <w:style w:type="paragraph" w:styleId="8">
    <w:name w:val="heading 8"/>
    <w:basedOn w:val="a"/>
    <w:next w:val="a"/>
    <w:link w:val="8Char"/>
    <w:semiHidden/>
    <w:unhideWhenUsed/>
    <w:qFormat/>
    <w:rsid w:val="003E392A"/>
    <w:pPr>
      <w:keepNext/>
      <w:keepLines/>
      <w:numPr>
        <w:ilvl w:val="7"/>
        <w:numId w:val="9"/>
      </w:numPr>
      <w:spacing w:line="317" w:lineRule="auto"/>
      <w:ind w:firstLine="0"/>
      <w:outlineLvl w:val="7"/>
    </w:pPr>
    <w:rPr>
      <w:rFonts w:ascii="Arial" w:eastAsia="黑体" w:hAnsi="Arial"/>
    </w:rPr>
  </w:style>
  <w:style w:type="paragraph" w:styleId="9">
    <w:name w:val="heading 9"/>
    <w:basedOn w:val="a"/>
    <w:next w:val="a"/>
    <w:link w:val="9Char"/>
    <w:semiHidden/>
    <w:unhideWhenUsed/>
    <w:qFormat/>
    <w:rsid w:val="003E392A"/>
    <w:pPr>
      <w:keepNext/>
      <w:keepLines/>
      <w:numPr>
        <w:ilvl w:val="8"/>
        <w:numId w:val="1"/>
      </w:numPr>
      <w:spacing w:line="317" w:lineRule="auto"/>
      <w:ind w:firstLine="0"/>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E392A"/>
    <w:rPr>
      <w:rFonts w:ascii="Calibri" w:eastAsia="宋体" w:hAnsi="Calibri" w:cs="黑体"/>
      <w:b/>
      <w:color w:val="0070C0"/>
      <w:kern w:val="44"/>
      <w:sz w:val="44"/>
      <w:lang w:eastAsia="en-US"/>
    </w:rPr>
  </w:style>
  <w:style w:type="character" w:customStyle="1" w:styleId="2Char">
    <w:name w:val="标题 2 Char"/>
    <w:basedOn w:val="a0"/>
    <w:link w:val="2"/>
    <w:qFormat/>
    <w:rsid w:val="003E392A"/>
    <w:rPr>
      <w:rFonts w:asciiTheme="majorHAnsi" w:eastAsia="宋体" w:hAnsiTheme="majorHAnsi" w:cstheme="majorBidi"/>
      <w:b/>
      <w:bCs/>
      <w:color w:val="365F91" w:themeColor="accent1" w:themeShade="BF"/>
      <w:sz w:val="32"/>
      <w:szCs w:val="32"/>
      <w:shd w:val="clear" w:color="auto" w:fill="F2F2F2" w:themeFill="background1" w:themeFillShade="F2"/>
    </w:rPr>
  </w:style>
  <w:style w:type="character" w:customStyle="1" w:styleId="3Char">
    <w:name w:val="标题 3 Char"/>
    <w:basedOn w:val="a0"/>
    <w:link w:val="3"/>
    <w:qFormat/>
    <w:rsid w:val="003E392A"/>
    <w:rPr>
      <w:rFonts w:eastAsia="宋体" w:cstheme="majorBidi"/>
      <w:b/>
      <w:bCs/>
      <w:color w:val="404040" w:themeColor="text1" w:themeTint="BF"/>
      <w:sz w:val="28"/>
      <w:szCs w:val="32"/>
      <w:shd w:val="clear" w:color="auto" w:fill="F2F2F2" w:themeFill="background1" w:themeFillShade="F2"/>
    </w:rPr>
  </w:style>
  <w:style w:type="character" w:customStyle="1" w:styleId="4Char">
    <w:name w:val="标题 4 Char"/>
    <w:basedOn w:val="a0"/>
    <w:link w:val="4"/>
    <w:rsid w:val="003E392A"/>
    <w:rPr>
      <w:rFonts w:ascii="Arial" w:eastAsia="黑体" w:hAnsi="Arial"/>
      <w:b/>
      <w:color w:val="595959" w:themeColor="text1" w:themeTint="A6"/>
      <w:sz w:val="28"/>
    </w:rPr>
  </w:style>
  <w:style w:type="character" w:customStyle="1" w:styleId="5Char">
    <w:name w:val="标题 5 Char"/>
    <w:basedOn w:val="a0"/>
    <w:link w:val="5"/>
    <w:rsid w:val="003E392A"/>
    <w:rPr>
      <w:rFonts w:ascii="微软雅黑" w:eastAsia="微软雅黑" w:hAnsi="微软雅黑"/>
      <w:b/>
      <w:color w:val="595959" w:themeColor="text1" w:themeTint="A6"/>
      <w:sz w:val="28"/>
    </w:rPr>
  </w:style>
  <w:style w:type="character" w:customStyle="1" w:styleId="6Char">
    <w:name w:val="标题 6 Char"/>
    <w:basedOn w:val="a0"/>
    <w:link w:val="6"/>
    <w:semiHidden/>
    <w:rsid w:val="003E392A"/>
    <w:rPr>
      <w:rFonts w:ascii="Arial" w:eastAsia="黑体" w:hAnsi="Arial"/>
      <w:b/>
      <w:color w:val="595959" w:themeColor="text1" w:themeTint="A6"/>
      <w:sz w:val="24"/>
    </w:rPr>
  </w:style>
  <w:style w:type="character" w:customStyle="1" w:styleId="7Char">
    <w:name w:val="标题 7 Char"/>
    <w:basedOn w:val="a0"/>
    <w:link w:val="7"/>
    <w:semiHidden/>
    <w:rsid w:val="003E392A"/>
    <w:rPr>
      <w:rFonts w:ascii="微软雅黑" w:eastAsia="微软雅黑" w:hAnsi="微软雅黑"/>
      <w:b/>
      <w:color w:val="595959" w:themeColor="text1" w:themeTint="A6"/>
      <w:sz w:val="24"/>
    </w:rPr>
  </w:style>
  <w:style w:type="character" w:customStyle="1" w:styleId="8Char">
    <w:name w:val="标题 8 Char"/>
    <w:basedOn w:val="a0"/>
    <w:link w:val="8"/>
    <w:semiHidden/>
    <w:rsid w:val="003E392A"/>
    <w:rPr>
      <w:rFonts w:ascii="Arial" w:eastAsia="黑体" w:hAnsi="Arial"/>
      <w:color w:val="595959" w:themeColor="text1" w:themeTint="A6"/>
      <w:sz w:val="24"/>
    </w:rPr>
  </w:style>
  <w:style w:type="character" w:customStyle="1" w:styleId="9Char">
    <w:name w:val="标题 9 Char"/>
    <w:basedOn w:val="a0"/>
    <w:link w:val="9"/>
    <w:semiHidden/>
    <w:rsid w:val="003E392A"/>
    <w:rPr>
      <w:rFonts w:ascii="Arial" w:eastAsia="黑体" w:hAnsi="Arial"/>
      <w:color w:val="595959" w:themeColor="text1" w:themeTint="A6"/>
    </w:rPr>
  </w:style>
  <w:style w:type="paragraph" w:styleId="a3">
    <w:name w:val="List Paragraph"/>
    <w:basedOn w:val="a"/>
    <w:uiPriority w:val="34"/>
    <w:qFormat/>
    <w:rsid w:val="003E392A"/>
    <w:pPr>
      <w:ind w:firstLine="420"/>
    </w:pPr>
  </w:style>
  <w:style w:type="paragraph" w:styleId="a4">
    <w:name w:val="header"/>
    <w:basedOn w:val="a"/>
    <w:link w:val="Char"/>
    <w:uiPriority w:val="99"/>
    <w:unhideWhenUsed/>
    <w:rsid w:val="00A651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651DE"/>
    <w:rPr>
      <w:rFonts w:ascii="微软雅黑" w:eastAsia="微软雅黑" w:hAnsi="微软雅黑"/>
      <w:color w:val="595959" w:themeColor="text1" w:themeTint="A6"/>
      <w:sz w:val="18"/>
      <w:szCs w:val="18"/>
    </w:rPr>
  </w:style>
  <w:style w:type="paragraph" w:styleId="a5">
    <w:name w:val="footer"/>
    <w:basedOn w:val="a"/>
    <w:link w:val="Char0"/>
    <w:uiPriority w:val="99"/>
    <w:unhideWhenUsed/>
    <w:rsid w:val="00A651DE"/>
    <w:pPr>
      <w:tabs>
        <w:tab w:val="center" w:pos="4153"/>
        <w:tab w:val="right" w:pos="8306"/>
      </w:tabs>
      <w:snapToGrid w:val="0"/>
      <w:jc w:val="left"/>
    </w:pPr>
    <w:rPr>
      <w:sz w:val="18"/>
      <w:szCs w:val="18"/>
    </w:rPr>
  </w:style>
  <w:style w:type="character" w:customStyle="1" w:styleId="Char0">
    <w:name w:val="页脚 Char"/>
    <w:basedOn w:val="a0"/>
    <w:link w:val="a5"/>
    <w:uiPriority w:val="99"/>
    <w:rsid w:val="00A651DE"/>
    <w:rPr>
      <w:rFonts w:ascii="微软雅黑" w:eastAsia="微软雅黑" w:hAnsi="微软雅黑"/>
      <w:color w:val="595959" w:themeColor="text1" w:themeTint="A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1925</Characters>
  <Application>Microsoft Office Word</Application>
  <DocSecurity>0</DocSecurity>
  <Lines>16</Lines>
  <Paragraphs>4</Paragraphs>
  <ScaleCrop>false</ScaleCrop>
  <Company>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2022-08-08T03:25:00Z</dcterms:created>
  <dcterms:modified xsi:type="dcterms:W3CDTF">2022-08-08T03:27:00Z</dcterms:modified>
</cp:coreProperties>
</file>