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462C4F">
      <w:pPr>
        <w:keepNext w:val="0"/>
        <w:keepLines w:val="0"/>
        <w:pageBreakBefore w:val="0"/>
        <w:widowControl/>
        <w:kinsoku/>
        <w:wordWrap/>
        <w:overflowPunct/>
        <w:topLinePunct w:val="0"/>
        <w:autoSpaceDE/>
        <w:autoSpaceDN/>
        <w:bidi w:val="0"/>
        <w:adjustRightInd/>
        <w:snapToGrid/>
        <w:spacing w:line="540" w:lineRule="exact"/>
        <w:jc w:val="center"/>
        <w:textAlignment w:val="auto"/>
        <w:rPr>
          <w:rFonts w:hint="eastAsia" w:ascii="黑体" w:hAnsi="黑体" w:eastAsia="黑体" w:cs="黑体"/>
          <w:color w:val="auto"/>
          <w:kern w:val="0"/>
          <w:sz w:val="32"/>
          <w:szCs w:val="32"/>
        </w:rPr>
      </w:pPr>
      <w:r>
        <w:rPr>
          <w:rFonts w:hint="eastAsia" w:ascii="黑体" w:hAnsi="黑体" w:eastAsia="黑体" w:cs="黑体"/>
          <w:color w:val="auto"/>
          <w:kern w:val="0"/>
          <w:sz w:val="36"/>
          <w:szCs w:val="36"/>
        </w:rPr>
        <w:t>海洋学院202</w:t>
      </w:r>
      <w:r>
        <w:rPr>
          <w:rFonts w:hint="eastAsia" w:ascii="黑体" w:hAnsi="黑体" w:eastAsia="黑体" w:cs="黑体"/>
          <w:color w:val="auto"/>
          <w:kern w:val="0"/>
          <w:sz w:val="36"/>
          <w:szCs w:val="36"/>
          <w:lang w:val="en-US" w:eastAsia="zh-CN"/>
        </w:rPr>
        <w:t>5</w:t>
      </w:r>
      <w:r>
        <w:rPr>
          <w:rFonts w:hint="eastAsia" w:ascii="黑体" w:hAnsi="黑体" w:eastAsia="黑体" w:cs="黑体"/>
          <w:color w:val="auto"/>
          <w:kern w:val="0"/>
          <w:sz w:val="36"/>
          <w:szCs w:val="36"/>
        </w:rPr>
        <w:t>年推荐优秀应届本科毕业生免试攻读研究生遴选工作实施细则</w:t>
      </w:r>
    </w:p>
    <w:p w14:paraId="29C70EBD">
      <w:pPr>
        <w:keepNext w:val="0"/>
        <w:keepLines w:val="0"/>
        <w:pageBreakBefore w:val="0"/>
        <w:widowControl/>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kern w:val="0"/>
          <w:sz w:val="32"/>
          <w:szCs w:val="32"/>
        </w:rPr>
      </w:pPr>
    </w:p>
    <w:p w14:paraId="642F4F96">
      <w:pPr>
        <w:keepNext w:val="0"/>
        <w:keepLines w:val="0"/>
        <w:pageBreakBefore w:val="0"/>
        <w:widowControl/>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color w:val="auto"/>
          <w:kern w:val="0"/>
          <w:sz w:val="32"/>
          <w:szCs w:val="32"/>
        </w:rPr>
      </w:pPr>
      <w:r>
        <w:rPr>
          <w:rFonts w:hint="eastAsia" w:ascii="仿宋_GB2312" w:hAnsi="仿宋_GB2312" w:eastAsia="仿宋_GB2312" w:cs="仿宋_GB2312"/>
          <w:b w:val="0"/>
          <w:bCs w:val="0"/>
          <w:color w:val="auto"/>
          <w:kern w:val="0"/>
          <w:sz w:val="32"/>
          <w:szCs w:val="32"/>
        </w:rPr>
        <w:t>为保障学院2025年推荐优秀应届本科毕业生免试攻读研究生工作的顺利开展，根据教育部有关文件以及《福建农林大学推荐优秀应届本科毕业生免试攻读研究生遴选工作实施办法》（闽农林大教〔2021〕12号）《2025年推免生遴选工作领导小组第一次会议纪要》等文件精神，结合我院实际，制订以下工作实施细则，指导我院2025年研究生推免工作。</w:t>
      </w:r>
    </w:p>
    <w:p w14:paraId="3DB7C7C7">
      <w:pPr>
        <w:keepNext w:val="0"/>
        <w:keepLines w:val="0"/>
        <w:pageBreakBefore w:val="0"/>
        <w:widowControl/>
        <w:kinsoku/>
        <w:wordWrap/>
        <w:overflowPunct/>
        <w:topLinePunct w:val="0"/>
        <w:autoSpaceDE/>
        <w:autoSpaceDN/>
        <w:bidi w:val="0"/>
        <w:adjustRightInd/>
        <w:snapToGrid/>
        <w:spacing w:line="540" w:lineRule="exact"/>
        <w:ind w:firstLine="643" w:firstLineChars="200"/>
        <w:jc w:val="both"/>
        <w:textAlignment w:val="auto"/>
        <w:rPr>
          <w:rFonts w:hint="eastAsia" w:ascii="仿宋_GB2312" w:hAnsi="仿宋_GB2312" w:eastAsia="仿宋_GB2312" w:cs="仿宋_GB2312"/>
          <w:b/>
          <w:bCs/>
          <w:color w:val="auto"/>
          <w:kern w:val="0"/>
          <w:sz w:val="32"/>
          <w:szCs w:val="32"/>
        </w:rPr>
      </w:pPr>
      <w:r>
        <w:rPr>
          <w:rFonts w:hint="eastAsia" w:ascii="仿宋_GB2312" w:hAnsi="仿宋_GB2312" w:eastAsia="仿宋_GB2312" w:cs="仿宋_GB2312"/>
          <w:b/>
          <w:bCs/>
          <w:color w:val="auto"/>
          <w:kern w:val="0"/>
          <w:sz w:val="32"/>
          <w:szCs w:val="32"/>
        </w:rPr>
        <w:t>一、组织与管理</w:t>
      </w:r>
    </w:p>
    <w:p w14:paraId="415BA498">
      <w:pPr>
        <w:keepNext w:val="0"/>
        <w:keepLines w:val="0"/>
        <w:pageBreakBefore w:val="0"/>
        <w:widowControl/>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学院成立推免生遴选工作小组，全面负责推免生遴选的各项工作。小组组长由</w:t>
      </w:r>
      <w:r>
        <w:rPr>
          <w:rFonts w:hint="eastAsia" w:ascii="仿宋_GB2312" w:hAnsi="仿宋_GB2312" w:eastAsia="仿宋_GB2312" w:cs="仿宋_GB2312"/>
          <w:color w:val="auto"/>
          <w:kern w:val="0"/>
          <w:sz w:val="32"/>
          <w:szCs w:val="32"/>
          <w:lang w:val="en-US" w:eastAsia="zh-CN"/>
        </w:rPr>
        <w:t>学院</w:t>
      </w:r>
      <w:r>
        <w:rPr>
          <w:rFonts w:hint="eastAsia" w:ascii="仿宋_GB2312" w:hAnsi="仿宋_GB2312" w:eastAsia="仿宋_GB2312" w:cs="仿宋_GB2312"/>
          <w:color w:val="auto"/>
          <w:kern w:val="0"/>
          <w:sz w:val="32"/>
          <w:szCs w:val="32"/>
        </w:rPr>
        <w:t>党委书记</w:t>
      </w:r>
      <w:r>
        <w:rPr>
          <w:rFonts w:hint="eastAsia" w:ascii="仿宋_GB2312" w:hAnsi="仿宋_GB2312" w:eastAsia="仿宋_GB2312" w:cs="仿宋_GB2312"/>
          <w:color w:val="auto"/>
          <w:kern w:val="0"/>
          <w:sz w:val="32"/>
          <w:szCs w:val="32"/>
          <w:lang w:val="en-US" w:eastAsia="zh-CN"/>
        </w:rPr>
        <w:t>和</w:t>
      </w:r>
      <w:r>
        <w:rPr>
          <w:rFonts w:hint="eastAsia" w:ascii="仿宋_GB2312" w:hAnsi="仿宋_GB2312" w:eastAsia="仿宋_GB2312" w:cs="仿宋_GB2312"/>
          <w:color w:val="auto"/>
          <w:kern w:val="0"/>
          <w:sz w:val="32"/>
          <w:szCs w:val="32"/>
        </w:rPr>
        <w:t>院长担任，学院分管教学的副院长和分管学生工作的党委副书记任副组长，成员包括学院教授委员会成员、学科带头人、系主任、</w:t>
      </w:r>
      <w:r>
        <w:rPr>
          <w:rFonts w:hint="eastAsia" w:ascii="仿宋_GB2312" w:hAnsi="仿宋_GB2312" w:eastAsia="仿宋_GB2312" w:cs="仿宋_GB2312"/>
          <w:color w:val="auto"/>
          <w:kern w:val="0"/>
          <w:sz w:val="32"/>
          <w:szCs w:val="32"/>
          <w:lang w:val="en-US" w:eastAsia="zh-CN"/>
        </w:rPr>
        <w:t>教师代表、纪委委员</w:t>
      </w:r>
      <w:r>
        <w:rPr>
          <w:rFonts w:hint="eastAsia" w:ascii="仿宋_GB2312" w:hAnsi="仿宋_GB2312" w:eastAsia="仿宋_GB2312" w:cs="仿宋_GB2312"/>
          <w:color w:val="auto"/>
          <w:kern w:val="0"/>
          <w:sz w:val="32"/>
          <w:szCs w:val="32"/>
        </w:rPr>
        <w:t>等，具体如下：</w:t>
      </w:r>
    </w:p>
    <w:p w14:paraId="2D080A86">
      <w:pPr>
        <w:pStyle w:val="6"/>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40"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shd w:val="clear" w:color="auto" w:fill="FFFFFF"/>
        </w:rPr>
        <w:t>组长：</w:t>
      </w:r>
      <w:r>
        <w:rPr>
          <w:rFonts w:hint="eastAsia" w:ascii="仿宋_GB2312" w:hAnsi="仿宋_GB2312" w:eastAsia="仿宋_GB2312" w:cs="仿宋_GB2312"/>
          <w:color w:val="auto"/>
          <w:sz w:val="32"/>
          <w:szCs w:val="32"/>
          <w:highlight w:val="none"/>
          <w:lang w:val="en-US" w:eastAsia="zh-CN"/>
        </w:rPr>
        <w:t>郑亚凤</w:t>
      </w:r>
      <w:bookmarkStart w:id="0" w:name="_GoBack"/>
      <w:bookmarkEnd w:id="0"/>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 xml:space="preserve">陈新华    </w:t>
      </w:r>
      <w:r>
        <w:rPr>
          <w:rFonts w:hint="eastAsia" w:ascii="仿宋_GB2312" w:hAnsi="仿宋_GB2312" w:eastAsia="仿宋_GB2312" w:cs="仿宋_GB2312"/>
          <w:color w:val="auto"/>
          <w:sz w:val="32"/>
          <w:szCs w:val="32"/>
          <w:highlight w:val="none"/>
          <w:shd w:val="clear" w:color="auto" w:fill="FFFFFF"/>
        </w:rPr>
        <w:t>副组长：</w:t>
      </w:r>
      <w:r>
        <w:rPr>
          <w:rFonts w:hint="eastAsia" w:ascii="仿宋_GB2312" w:hAnsi="仿宋_GB2312" w:eastAsia="仿宋_GB2312" w:cs="仿宋_GB2312"/>
          <w:color w:val="auto"/>
          <w:sz w:val="32"/>
          <w:szCs w:val="32"/>
          <w:highlight w:val="none"/>
        </w:rPr>
        <w:t>余建晖</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赵超</w:t>
      </w:r>
    </w:p>
    <w:p w14:paraId="26385A3B">
      <w:pPr>
        <w:pStyle w:val="6"/>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40" w:lineRule="exact"/>
        <w:ind w:firstLine="640" w:firstLineChars="200"/>
        <w:jc w:val="both"/>
        <w:textAlignment w:val="auto"/>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color w:val="auto"/>
          <w:sz w:val="32"/>
          <w:szCs w:val="32"/>
          <w:shd w:val="clear" w:color="auto" w:fill="FFFFFF"/>
        </w:rPr>
        <w:t>组员：</w:t>
      </w:r>
      <w:r>
        <w:rPr>
          <w:rFonts w:hint="eastAsia" w:ascii="仿宋_GB2312" w:hAnsi="仿宋_GB2312" w:eastAsia="仿宋_GB2312" w:cs="仿宋_GB2312"/>
          <w:color w:val="auto"/>
          <w:kern w:val="0"/>
          <w:sz w:val="32"/>
          <w:szCs w:val="32"/>
        </w:rPr>
        <w:t>黄小红、邵建春、黄雄伟、</w:t>
      </w:r>
      <w:r>
        <w:rPr>
          <w:rFonts w:hint="eastAsia" w:ascii="仿宋_GB2312" w:hAnsi="仿宋_GB2312" w:eastAsia="仿宋_GB2312" w:cs="仿宋_GB2312"/>
          <w:color w:val="auto"/>
          <w:kern w:val="0"/>
          <w:sz w:val="32"/>
          <w:szCs w:val="32"/>
          <w:lang w:val="en-US" w:eastAsia="zh-CN"/>
        </w:rPr>
        <w:t>胡丰晓、张伟妮</w:t>
      </w:r>
    </w:p>
    <w:p w14:paraId="7459A806">
      <w:pPr>
        <w:keepNext w:val="0"/>
        <w:keepLines w:val="0"/>
        <w:pageBreakBefore w:val="0"/>
        <w:widowControl/>
        <w:kinsoku/>
        <w:wordWrap/>
        <w:overflowPunct/>
        <w:topLinePunct w:val="0"/>
        <w:autoSpaceDE/>
        <w:autoSpaceDN/>
        <w:bidi w:val="0"/>
        <w:adjustRightInd/>
        <w:snapToGrid/>
        <w:spacing w:line="540" w:lineRule="exact"/>
        <w:ind w:firstLine="643" w:firstLineChars="200"/>
        <w:jc w:val="both"/>
        <w:textAlignment w:val="auto"/>
        <w:rPr>
          <w:rFonts w:hint="eastAsia" w:ascii="仿宋_GB2312" w:hAnsi="仿宋_GB2312" w:eastAsia="仿宋_GB2312" w:cs="仿宋_GB2312"/>
          <w:b/>
          <w:bCs/>
          <w:color w:val="auto"/>
          <w:kern w:val="0"/>
          <w:sz w:val="32"/>
          <w:szCs w:val="32"/>
        </w:rPr>
      </w:pPr>
      <w:r>
        <w:rPr>
          <w:rFonts w:hint="eastAsia" w:ascii="仿宋_GB2312" w:hAnsi="仿宋_GB2312" w:eastAsia="仿宋_GB2312" w:cs="仿宋_GB2312"/>
          <w:b/>
          <w:bCs/>
          <w:color w:val="auto"/>
          <w:kern w:val="0"/>
          <w:sz w:val="32"/>
          <w:szCs w:val="32"/>
        </w:rPr>
        <w:t>二、推免推荐名额</w:t>
      </w:r>
    </w:p>
    <w:p w14:paraId="2F2D02D4">
      <w:pPr>
        <w:keepNext w:val="0"/>
        <w:keepLines w:val="0"/>
        <w:pageBreakBefore w:val="0"/>
        <w:widowControl/>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color w:val="auto"/>
          <w:kern w:val="0"/>
          <w:sz w:val="32"/>
          <w:szCs w:val="32"/>
        </w:rPr>
        <w:t>推免名额待教育部下达年度总名额后，另文通知</w:t>
      </w:r>
      <w:r>
        <w:rPr>
          <w:rFonts w:hint="eastAsia" w:ascii="仿宋_GB2312" w:hAnsi="仿宋_GB2312" w:eastAsia="仿宋_GB2312" w:cs="仿宋_GB2312"/>
          <w:color w:val="auto"/>
          <w:kern w:val="0"/>
          <w:sz w:val="32"/>
          <w:szCs w:val="32"/>
          <w:lang w:eastAsia="zh-CN"/>
        </w:rPr>
        <w:t>。</w:t>
      </w:r>
    </w:p>
    <w:p w14:paraId="62AC9056">
      <w:pPr>
        <w:keepNext w:val="0"/>
        <w:keepLines w:val="0"/>
        <w:pageBreakBefore w:val="0"/>
        <w:widowControl/>
        <w:kinsoku/>
        <w:wordWrap/>
        <w:overflowPunct/>
        <w:topLinePunct w:val="0"/>
        <w:autoSpaceDE/>
        <w:autoSpaceDN/>
        <w:bidi w:val="0"/>
        <w:adjustRightInd/>
        <w:snapToGrid/>
        <w:spacing w:line="540" w:lineRule="exact"/>
        <w:ind w:firstLine="643" w:firstLineChars="200"/>
        <w:jc w:val="both"/>
        <w:textAlignment w:val="auto"/>
        <w:rPr>
          <w:rFonts w:hint="eastAsia" w:ascii="仿宋_GB2312" w:hAnsi="仿宋_GB2312" w:eastAsia="仿宋_GB2312" w:cs="仿宋_GB2312"/>
          <w:b/>
          <w:bCs/>
          <w:color w:val="auto"/>
          <w:kern w:val="0"/>
          <w:sz w:val="32"/>
          <w:szCs w:val="32"/>
        </w:rPr>
      </w:pPr>
      <w:r>
        <w:rPr>
          <w:rFonts w:hint="eastAsia" w:ascii="仿宋_GB2312" w:hAnsi="仿宋_GB2312" w:eastAsia="仿宋_GB2312" w:cs="仿宋_GB2312"/>
          <w:b/>
          <w:bCs/>
          <w:color w:val="auto"/>
          <w:kern w:val="0"/>
          <w:sz w:val="32"/>
          <w:szCs w:val="32"/>
        </w:rPr>
        <w:t>三、推免推荐条件</w:t>
      </w:r>
    </w:p>
    <w:p w14:paraId="5011C04B">
      <w:pPr>
        <w:keepNext w:val="0"/>
        <w:keepLines w:val="0"/>
        <w:pageBreakBefore w:val="0"/>
        <w:widowControl/>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1.水产养殖学专业202</w:t>
      </w:r>
      <w:r>
        <w:rPr>
          <w:rFonts w:hint="eastAsia" w:ascii="仿宋_GB2312" w:hAnsi="仿宋_GB2312" w:eastAsia="仿宋_GB2312" w:cs="仿宋_GB2312"/>
          <w:color w:val="auto"/>
          <w:kern w:val="0"/>
          <w:sz w:val="32"/>
          <w:szCs w:val="32"/>
          <w:lang w:val="en-US" w:eastAsia="zh-CN"/>
        </w:rPr>
        <w:t>5</w:t>
      </w:r>
      <w:r>
        <w:rPr>
          <w:rFonts w:hint="eastAsia" w:ascii="仿宋_GB2312" w:hAnsi="仿宋_GB2312" w:eastAsia="仿宋_GB2312" w:cs="仿宋_GB2312"/>
          <w:color w:val="auto"/>
          <w:kern w:val="0"/>
          <w:sz w:val="32"/>
          <w:szCs w:val="32"/>
        </w:rPr>
        <w:t>年应届</w:t>
      </w:r>
      <w:r>
        <w:rPr>
          <w:rFonts w:hint="eastAsia" w:ascii="仿宋_GB2312" w:hAnsi="仿宋_GB2312" w:eastAsia="仿宋_GB2312" w:cs="仿宋_GB2312"/>
          <w:color w:val="auto"/>
          <w:kern w:val="0"/>
          <w:sz w:val="32"/>
          <w:szCs w:val="32"/>
          <w:lang w:val="en-US" w:eastAsia="zh-CN"/>
        </w:rPr>
        <w:t>本科</w:t>
      </w:r>
      <w:r>
        <w:rPr>
          <w:rFonts w:hint="eastAsia" w:ascii="仿宋_GB2312" w:hAnsi="仿宋_GB2312" w:eastAsia="仿宋_GB2312" w:cs="仿宋_GB2312"/>
          <w:color w:val="auto"/>
          <w:kern w:val="0"/>
          <w:sz w:val="32"/>
          <w:szCs w:val="32"/>
        </w:rPr>
        <w:t>毕业生；在校期间政治思想表现良好，大学前三年综合测评中德育测评分数（平均分）不得低于80分。</w:t>
      </w:r>
    </w:p>
    <w:p w14:paraId="57F01CA1">
      <w:pPr>
        <w:keepNext w:val="0"/>
        <w:keepLines w:val="0"/>
        <w:pageBreakBefore w:val="0"/>
        <w:widowControl/>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2.在学期间，无任何违法违纪受处分记录，无任何考试作弊和剽窃他人学术成果记录</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外语成绩良好，大学英语（CET）四级考试成绩达425分及以上</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或者雅思考试成绩不低于5.5分（托福、GRE等可参照认定）。在校学习期间本科专业培养计划课程无补考。</w:t>
      </w:r>
    </w:p>
    <w:p w14:paraId="2043DD47">
      <w:pPr>
        <w:keepNext w:val="0"/>
        <w:keepLines w:val="0"/>
        <w:pageBreakBefore w:val="0"/>
        <w:widowControl/>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3.学习成绩优良，以大学第一至三学年综合测评中智育测评分数（平均分）测算结果为依据，在本专业同年级排名前20%，按排名顺序推荐。推荐的原则按以下递进关系进行筛选：</w:t>
      </w:r>
    </w:p>
    <w:p w14:paraId="51B8FC7B">
      <w:pPr>
        <w:keepNext w:val="0"/>
        <w:keepLines w:val="0"/>
        <w:pageBreakBefore w:val="0"/>
        <w:widowControl/>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kern w:val="0"/>
          <w:sz w:val="32"/>
          <w:szCs w:val="32"/>
          <w:highlight w:val="none"/>
          <w:lang w:eastAsia="zh-CN"/>
        </w:rPr>
      </w:pPr>
      <w:r>
        <w:rPr>
          <w:rFonts w:hint="eastAsia" w:ascii="仿宋_GB2312" w:hAnsi="仿宋_GB2312" w:eastAsia="仿宋_GB2312" w:cs="仿宋_GB2312"/>
          <w:color w:val="auto"/>
          <w:kern w:val="0"/>
          <w:sz w:val="32"/>
          <w:szCs w:val="32"/>
          <w:highlight w:val="none"/>
        </w:rPr>
        <w:t>（1）按智育成绩专业排名，位次靠前者优先</w:t>
      </w:r>
      <w:r>
        <w:rPr>
          <w:rFonts w:hint="eastAsia" w:ascii="仿宋_GB2312" w:hAnsi="仿宋_GB2312" w:eastAsia="仿宋_GB2312" w:cs="仿宋_GB2312"/>
          <w:color w:val="auto"/>
          <w:kern w:val="0"/>
          <w:sz w:val="32"/>
          <w:szCs w:val="32"/>
          <w:highlight w:val="none"/>
          <w:lang w:eastAsia="zh-CN"/>
        </w:rPr>
        <w:t>；</w:t>
      </w:r>
    </w:p>
    <w:p w14:paraId="4F87B11C">
      <w:pPr>
        <w:keepNext w:val="0"/>
        <w:keepLines w:val="0"/>
        <w:pageBreakBefore w:val="0"/>
        <w:widowControl/>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（2）位次排名相同，以通过CET-6者优先；</w:t>
      </w:r>
    </w:p>
    <w:p w14:paraId="5581B799">
      <w:pPr>
        <w:keepNext w:val="0"/>
        <w:keepLines w:val="0"/>
        <w:pageBreakBefore w:val="0"/>
        <w:widowControl/>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（3）CET考试同级者，成绩高者优先。</w:t>
      </w:r>
    </w:p>
    <w:p w14:paraId="7CA8595D">
      <w:pPr>
        <w:keepNext w:val="0"/>
        <w:keepLines w:val="0"/>
        <w:pageBreakBefore w:val="0"/>
        <w:widowControl/>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4.</w:t>
      </w:r>
      <w:r>
        <w:rPr>
          <w:rFonts w:hint="eastAsia" w:ascii="仿宋_GB2312" w:hAnsi="仿宋_GB2312" w:eastAsia="仿宋_GB2312" w:cs="仿宋_GB2312"/>
          <w:color w:val="auto"/>
          <w:sz w:val="32"/>
          <w:szCs w:val="32"/>
        </w:rPr>
        <w:t>符合以下条件之一者，视为“学术特长生”，可参加“学术特长生”推荐免试研究生申请。</w:t>
      </w:r>
    </w:p>
    <w:p w14:paraId="2A68253E">
      <w:pPr>
        <w:keepNext w:val="0"/>
        <w:keepLines w:val="0"/>
        <w:pageBreakBefore w:val="0"/>
        <w:widowControl/>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（1）“互联网+”大学生创新创业大赛全国赛中获得金奖项目，其核心成员（团队排名前</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名）中的学生</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获得银奖项目，其核心成员（团队排名前</w:t>
      </w: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rPr>
        <w:t xml:space="preserve">名）中的学生。    </w:t>
      </w:r>
    </w:p>
    <w:p w14:paraId="2011F1FD">
      <w:pPr>
        <w:keepNext w:val="0"/>
        <w:keepLines w:val="0"/>
        <w:pageBreakBefore w:val="0"/>
        <w:widowControl/>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（2）“挑战杯”大学生课外学术科技作品竞赛全国赛中获得特等奖项目，其核心成员（团队排名前2名</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中的学生</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获得一等奖项目，其核心成员（团队排名第1名</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中的学生。</w:t>
      </w:r>
    </w:p>
    <w:p w14:paraId="6CDC692B">
      <w:pPr>
        <w:keepNext w:val="0"/>
        <w:keepLines w:val="0"/>
        <w:pageBreakBefore w:val="0"/>
        <w:widowControl/>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（3）“创青春”大学生创业大赛全国赛中获得金奖项目，其核心成员（团队排名前2名)中的学生</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获得银奖项目，其核心成员（团队排名第1名</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中的学生。</w:t>
      </w:r>
    </w:p>
    <w:p w14:paraId="2944101F">
      <w:pPr>
        <w:keepNext w:val="0"/>
        <w:keepLines w:val="0"/>
        <w:pageBreakBefore w:val="0"/>
        <w:widowControl/>
        <w:kinsoku/>
        <w:wordWrap/>
        <w:overflowPunct/>
        <w:topLinePunct w:val="0"/>
        <w:autoSpaceDE/>
        <w:autoSpaceDN/>
        <w:bidi w:val="0"/>
        <w:adjustRightInd/>
        <w:snapToGrid/>
        <w:spacing w:line="540" w:lineRule="exact"/>
        <w:ind w:firstLine="643" w:firstLineChars="200"/>
        <w:jc w:val="both"/>
        <w:textAlignment w:val="auto"/>
        <w:rPr>
          <w:rFonts w:hint="eastAsia" w:ascii="仿宋_GB2312" w:hAnsi="仿宋_GB2312" w:eastAsia="仿宋_GB2312" w:cs="仿宋_GB2312"/>
          <w:b/>
          <w:bCs/>
          <w:color w:val="auto"/>
          <w:kern w:val="0"/>
          <w:sz w:val="32"/>
          <w:szCs w:val="32"/>
        </w:rPr>
      </w:pPr>
      <w:r>
        <w:rPr>
          <w:rFonts w:hint="eastAsia" w:ascii="仿宋_GB2312" w:hAnsi="仿宋_GB2312" w:eastAsia="仿宋_GB2312" w:cs="仿宋_GB2312"/>
          <w:b/>
          <w:bCs/>
          <w:color w:val="auto"/>
          <w:kern w:val="0"/>
          <w:sz w:val="32"/>
          <w:szCs w:val="32"/>
        </w:rPr>
        <w:t>四、推荐程序</w:t>
      </w:r>
    </w:p>
    <w:p w14:paraId="5D28EE0B">
      <w:pPr>
        <w:keepNext w:val="0"/>
        <w:keepLines w:val="0"/>
        <w:pageBreakBefore w:val="0"/>
        <w:widowControl/>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color w:val="auto"/>
          <w:kern w:val="0"/>
          <w:sz w:val="32"/>
          <w:szCs w:val="32"/>
        </w:rPr>
        <w:t>1.学生申请，学生本人填写“福建农林大学202</w:t>
      </w:r>
      <w:r>
        <w:rPr>
          <w:rFonts w:hint="eastAsia" w:ascii="仿宋_GB2312" w:hAnsi="仿宋_GB2312" w:eastAsia="仿宋_GB2312" w:cs="仿宋_GB2312"/>
          <w:color w:val="auto"/>
          <w:kern w:val="0"/>
          <w:sz w:val="32"/>
          <w:szCs w:val="32"/>
          <w:lang w:val="en-US" w:eastAsia="zh-CN"/>
        </w:rPr>
        <w:t>5</w:t>
      </w:r>
      <w:r>
        <w:rPr>
          <w:rFonts w:hint="eastAsia" w:ascii="仿宋_GB2312" w:hAnsi="仿宋_GB2312" w:eastAsia="仿宋_GB2312" w:cs="仿宋_GB2312"/>
          <w:color w:val="auto"/>
          <w:kern w:val="0"/>
          <w:sz w:val="32"/>
          <w:szCs w:val="32"/>
        </w:rPr>
        <w:t>年推免生资格申请表”</w:t>
      </w:r>
      <w:r>
        <w:rPr>
          <w:rFonts w:hint="eastAsia" w:ascii="仿宋_GB2312" w:hAnsi="仿宋_GB2312" w:eastAsia="仿宋_GB2312" w:cs="仿宋_GB2312"/>
          <w:color w:val="auto"/>
          <w:kern w:val="0"/>
          <w:sz w:val="32"/>
          <w:szCs w:val="32"/>
          <w:lang w:eastAsia="zh-CN"/>
        </w:rPr>
        <w:t>；</w:t>
      </w:r>
    </w:p>
    <w:p w14:paraId="40E05245">
      <w:pPr>
        <w:keepNext w:val="0"/>
        <w:keepLines w:val="0"/>
        <w:pageBreakBefore w:val="0"/>
        <w:widowControl/>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2.资格审核，学院对报名学生进行资格审核；</w:t>
      </w:r>
    </w:p>
    <w:p w14:paraId="11BF4385">
      <w:pPr>
        <w:keepNext w:val="0"/>
        <w:keepLines w:val="0"/>
        <w:pageBreakBefore w:val="0"/>
        <w:widowControl/>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3.综合考核，学院根据学校下达的推免指标，按大学前三年综合测评中智育测评分数排名，确定初选名单。初选名单经学院推免生遴选工作小组讨论通过后在网站上公示。</w:t>
      </w:r>
    </w:p>
    <w:p w14:paraId="45F15246">
      <w:pPr>
        <w:keepNext w:val="0"/>
        <w:keepLines w:val="0"/>
        <w:pageBreakBefore w:val="0"/>
        <w:widowControl/>
        <w:kinsoku/>
        <w:wordWrap/>
        <w:overflowPunct/>
        <w:topLinePunct w:val="0"/>
        <w:autoSpaceDE/>
        <w:autoSpaceDN/>
        <w:bidi w:val="0"/>
        <w:adjustRightInd/>
        <w:snapToGrid/>
        <w:spacing w:line="540" w:lineRule="exact"/>
        <w:jc w:val="both"/>
        <w:textAlignment w:val="auto"/>
        <w:rPr>
          <w:rFonts w:hint="eastAsia" w:ascii="仿宋_GB2312" w:hAnsi="仿宋_GB2312" w:eastAsia="仿宋_GB2312" w:cs="仿宋_GB2312"/>
          <w:b/>
          <w:bCs/>
          <w:color w:val="auto"/>
          <w:kern w:val="0"/>
          <w:sz w:val="32"/>
          <w:szCs w:val="32"/>
        </w:rPr>
      </w:pPr>
      <w:r>
        <w:rPr>
          <w:rFonts w:hint="eastAsia" w:ascii="仿宋_GB2312" w:hAnsi="仿宋_GB2312" w:eastAsia="仿宋_GB2312" w:cs="仿宋_GB2312"/>
          <w:b/>
          <w:bCs/>
          <w:color w:val="auto"/>
          <w:kern w:val="0"/>
          <w:sz w:val="32"/>
          <w:szCs w:val="32"/>
        </w:rPr>
        <w:t>五、时间安排</w:t>
      </w:r>
    </w:p>
    <w:p w14:paraId="3BE9BF92">
      <w:pPr>
        <w:keepNext w:val="0"/>
        <w:keepLines w:val="0"/>
        <w:pageBreakBefore w:val="0"/>
        <w:widowControl/>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highlight w:val="none"/>
        </w:rPr>
        <w:t>1.符合推免条件的学生</w:t>
      </w:r>
      <w:r>
        <w:rPr>
          <w:rFonts w:hint="eastAsia" w:ascii="仿宋_GB2312" w:hAnsi="仿宋_GB2312" w:eastAsia="仿宋_GB2312" w:cs="仿宋_GB2312"/>
          <w:color w:val="auto"/>
          <w:kern w:val="0"/>
          <w:sz w:val="32"/>
          <w:szCs w:val="32"/>
          <w:highlight w:val="none"/>
          <w:lang w:eastAsia="zh-CN"/>
        </w:rPr>
        <w:t>，由本人自愿向学院提出申请（申请时间另行通知），并提交相应证明材料。未申请或逾期申请者，视为自动放弃。</w:t>
      </w:r>
    </w:p>
    <w:p w14:paraId="5A55124D">
      <w:pPr>
        <w:keepNext w:val="0"/>
        <w:keepLines w:val="0"/>
        <w:pageBreakBefore w:val="0"/>
        <w:widowControl/>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2.学院网站对拟推免生初选名单进行公示（3个工作日），公示无异议后</w:t>
      </w:r>
      <w:r>
        <w:rPr>
          <w:rFonts w:hint="eastAsia" w:ascii="仿宋_GB2312" w:hAnsi="仿宋_GB2312" w:eastAsia="仿宋_GB2312" w:cs="仿宋_GB2312"/>
          <w:color w:val="auto"/>
          <w:kern w:val="0"/>
          <w:sz w:val="32"/>
          <w:szCs w:val="32"/>
          <w:lang w:eastAsia="zh-CN"/>
        </w:rPr>
        <w:t>，将初选名单连同有关材料报送</w:t>
      </w:r>
      <w:r>
        <w:rPr>
          <w:rFonts w:hint="eastAsia" w:ascii="仿宋_GB2312" w:hAnsi="仿宋_GB2312" w:eastAsia="仿宋_GB2312" w:cs="仿宋_GB2312"/>
          <w:color w:val="auto"/>
          <w:kern w:val="0"/>
          <w:sz w:val="32"/>
          <w:szCs w:val="32"/>
        </w:rPr>
        <w:t>学校。</w:t>
      </w:r>
    </w:p>
    <w:p w14:paraId="4CC743E2">
      <w:pPr>
        <w:keepNext w:val="0"/>
        <w:keepLines w:val="0"/>
        <w:pageBreakBefore w:val="0"/>
        <w:widowControl/>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3.所有拟推免生正式取得推免资格后</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kern w:val="0"/>
          <w:sz w:val="32"/>
          <w:szCs w:val="32"/>
        </w:rPr>
        <w:t>应在规定时间内登陆中国研究生招生信息网（</w:t>
      </w:r>
      <w:r>
        <w:rPr>
          <w:rFonts w:hint="eastAsia" w:ascii="仿宋_GB2312" w:hAnsi="仿宋_GB2312" w:eastAsia="仿宋_GB2312" w:cs="仿宋_GB2312"/>
          <w:color w:val="auto"/>
          <w:sz w:val="32"/>
          <w:szCs w:val="32"/>
        </w:rPr>
        <w:fldChar w:fldCharType="begin"/>
      </w:r>
      <w:r>
        <w:rPr>
          <w:rFonts w:hint="eastAsia" w:ascii="仿宋_GB2312" w:hAnsi="仿宋_GB2312" w:eastAsia="仿宋_GB2312" w:cs="仿宋_GB2312"/>
          <w:color w:val="auto"/>
          <w:sz w:val="32"/>
          <w:szCs w:val="32"/>
        </w:rPr>
        <w:instrText xml:space="preserve"> HYPERLINK "http://yz.chsi.com.cn/" </w:instrText>
      </w:r>
      <w:r>
        <w:rPr>
          <w:rFonts w:hint="eastAsia" w:ascii="仿宋_GB2312" w:hAnsi="仿宋_GB2312" w:eastAsia="仿宋_GB2312" w:cs="仿宋_GB2312"/>
          <w:color w:val="auto"/>
          <w:sz w:val="32"/>
          <w:szCs w:val="32"/>
        </w:rPr>
        <w:fldChar w:fldCharType="separate"/>
      </w:r>
      <w:r>
        <w:rPr>
          <w:rFonts w:hint="eastAsia" w:ascii="仿宋_GB2312" w:hAnsi="仿宋_GB2312" w:eastAsia="仿宋_GB2312" w:cs="仿宋_GB2312"/>
          <w:color w:val="auto"/>
          <w:kern w:val="0"/>
          <w:sz w:val="32"/>
          <w:szCs w:val="32"/>
        </w:rPr>
        <w:t>http://yz.chsi.com.cn/</w:t>
      </w:r>
      <w:r>
        <w:rPr>
          <w:rFonts w:hint="eastAsia" w:ascii="仿宋_GB2312" w:hAnsi="仿宋_GB2312" w:eastAsia="仿宋_GB2312" w:cs="仿宋_GB2312"/>
          <w:color w:val="auto"/>
          <w:kern w:val="0"/>
          <w:sz w:val="32"/>
          <w:szCs w:val="32"/>
        </w:rPr>
        <w:fldChar w:fldCharType="end"/>
      </w:r>
      <w:r>
        <w:rPr>
          <w:rFonts w:hint="eastAsia" w:ascii="仿宋_GB2312" w:hAnsi="仿宋_GB2312" w:eastAsia="仿宋_GB2312" w:cs="仿宋_GB2312"/>
          <w:color w:val="auto"/>
          <w:kern w:val="0"/>
          <w:sz w:val="32"/>
          <w:szCs w:val="32"/>
        </w:rPr>
        <w:t>）注册、关联学籍、填写个人基本信息、网上支付报名费，并根据个人意愿填报招生单位，按照招生单位要求参加复试。</w:t>
      </w:r>
    </w:p>
    <w:p w14:paraId="1ED086EA">
      <w:pPr>
        <w:keepNext w:val="0"/>
        <w:keepLines w:val="0"/>
        <w:pageBreakBefore w:val="0"/>
        <w:widowControl/>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本实施细则未尽事宜，由学院推免生遴选工作小组研究讨论通过后</w:t>
      </w:r>
      <w:r>
        <w:rPr>
          <w:rFonts w:hint="eastAsia" w:ascii="仿宋_GB2312" w:hAnsi="仿宋_GB2312" w:eastAsia="仿宋_GB2312" w:cs="仿宋_GB2312"/>
          <w:color w:val="auto"/>
          <w:kern w:val="0"/>
          <w:sz w:val="32"/>
          <w:szCs w:val="32"/>
          <w:lang w:eastAsia="zh-CN"/>
        </w:rPr>
        <w:t>，再提交学院党政联席会议讨论</w:t>
      </w:r>
      <w:r>
        <w:rPr>
          <w:rFonts w:hint="eastAsia" w:ascii="仿宋_GB2312" w:hAnsi="仿宋_GB2312" w:eastAsia="仿宋_GB2312" w:cs="仿宋_GB2312"/>
          <w:color w:val="auto"/>
          <w:kern w:val="0"/>
          <w:sz w:val="32"/>
          <w:szCs w:val="32"/>
          <w:lang w:val="en-US" w:eastAsia="zh-CN"/>
        </w:rPr>
        <w:t>研究</w:t>
      </w:r>
      <w:r>
        <w:rPr>
          <w:rFonts w:hint="eastAsia" w:ascii="仿宋_GB2312" w:hAnsi="仿宋_GB2312" w:eastAsia="仿宋_GB2312" w:cs="仿宋_GB2312"/>
          <w:color w:val="auto"/>
          <w:kern w:val="0"/>
          <w:sz w:val="32"/>
          <w:szCs w:val="32"/>
        </w:rPr>
        <w:t>。</w:t>
      </w:r>
    </w:p>
    <w:p w14:paraId="2DF4A6E9">
      <w:pPr>
        <w:keepNext w:val="0"/>
        <w:keepLines w:val="0"/>
        <w:pageBreakBefore w:val="0"/>
        <w:widowControl/>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color w:val="auto"/>
          <w:kern w:val="0"/>
          <w:sz w:val="32"/>
          <w:szCs w:val="32"/>
        </w:rPr>
        <w:t>推免生遴选工作监督电话：0591-83791866</w:t>
      </w:r>
      <w:r>
        <w:rPr>
          <w:rFonts w:hint="eastAsia" w:ascii="仿宋_GB2312" w:hAnsi="仿宋_GB2312" w:eastAsia="仿宋_GB2312" w:cs="仿宋_GB2312"/>
          <w:color w:val="auto"/>
          <w:kern w:val="0"/>
          <w:sz w:val="32"/>
          <w:szCs w:val="32"/>
          <w:lang w:eastAsia="zh-CN"/>
        </w:rPr>
        <w:t>。</w:t>
      </w:r>
    </w:p>
    <w:p w14:paraId="5D529CA2">
      <w:pPr>
        <w:keepNext w:val="0"/>
        <w:keepLines w:val="0"/>
        <w:pageBreakBefore w:val="0"/>
        <w:widowControl/>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kern w:val="0"/>
          <w:sz w:val="32"/>
          <w:szCs w:val="32"/>
        </w:rPr>
      </w:pPr>
    </w:p>
    <w:p w14:paraId="75E87CE8">
      <w:pPr>
        <w:keepNext w:val="0"/>
        <w:keepLines w:val="0"/>
        <w:pageBreakBefore w:val="0"/>
        <w:widowControl/>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 xml:space="preserve">                            </w:t>
      </w:r>
    </w:p>
    <w:p w14:paraId="71B36CB1">
      <w:pPr>
        <w:keepNext w:val="0"/>
        <w:keepLines w:val="0"/>
        <w:pageBreakBefore w:val="0"/>
        <w:widowControl/>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 xml:space="preserve">                                      </w:t>
      </w:r>
      <w:r>
        <w:rPr>
          <w:rFonts w:hint="eastAsia" w:ascii="仿宋_GB2312" w:hAnsi="仿宋_GB2312" w:eastAsia="仿宋_GB2312" w:cs="仿宋_GB2312"/>
          <w:color w:val="auto"/>
          <w:kern w:val="0"/>
          <w:sz w:val="32"/>
          <w:szCs w:val="32"/>
        </w:rPr>
        <w:t>海洋学院</w:t>
      </w:r>
    </w:p>
    <w:p w14:paraId="1E706CBA">
      <w:pPr>
        <w:keepNext w:val="0"/>
        <w:keepLines w:val="0"/>
        <w:pageBreakBefore w:val="0"/>
        <w:widowControl/>
        <w:kinsoku/>
        <w:wordWrap/>
        <w:overflowPunct/>
        <w:topLinePunct w:val="0"/>
        <w:autoSpaceDE/>
        <w:autoSpaceDN/>
        <w:bidi w:val="0"/>
        <w:adjustRightInd/>
        <w:snapToGrid/>
        <w:spacing w:line="540" w:lineRule="exact"/>
        <w:jc w:val="righ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 xml:space="preserve">                                 202</w:t>
      </w:r>
      <w:r>
        <w:rPr>
          <w:rFonts w:hint="eastAsia" w:ascii="仿宋_GB2312" w:hAnsi="仿宋_GB2312" w:eastAsia="仿宋_GB2312" w:cs="仿宋_GB2312"/>
          <w:color w:val="auto"/>
          <w:kern w:val="0"/>
          <w:sz w:val="32"/>
          <w:szCs w:val="32"/>
          <w:lang w:val="en-US" w:eastAsia="zh-CN"/>
        </w:rPr>
        <w:t>4</w:t>
      </w:r>
      <w:r>
        <w:rPr>
          <w:rFonts w:hint="eastAsia" w:ascii="仿宋_GB2312" w:hAnsi="仿宋_GB2312" w:eastAsia="仿宋_GB2312" w:cs="仿宋_GB2312"/>
          <w:color w:val="auto"/>
          <w:kern w:val="0"/>
          <w:sz w:val="32"/>
          <w:szCs w:val="32"/>
        </w:rPr>
        <w:t>年</w:t>
      </w:r>
      <w:r>
        <w:rPr>
          <w:rFonts w:hint="eastAsia" w:ascii="仿宋_GB2312" w:hAnsi="仿宋_GB2312" w:eastAsia="仿宋_GB2312" w:cs="仿宋_GB2312"/>
          <w:color w:val="auto"/>
          <w:kern w:val="0"/>
          <w:sz w:val="32"/>
          <w:szCs w:val="32"/>
          <w:lang w:val="en-US" w:eastAsia="zh-CN"/>
        </w:rPr>
        <w:t>7</w:t>
      </w:r>
      <w:r>
        <w:rPr>
          <w:rFonts w:hint="eastAsia" w:ascii="仿宋_GB2312" w:hAnsi="仿宋_GB2312" w:eastAsia="仿宋_GB2312" w:cs="仿宋_GB2312"/>
          <w:color w:val="auto"/>
          <w:kern w:val="0"/>
          <w:sz w:val="32"/>
          <w:szCs w:val="32"/>
        </w:rPr>
        <w:t>月</w:t>
      </w:r>
      <w:r>
        <w:rPr>
          <w:rFonts w:hint="eastAsia" w:ascii="仿宋_GB2312" w:hAnsi="仿宋_GB2312" w:eastAsia="仿宋_GB2312" w:cs="仿宋_GB2312"/>
          <w:color w:val="auto"/>
          <w:kern w:val="0"/>
          <w:sz w:val="32"/>
          <w:szCs w:val="32"/>
          <w:lang w:val="en-US" w:eastAsia="zh-CN"/>
        </w:rPr>
        <w:t>30</w:t>
      </w:r>
      <w:r>
        <w:rPr>
          <w:rFonts w:hint="eastAsia" w:ascii="仿宋_GB2312" w:hAnsi="仿宋_GB2312" w:eastAsia="仿宋_GB2312" w:cs="仿宋_GB2312"/>
          <w:color w:val="auto"/>
          <w:kern w:val="0"/>
          <w:sz w:val="32"/>
          <w:szCs w:val="32"/>
        </w:rPr>
        <w:t>日</w:t>
      </w:r>
    </w:p>
    <w:sectPr>
      <w:footerReference r:id="rId3" w:type="default"/>
      <w:pgSz w:w="11906" w:h="16838"/>
      <w:pgMar w:top="2041" w:right="1531" w:bottom="2041" w:left="1531"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CACE54">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C80EDE">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4C80EDE">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kzNGI0ZTc5OWUyZWMwZjViOWNlN2Q2OTg2NWJhYmEifQ=="/>
  </w:docVars>
  <w:rsids>
    <w:rsidRoot w:val="00172A27"/>
    <w:rsid w:val="0003144C"/>
    <w:rsid w:val="00044334"/>
    <w:rsid w:val="00066CC3"/>
    <w:rsid w:val="000B1162"/>
    <w:rsid w:val="000F35B0"/>
    <w:rsid w:val="001158C6"/>
    <w:rsid w:val="00125396"/>
    <w:rsid w:val="00173890"/>
    <w:rsid w:val="0019563A"/>
    <w:rsid w:val="001B467E"/>
    <w:rsid w:val="001E274F"/>
    <w:rsid w:val="001E7A40"/>
    <w:rsid w:val="001F588F"/>
    <w:rsid w:val="00216B0D"/>
    <w:rsid w:val="0026142F"/>
    <w:rsid w:val="00271A9B"/>
    <w:rsid w:val="00274358"/>
    <w:rsid w:val="00372041"/>
    <w:rsid w:val="004164E6"/>
    <w:rsid w:val="00471053"/>
    <w:rsid w:val="004A691F"/>
    <w:rsid w:val="005230D7"/>
    <w:rsid w:val="00532AF5"/>
    <w:rsid w:val="005766BE"/>
    <w:rsid w:val="00592A6B"/>
    <w:rsid w:val="005B61C3"/>
    <w:rsid w:val="005D62A4"/>
    <w:rsid w:val="0060576D"/>
    <w:rsid w:val="006C06CD"/>
    <w:rsid w:val="006F3A5D"/>
    <w:rsid w:val="007067B2"/>
    <w:rsid w:val="00756F01"/>
    <w:rsid w:val="00787337"/>
    <w:rsid w:val="007A1C5F"/>
    <w:rsid w:val="007A3040"/>
    <w:rsid w:val="007E423F"/>
    <w:rsid w:val="008675CF"/>
    <w:rsid w:val="008C22CC"/>
    <w:rsid w:val="008F309D"/>
    <w:rsid w:val="00915E37"/>
    <w:rsid w:val="00923EB1"/>
    <w:rsid w:val="00946A95"/>
    <w:rsid w:val="00966187"/>
    <w:rsid w:val="0099249C"/>
    <w:rsid w:val="009E3FF9"/>
    <w:rsid w:val="009E5455"/>
    <w:rsid w:val="00A37535"/>
    <w:rsid w:val="00A433C4"/>
    <w:rsid w:val="00AC6502"/>
    <w:rsid w:val="00AF3D08"/>
    <w:rsid w:val="00B14844"/>
    <w:rsid w:val="00B404AA"/>
    <w:rsid w:val="00B662B0"/>
    <w:rsid w:val="00B701B7"/>
    <w:rsid w:val="00B73030"/>
    <w:rsid w:val="00B87913"/>
    <w:rsid w:val="00CB497B"/>
    <w:rsid w:val="00CF078A"/>
    <w:rsid w:val="00D93EAD"/>
    <w:rsid w:val="00E56679"/>
    <w:rsid w:val="00EC3D71"/>
    <w:rsid w:val="00FA70A6"/>
    <w:rsid w:val="013B2B96"/>
    <w:rsid w:val="02054F52"/>
    <w:rsid w:val="02F86483"/>
    <w:rsid w:val="03E125EC"/>
    <w:rsid w:val="04D24592"/>
    <w:rsid w:val="05353DA0"/>
    <w:rsid w:val="06523838"/>
    <w:rsid w:val="0754675F"/>
    <w:rsid w:val="08962DA7"/>
    <w:rsid w:val="094541D7"/>
    <w:rsid w:val="0998414F"/>
    <w:rsid w:val="09CD27F9"/>
    <w:rsid w:val="0BDE6457"/>
    <w:rsid w:val="0CF050BA"/>
    <w:rsid w:val="0D9163A4"/>
    <w:rsid w:val="0F707EAE"/>
    <w:rsid w:val="10260EB5"/>
    <w:rsid w:val="118C1F04"/>
    <w:rsid w:val="14432869"/>
    <w:rsid w:val="14572875"/>
    <w:rsid w:val="16E54867"/>
    <w:rsid w:val="1800344C"/>
    <w:rsid w:val="18455C50"/>
    <w:rsid w:val="189015C1"/>
    <w:rsid w:val="18A8295E"/>
    <w:rsid w:val="190E0700"/>
    <w:rsid w:val="19B17A41"/>
    <w:rsid w:val="1A0A0EFF"/>
    <w:rsid w:val="1EEE4457"/>
    <w:rsid w:val="1F1745F6"/>
    <w:rsid w:val="1F7C464D"/>
    <w:rsid w:val="21902632"/>
    <w:rsid w:val="219D08AB"/>
    <w:rsid w:val="21D70261"/>
    <w:rsid w:val="23775858"/>
    <w:rsid w:val="241412F8"/>
    <w:rsid w:val="24BF7810"/>
    <w:rsid w:val="25DA20CE"/>
    <w:rsid w:val="272730F1"/>
    <w:rsid w:val="276019D7"/>
    <w:rsid w:val="27B84691"/>
    <w:rsid w:val="27ED2F05"/>
    <w:rsid w:val="280F3776"/>
    <w:rsid w:val="28186EDD"/>
    <w:rsid w:val="285F02A8"/>
    <w:rsid w:val="2AD52E64"/>
    <w:rsid w:val="2CB05936"/>
    <w:rsid w:val="2DD600B0"/>
    <w:rsid w:val="2E7B6B50"/>
    <w:rsid w:val="2F380AB3"/>
    <w:rsid w:val="30D50061"/>
    <w:rsid w:val="313257C4"/>
    <w:rsid w:val="31674D92"/>
    <w:rsid w:val="31B9528D"/>
    <w:rsid w:val="32DC52AD"/>
    <w:rsid w:val="32EC272D"/>
    <w:rsid w:val="34B2081D"/>
    <w:rsid w:val="35CC6426"/>
    <w:rsid w:val="36FE1EE4"/>
    <w:rsid w:val="37B07132"/>
    <w:rsid w:val="386A72E1"/>
    <w:rsid w:val="391334D5"/>
    <w:rsid w:val="3AA34D2C"/>
    <w:rsid w:val="3B862684"/>
    <w:rsid w:val="3D8F7BCA"/>
    <w:rsid w:val="3D9A2417"/>
    <w:rsid w:val="3E407ADA"/>
    <w:rsid w:val="3FB3156E"/>
    <w:rsid w:val="3FD37DC3"/>
    <w:rsid w:val="41504494"/>
    <w:rsid w:val="41D24003"/>
    <w:rsid w:val="430B7913"/>
    <w:rsid w:val="431B4D78"/>
    <w:rsid w:val="445F7F16"/>
    <w:rsid w:val="482A4397"/>
    <w:rsid w:val="493556E9"/>
    <w:rsid w:val="4B6E6C91"/>
    <w:rsid w:val="4BC45398"/>
    <w:rsid w:val="4C0C0983"/>
    <w:rsid w:val="4C4F6AC2"/>
    <w:rsid w:val="4D32215D"/>
    <w:rsid w:val="4E6F51FA"/>
    <w:rsid w:val="4EA8070C"/>
    <w:rsid w:val="4EF76B32"/>
    <w:rsid w:val="4FDB6D6F"/>
    <w:rsid w:val="50102E67"/>
    <w:rsid w:val="50A218B6"/>
    <w:rsid w:val="516D107C"/>
    <w:rsid w:val="51AE7211"/>
    <w:rsid w:val="54880DC3"/>
    <w:rsid w:val="55CC2746"/>
    <w:rsid w:val="562B40FC"/>
    <w:rsid w:val="565A22EB"/>
    <w:rsid w:val="5664316A"/>
    <w:rsid w:val="56C65BD3"/>
    <w:rsid w:val="57201787"/>
    <w:rsid w:val="58C003EE"/>
    <w:rsid w:val="58F61CCC"/>
    <w:rsid w:val="59DB7BE7"/>
    <w:rsid w:val="5B060C94"/>
    <w:rsid w:val="5B1C7D53"/>
    <w:rsid w:val="5D135E3C"/>
    <w:rsid w:val="608D150F"/>
    <w:rsid w:val="637C1792"/>
    <w:rsid w:val="661B74FF"/>
    <w:rsid w:val="68951A5F"/>
    <w:rsid w:val="69CE51D8"/>
    <w:rsid w:val="6C0B576B"/>
    <w:rsid w:val="6CEB251A"/>
    <w:rsid w:val="6E414065"/>
    <w:rsid w:val="6ED749C9"/>
    <w:rsid w:val="6F3239AE"/>
    <w:rsid w:val="710D50D7"/>
    <w:rsid w:val="71D84CE0"/>
    <w:rsid w:val="726E2F4F"/>
    <w:rsid w:val="72780840"/>
    <w:rsid w:val="72C6689B"/>
    <w:rsid w:val="7352575D"/>
    <w:rsid w:val="7399049F"/>
    <w:rsid w:val="73C51294"/>
    <w:rsid w:val="73E060CE"/>
    <w:rsid w:val="73F75652"/>
    <w:rsid w:val="74EE65C9"/>
    <w:rsid w:val="77112A42"/>
    <w:rsid w:val="780672BC"/>
    <w:rsid w:val="7AC0726E"/>
    <w:rsid w:val="7B851426"/>
    <w:rsid w:val="7C097868"/>
    <w:rsid w:val="7C134B67"/>
    <w:rsid w:val="7E5E656D"/>
    <w:rsid w:val="7F96133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name="header"/>
    <w:lsdException w:qFormat="1"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3"/>
    <w:basedOn w:val="1"/>
    <w:next w:val="1"/>
    <w:semiHidden/>
    <w:unhideWhenUsed/>
    <w:qFormat/>
    <w:locked/>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3"/>
    <w:semiHidden/>
    <w:qFormat/>
    <w:uiPriority w:val="99"/>
    <w:rPr>
      <w:sz w:val="18"/>
      <w:szCs w:val="18"/>
    </w:rPr>
  </w:style>
  <w:style w:type="paragraph" w:styleId="4">
    <w:name w:val="footer"/>
    <w:basedOn w:val="1"/>
    <w:link w:val="10"/>
    <w:semiHidden/>
    <w:qFormat/>
    <w:uiPriority w:val="99"/>
    <w:pPr>
      <w:tabs>
        <w:tab w:val="center" w:pos="4153"/>
        <w:tab w:val="right" w:pos="8306"/>
      </w:tabs>
      <w:snapToGrid w:val="0"/>
      <w:jc w:val="left"/>
    </w:pPr>
    <w:rPr>
      <w:sz w:val="18"/>
      <w:szCs w:val="18"/>
    </w:rPr>
  </w:style>
  <w:style w:type="paragraph" w:styleId="5">
    <w:name w:val="header"/>
    <w:basedOn w:val="1"/>
    <w:link w:val="11"/>
    <w:semiHidden/>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100" w:beforeAutospacing="1" w:after="100" w:afterAutospacing="1"/>
      <w:jc w:val="left"/>
    </w:pPr>
    <w:rPr>
      <w:kern w:val="0"/>
      <w:sz w:val="24"/>
    </w:rPr>
  </w:style>
  <w:style w:type="character" w:styleId="9">
    <w:name w:val="Hyperlink"/>
    <w:basedOn w:val="8"/>
    <w:semiHidden/>
    <w:qFormat/>
    <w:uiPriority w:val="99"/>
    <w:rPr>
      <w:rFonts w:ascii="微软雅黑" w:hAnsi="微软雅黑" w:eastAsia="微软雅黑" w:cs="Times New Roman"/>
      <w:color w:val="000000"/>
      <w:sz w:val="13"/>
      <w:szCs w:val="13"/>
      <w:u w:val="none"/>
      <w:shd w:val="clear" w:color="auto" w:fill="auto"/>
      <w:vertAlign w:val="baseline"/>
    </w:rPr>
  </w:style>
  <w:style w:type="character" w:customStyle="1" w:styleId="10">
    <w:name w:val="页脚 字符"/>
    <w:basedOn w:val="8"/>
    <w:link w:val="4"/>
    <w:semiHidden/>
    <w:qFormat/>
    <w:locked/>
    <w:uiPriority w:val="99"/>
    <w:rPr>
      <w:rFonts w:cs="Times New Roman"/>
      <w:sz w:val="18"/>
      <w:szCs w:val="18"/>
    </w:rPr>
  </w:style>
  <w:style w:type="character" w:customStyle="1" w:styleId="11">
    <w:name w:val="页眉 字符"/>
    <w:basedOn w:val="8"/>
    <w:link w:val="5"/>
    <w:semiHidden/>
    <w:qFormat/>
    <w:locked/>
    <w:uiPriority w:val="99"/>
    <w:rPr>
      <w:rFonts w:cs="Times New Roman"/>
      <w:sz w:val="18"/>
      <w:szCs w:val="18"/>
    </w:rPr>
  </w:style>
  <w:style w:type="character" w:customStyle="1" w:styleId="12">
    <w:name w:val="article_title"/>
    <w:basedOn w:val="8"/>
    <w:qFormat/>
    <w:uiPriority w:val="99"/>
    <w:rPr>
      <w:rFonts w:cs="Times New Roman"/>
    </w:rPr>
  </w:style>
  <w:style w:type="character" w:customStyle="1" w:styleId="13">
    <w:name w:val="批注框文本 字符"/>
    <w:basedOn w:val="8"/>
    <w:link w:val="3"/>
    <w:semiHidden/>
    <w:qFormat/>
    <w:locked/>
    <w:uiPriority w:val="99"/>
    <w:rPr>
      <w:rFonts w:cs="Times New Roman"/>
      <w:kern w:val="2"/>
      <w:sz w:val="18"/>
      <w:szCs w:val="18"/>
    </w:rPr>
  </w:style>
  <w:style w:type="paragraph" w:customStyle="1" w:styleId="14">
    <w:name w:val="Revision"/>
    <w:hidden/>
    <w:unhideWhenUsed/>
    <w:qFormat/>
    <w:uiPriority w:val="99"/>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1361</Words>
  <Characters>1447</Characters>
  <Lines>10</Lines>
  <Paragraphs>2</Paragraphs>
  <TotalTime>1</TotalTime>
  <ScaleCrop>false</ScaleCrop>
  <LinksUpToDate>false</LinksUpToDate>
  <CharactersWithSpaces>1554</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2023-08-12T02:37:00Z</dcterms:created>
  <dc:creator>PC</dc:creator>
  <cp:lastModifiedBy>ZHAOCHAO</cp:lastModifiedBy>
  <cp:lastPrinted>2022-09-09T09:48:00Z</cp:lastPrinted>
  <dcterms:modified xsi:type="dcterms:W3CDTF">2024-08-08T07:16:20Z</dcterms:modified>
  <dc:title>为保障学院2021年研究生推免工作的顺利开展，根据《关于做好2021年推荐优秀应届本科毕业生免试攻读研究生工作的通知》（教学司函〔2020〕38号）以及《福建农林大学推荐优秀应届本科毕业生免试攻读研究生遴选工作实施办法（暂行）》（闽农林大教〔2018〕61号，下称“《推免办法》”）等文件精神，结合我院的实际，制订本细则，指导我院2021年研究生推免工作</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0AA7283A722F476E87A30EA7609C8B79_13</vt:lpwstr>
  </property>
</Properties>
</file>