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firstLineChars="200"/>
        <w:jc w:val="center"/>
        <w:rPr>
          <w:rFonts w:ascii="黑体" w:hAnsi="黑体" w:eastAsia="黑体" w:cs="黑体"/>
          <w:sz w:val="32"/>
          <w:szCs w:val="32"/>
        </w:rPr>
      </w:pPr>
      <w:r>
        <w:rPr>
          <w:rFonts w:hint="eastAsia" w:ascii="黑体" w:hAnsi="黑体" w:eastAsia="黑体" w:cs="黑体"/>
          <w:sz w:val="32"/>
          <w:szCs w:val="32"/>
        </w:rPr>
        <w:t>紫金地质与矿业学院2025年推荐优秀应届本科毕业生免试攻读研究生综合素质测评评分细则</w:t>
      </w:r>
    </w:p>
    <w:p>
      <w:pPr>
        <w:ind w:firstLine="560" w:firstLineChars="200"/>
        <w:rPr>
          <w:rFonts w:ascii="方正仿宋_GB2312" w:hAnsi="方正仿宋_GB2312" w:eastAsia="方正仿宋_GB2312" w:cs="方正仿宋_GB2312"/>
          <w:sz w:val="28"/>
          <w:szCs w:val="28"/>
        </w:rPr>
      </w:pPr>
    </w:p>
    <w:p>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推荐优秀应届本科毕业生免试攻读研究生综合素质测评由学院组织考核后形成，主要考核学生科研成果、竞赛获奖、参军入伍服兵役、参加志愿服务、到国际组织实习等项目。综合素质测评占比10%，其中，本专业相关的科研成果、发明创造和学科竞赛占7%，其他占3%。学业综合成绩及纳入综合素质测评指标体系各项目的截止时间为9月7日下午14时，根据学生表现按以下细则进行加分，成果必须以福州大学为第一单位认定。</w:t>
      </w:r>
    </w:p>
    <w:p>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一、本专业相关的科研成果、发明创造和学科竞赛（7%）</w:t>
      </w:r>
    </w:p>
    <w:p>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1.科研成果</w:t>
      </w:r>
    </w:p>
    <w:p>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科研成果是指必须以福州大学为第一单位，内容与学业相关的已经公开发表的</w:t>
      </w:r>
      <w:r>
        <w:rPr>
          <w:rFonts w:hint="eastAsia" w:ascii="方正仿宋_GB2312" w:hAnsi="方正仿宋_GB2312" w:eastAsia="方正仿宋_GB2312" w:cs="方正仿宋_GB2312"/>
          <w:b/>
          <w:bCs/>
          <w:sz w:val="28"/>
          <w:szCs w:val="28"/>
        </w:rPr>
        <w:t>科研论文（不含综述论文）</w:t>
      </w:r>
      <w:r>
        <w:rPr>
          <w:rFonts w:hint="eastAsia" w:ascii="方正仿宋_GB2312" w:hAnsi="方正仿宋_GB2312" w:eastAsia="方正仿宋_GB2312" w:cs="方正仿宋_GB2312"/>
          <w:sz w:val="28"/>
          <w:szCs w:val="28"/>
        </w:rPr>
        <w:t>。以第一作者身份在下表中等级的期刊发表学术论文按照下表进行赋分/篇。学生第二作者且指导导师第一作者，指导老师应出具推荐信，客观陈述学生在联合成果重所作的实际贡献，按照下表分值的一半进行赋分/篇。期刊的认定按照《福州大学关于印发核心学术期刊目录及相关规定2021年版（试行）的通知》（福大人〔2021〕59 号）有关要求执行。</w:t>
      </w:r>
    </w:p>
    <w:p>
      <w:pPr>
        <w:spacing w:line="560" w:lineRule="exact"/>
        <w:jc w:val="center"/>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公开发表论文原始分值评定标准表</w:t>
      </w:r>
    </w:p>
    <w:tbl>
      <w:tblPr>
        <w:tblStyle w:val="6"/>
        <w:tblW w:w="8699" w:type="dxa"/>
        <w:tblInd w:w="0" w:type="dxa"/>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830"/>
        <w:gridCol w:w="4946"/>
        <w:gridCol w:w="1228"/>
        <w:gridCol w:w="1695"/>
      </w:tblGrid>
      <w:tr>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543" w:hRule="atLeast"/>
        </w:trPr>
        <w:tc>
          <w:tcPr>
            <w:tcW w:w="830" w:type="dxa"/>
            <w:tcBorders>
              <w:top w:val="single" w:color="auto" w:sz="6" w:space="0"/>
              <w:left w:val="single" w:color="auto" w:sz="6" w:space="0"/>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项目</w:t>
            </w:r>
          </w:p>
        </w:tc>
        <w:tc>
          <w:tcPr>
            <w:tcW w:w="6174" w:type="dxa"/>
            <w:gridSpan w:val="2"/>
            <w:tcBorders>
              <w:top w:val="single" w:color="auto" w:sz="6" w:space="0"/>
              <w:left w:val="nil"/>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获奖名称和等级</w:t>
            </w:r>
          </w:p>
        </w:tc>
        <w:tc>
          <w:tcPr>
            <w:tcW w:w="1695" w:type="dxa"/>
            <w:tcBorders>
              <w:top w:val="single" w:color="auto" w:sz="6" w:space="0"/>
              <w:left w:val="nil"/>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所得原始分值</w:t>
            </w:r>
          </w:p>
        </w:tc>
      </w:tr>
      <w:tr>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0" w:hRule="atLeast"/>
        </w:trPr>
        <w:tc>
          <w:tcPr>
            <w:tcW w:w="830" w:type="dxa"/>
            <w:vMerge w:val="restart"/>
            <w:tcBorders>
              <w:top w:val="nil"/>
              <w:left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论</w:t>
            </w:r>
          </w:p>
          <w:p>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文</w:t>
            </w:r>
          </w:p>
        </w:tc>
        <w:tc>
          <w:tcPr>
            <w:tcW w:w="4946"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lang w:val="en-US" w:eastAsia="zh-CN"/>
              </w:rPr>
            </w:pPr>
            <w:r>
              <w:rPr>
                <w:rFonts w:hint="eastAsia" w:ascii="方正仿宋_GB2312" w:hAnsi="方正仿宋_GB2312" w:eastAsia="方正仿宋_GB2312" w:cs="方正仿宋_GB2312"/>
                <w:color w:val="333333"/>
                <w:sz w:val="24"/>
                <w:szCs w:val="24"/>
                <w:lang w:val="en-US" w:eastAsia="zh-CN"/>
              </w:rPr>
              <w:t>顶刊</w:t>
            </w:r>
          </w:p>
        </w:tc>
        <w:tc>
          <w:tcPr>
            <w:tcW w:w="1228"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lang w:val="en-US" w:eastAsia="zh-CN"/>
              </w:rPr>
            </w:pPr>
            <w:r>
              <w:rPr>
                <w:rFonts w:hint="eastAsia" w:ascii="方正仿宋_GB2312" w:hAnsi="方正仿宋_GB2312" w:eastAsia="方正仿宋_GB2312" w:cs="方正仿宋_GB2312"/>
                <w:color w:val="333333"/>
                <w:sz w:val="24"/>
                <w:szCs w:val="24"/>
                <w:lang w:val="en-US" w:eastAsia="zh-CN"/>
              </w:rPr>
              <w:t>第一作者</w:t>
            </w:r>
          </w:p>
        </w:tc>
        <w:tc>
          <w:tcPr>
            <w:tcW w:w="1695" w:type="dxa"/>
            <w:tcBorders>
              <w:top w:val="single" w:color="auto" w:sz="6" w:space="0"/>
              <w:left w:val="nil"/>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lang w:val="en-US" w:eastAsia="zh-CN"/>
              </w:rPr>
            </w:pPr>
            <w:r>
              <w:rPr>
                <w:rFonts w:hint="eastAsia" w:ascii="方正仿宋_GB2312" w:hAnsi="方正仿宋_GB2312" w:eastAsia="方正仿宋_GB2312" w:cs="方正仿宋_GB2312"/>
                <w:color w:val="333333"/>
                <w:sz w:val="24"/>
                <w:szCs w:val="24"/>
                <w:lang w:val="en-US" w:eastAsia="zh-CN"/>
              </w:rPr>
              <w:t>7分</w:t>
            </w:r>
          </w:p>
        </w:tc>
      </w:tr>
      <w:tr>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0" w:hRule="atLeast"/>
        </w:trPr>
        <w:tc>
          <w:tcPr>
            <w:tcW w:w="830" w:type="dxa"/>
            <w:vMerge w:val="continue"/>
            <w:tcBorders>
              <w:left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rPr>
            </w:pPr>
          </w:p>
        </w:tc>
        <w:tc>
          <w:tcPr>
            <w:tcW w:w="4946"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卓越期刊</w:t>
            </w:r>
          </w:p>
        </w:tc>
        <w:tc>
          <w:tcPr>
            <w:tcW w:w="1228"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第一作者</w:t>
            </w:r>
          </w:p>
        </w:tc>
        <w:tc>
          <w:tcPr>
            <w:tcW w:w="1695" w:type="dxa"/>
            <w:tcBorders>
              <w:top w:val="single" w:color="auto" w:sz="6" w:space="0"/>
              <w:left w:val="nil"/>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lang w:val="en-US" w:eastAsia="zh-CN"/>
              </w:rPr>
              <w:t>5</w:t>
            </w:r>
            <w:r>
              <w:rPr>
                <w:rFonts w:hint="eastAsia" w:ascii="方正仿宋_GB2312" w:hAnsi="方正仿宋_GB2312" w:eastAsia="方正仿宋_GB2312" w:cs="方正仿宋_GB2312"/>
                <w:color w:val="333333"/>
                <w:sz w:val="24"/>
                <w:szCs w:val="24"/>
              </w:rPr>
              <w:t>分</w:t>
            </w:r>
          </w:p>
        </w:tc>
      </w:tr>
      <w:tr>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0" w:hRule="atLeast"/>
        </w:trPr>
        <w:tc>
          <w:tcPr>
            <w:tcW w:w="830" w:type="dxa"/>
            <w:vMerge w:val="continue"/>
            <w:tcBorders>
              <w:left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rPr>
            </w:pPr>
          </w:p>
        </w:tc>
        <w:tc>
          <w:tcPr>
            <w:tcW w:w="4946"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一类核心刊物</w:t>
            </w:r>
          </w:p>
        </w:tc>
        <w:tc>
          <w:tcPr>
            <w:tcW w:w="1228"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第一作者</w:t>
            </w:r>
          </w:p>
        </w:tc>
        <w:tc>
          <w:tcPr>
            <w:tcW w:w="1695"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3分</w:t>
            </w:r>
          </w:p>
        </w:tc>
      </w:tr>
      <w:tr>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0" w:hRule="atLeast"/>
        </w:trPr>
        <w:tc>
          <w:tcPr>
            <w:tcW w:w="830" w:type="dxa"/>
            <w:vMerge w:val="continue"/>
            <w:tcBorders>
              <w:left w:val="single" w:color="auto" w:sz="6" w:space="0"/>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rPr>
            </w:pPr>
          </w:p>
        </w:tc>
        <w:tc>
          <w:tcPr>
            <w:tcW w:w="4946"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lang w:val="en-US" w:eastAsia="zh-CN"/>
              </w:rPr>
            </w:pPr>
            <w:r>
              <w:rPr>
                <w:rFonts w:hint="eastAsia" w:ascii="方正仿宋_GB2312" w:hAnsi="方正仿宋_GB2312" w:eastAsia="方正仿宋_GB2312" w:cs="方正仿宋_GB2312"/>
                <w:color w:val="333333"/>
                <w:sz w:val="24"/>
                <w:szCs w:val="24"/>
              </w:rPr>
              <w:t>核心期刊</w:t>
            </w:r>
          </w:p>
        </w:tc>
        <w:tc>
          <w:tcPr>
            <w:tcW w:w="1228"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第一作者</w:t>
            </w:r>
          </w:p>
        </w:tc>
        <w:tc>
          <w:tcPr>
            <w:tcW w:w="1695"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2分</w:t>
            </w:r>
          </w:p>
        </w:tc>
      </w:tr>
    </w:tbl>
    <w:p>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w:t>
      </w:r>
      <w:r>
        <w:rPr>
          <w:rFonts w:hint="eastAsia" w:ascii="方正仿宋_GB2312" w:hAnsi="方正仿宋_GB2312" w:eastAsia="方正仿宋_GB2312" w:cs="方正仿宋_GB2312"/>
          <w:sz w:val="28"/>
          <w:szCs w:val="28"/>
          <w:lang w:val="en-US" w:eastAsia="zh-CN"/>
        </w:rPr>
        <w:t>.</w:t>
      </w:r>
      <w:r>
        <w:rPr>
          <w:rFonts w:hint="eastAsia" w:ascii="方正仿宋_GB2312" w:hAnsi="方正仿宋_GB2312" w:eastAsia="方正仿宋_GB2312" w:cs="方正仿宋_GB2312"/>
          <w:sz w:val="28"/>
          <w:szCs w:val="28"/>
        </w:rPr>
        <w:t>发明创造</w:t>
      </w:r>
    </w:p>
    <w:p>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成果必须以福州大学作为专利权人的</w:t>
      </w:r>
      <w:r>
        <w:rPr>
          <w:rFonts w:hint="eastAsia" w:ascii="方正仿宋_GB2312" w:hAnsi="方正仿宋_GB2312" w:eastAsia="方正仿宋_GB2312" w:cs="方正仿宋_GB2312"/>
          <w:sz w:val="28"/>
          <w:szCs w:val="28"/>
          <w:lang w:val="en-US" w:eastAsia="zh-CN"/>
        </w:rPr>
        <w:t>本学科中国</w:t>
      </w:r>
      <w:r>
        <w:rPr>
          <w:rFonts w:hint="eastAsia" w:ascii="方正仿宋_GB2312" w:hAnsi="方正仿宋_GB2312" w:eastAsia="方正仿宋_GB2312" w:cs="方正仿宋_GB2312"/>
          <w:sz w:val="28"/>
          <w:szCs w:val="28"/>
        </w:rPr>
        <w:t>发明专利，取排名第一（或本学科导师排名第1、学生排名第2时，学生视同第1），所得原始分值为</w:t>
      </w: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分，其他排名的不计。</w:t>
      </w:r>
    </w:p>
    <w:p>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w:t>
      </w:r>
      <w:r>
        <w:rPr>
          <w:rFonts w:hint="eastAsia" w:ascii="方正仿宋_GB2312" w:hAnsi="方正仿宋_GB2312" w:eastAsia="方正仿宋_GB2312" w:cs="方正仿宋_GB2312"/>
          <w:sz w:val="28"/>
          <w:szCs w:val="28"/>
          <w:lang w:val="en-US" w:eastAsia="zh-CN"/>
        </w:rPr>
        <w:t>.</w:t>
      </w:r>
      <w:r>
        <w:rPr>
          <w:rFonts w:hint="eastAsia" w:ascii="方正仿宋_GB2312" w:hAnsi="方正仿宋_GB2312" w:eastAsia="方正仿宋_GB2312" w:cs="方正仿宋_GB2312"/>
          <w:sz w:val="28"/>
          <w:szCs w:val="28"/>
        </w:rPr>
        <w:t>学科竞赛</w:t>
      </w:r>
    </w:p>
    <w:p>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参加中国国际大学生创新大赛、“挑战杯”全国大学生课外学术科技作品竞赛、“挑战杯”中国大学生创业计划竞赛获得国赛金、银、铜奖各加</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rPr>
        <w:t>分、3分、2分；参加学科竞赛获国家级一等奖加</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rPr>
        <w:t>分，二等奖加</w:t>
      </w: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分，三等奖加</w:t>
      </w: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rPr>
        <w:t>分（只认与本专业相关学科竞赛获奖，计算机、数学、</w:t>
      </w:r>
      <w:r>
        <w:rPr>
          <w:rFonts w:hint="eastAsia" w:ascii="方正仿宋_GB2312" w:hAnsi="方正仿宋_GB2312" w:eastAsia="方正仿宋_GB2312" w:cs="方正仿宋_GB2312"/>
          <w:sz w:val="28"/>
          <w:szCs w:val="28"/>
          <w:lang w:val="en-US" w:eastAsia="zh-CN"/>
        </w:rPr>
        <w:t>物理、</w:t>
      </w:r>
      <w:r>
        <w:rPr>
          <w:rFonts w:hint="eastAsia" w:ascii="方正仿宋_GB2312" w:hAnsi="方正仿宋_GB2312" w:eastAsia="方正仿宋_GB2312" w:cs="方正仿宋_GB2312"/>
          <w:sz w:val="28"/>
          <w:szCs w:val="28"/>
        </w:rPr>
        <w:t>化学</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生物</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val="en-US" w:eastAsia="zh-CN"/>
        </w:rPr>
        <w:t>英语、力学</w:t>
      </w:r>
      <w:r>
        <w:rPr>
          <w:rFonts w:hint="eastAsia" w:ascii="方正仿宋_GB2312" w:hAnsi="方正仿宋_GB2312" w:eastAsia="方正仿宋_GB2312" w:cs="方正仿宋_GB2312"/>
          <w:sz w:val="28"/>
          <w:szCs w:val="28"/>
        </w:rPr>
        <w:t>专业基础学科等亦纳入加分范围，其他不计</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同类竞赛就高从优不重复</w:t>
      </w:r>
      <w:r>
        <w:rPr>
          <w:rFonts w:hint="eastAsia" w:ascii="方正仿宋_GB2312" w:hAnsi="方正仿宋_GB2312" w:eastAsia="方正仿宋_GB2312" w:cs="方正仿宋_GB2312"/>
          <w:sz w:val="28"/>
          <w:szCs w:val="28"/>
        </w:rPr>
        <w:t>）。以上为获奖者排名第1的得分；排名第2的</w:t>
      </w:r>
      <w:r>
        <w:rPr>
          <w:rFonts w:hint="eastAsia" w:ascii="方正仿宋_GB2312" w:hAnsi="方正仿宋_GB2312" w:eastAsia="方正仿宋_GB2312" w:cs="方正仿宋_GB2312"/>
          <w:sz w:val="28"/>
          <w:szCs w:val="28"/>
          <w:lang w:val="en-US" w:eastAsia="zh-CN"/>
        </w:rPr>
        <w:t>按第一名的</w:t>
      </w:r>
      <w:r>
        <w:rPr>
          <w:rFonts w:hint="eastAsia" w:ascii="方正仿宋_GB2312" w:hAnsi="方正仿宋_GB2312" w:eastAsia="方正仿宋_GB2312" w:cs="方正仿宋_GB2312"/>
          <w:sz w:val="28"/>
          <w:szCs w:val="28"/>
        </w:rPr>
        <w:t>1/2</w:t>
      </w:r>
      <w:r>
        <w:rPr>
          <w:rFonts w:hint="eastAsia" w:ascii="方正仿宋_GB2312" w:hAnsi="方正仿宋_GB2312" w:eastAsia="方正仿宋_GB2312" w:cs="方正仿宋_GB2312"/>
          <w:sz w:val="28"/>
          <w:szCs w:val="28"/>
          <w:lang w:val="en-US" w:eastAsia="zh-CN"/>
        </w:rPr>
        <w:t>计分</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val="en-US" w:eastAsia="zh-CN"/>
        </w:rPr>
        <w:t>排名</w:t>
      </w:r>
      <w:r>
        <w:rPr>
          <w:rFonts w:hint="eastAsia" w:ascii="方正仿宋_GB2312" w:hAnsi="方正仿宋_GB2312" w:eastAsia="方正仿宋_GB2312" w:cs="方正仿宋_GB2312"/>
          <w:sz w:val="28"/>
          <w:szCs w:val="28"/>
        </w:rPr>
        <w:t>3-5的</w:t>
      </w:r>
      <w:r>
        <w:rPr>
          <w:rFonts w:hint="eastAsia" w:ascii="方正仿宋_GB2312" w:hAnsi="方正仿宋_GB2312" w:eastAsia="方正仿宋_GB2312" w:cs="方正仿宋_GB2312"/>
          <w:sz w:val="28"/>
          <w:szCs w:val="28"/>
          <w:lang w:val="en-US" w:eastAsia="zh-CN"/>
        </w:rPr>
        <w:t>按照第一名的</w:t>
      </w:r>
      <w:r>
        <w:rPr>
          <w:rFonts w:hint="eastAsia" w:ascii="方正仿宋_GB2312" w:hAnsi="方正仿宋_GB2312" w:eastAsia="方正仿宋_GB2312" w:cs="方正仿宋_GB2312"/>
          <w:sz w:val="28"/>
          <w:szCs w:val="28"/>
        </w:rPr>
        <w:t>1/4</w:t>
      </w:r>
      <w:r>
        <w:rPr>
          <w:rFonts w:hint="eastAsia" w:ascii="方正仿宋_GB2312" w:hAnsi="方正仿宋_GB2312" w:eastAsia="方正仿宋_GB2312" w:cs="方正仿宋_GB2312"/>
          <w:sz w:val="28"/>
          <w:szCs w:val="28"/>
          <w:lang w:val="en-US" w:eastAsia="zh-CN"/>
        </w:rPr>
        <w:t>计分</w:t>
      </w:r>
      <w:r>
        <w:rPr>
          <w:rFonts w:hint="eastAsia" w:ascii="方正仿宋_GB2312" w:hAnsi="方正仿宋_GB2312" w:eastAsia="方正仿宋_GB2312" w:cs="方正仿宋_GB2312"/>
          <w:sz w:val="28"/>
          <w:szCs w:val="28"/>
        </w:rPr>
        <w:t>；排名第5以后，不加分。对于有设置特等奖的竞赛，则特等奖按上述一等奖加分，一等奖按上述二等奖加分，以此类推。省级竞赛奖励按照国家同级别加分1/2计算。竞赛级别以校教务处《关于公布大学生学科竞赛项目级别认定结果的通知》（校教[2021]第6号）为准。</w:t>
      </w:r>
    </w:p>
    <w:p>
      <w:pPr>
        <w:spacing w:line="560" w:lineRule="exact"/>
        <w:ind w:firstLine="562"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rPr>
        <w:t>以上</w:t>
      </w:r>
      <w:r>
        <w:rPr>
          <w:rFonts w:hint="eastAsia" w:ascii="方正仿宋_GB2312" w:hAnsi="方正仿宋_GB2312" w:eastAsia="方正仿宋_GB2312" w:cs="方正仿宋_GB2312"/>
          <w:b/>
          <w:bCs/>
          <w:sz w:val="32"/>
          <w:szCs w:val="32"/>
          <w:highlight w:val="none"/>
        </w:rPr>
        <w:t>与本专业相关</w:t>
      </w:r>
      <w:r>
        <w:rPr>
          <w:rFonts w:hint="eastAsia" w:ascii="方正仿宋_GB2312" w:hAnsi="方正仿宋_GB2312" w:eastAsia="方正仿宋_GB2312" w:cs="方正仿宋_GB2312"/>
          <w:b/>
          <w:bCs/>
          <w:sz w:val="28"/>
          <w:szCs w:val="28"/>
        </w:rPr>
        <w:t>的科研成果、发明创造和学科竞赛3类成果综合得分</w:t>
      </w:r>
      <w:r>
        <w:rPr>
          <w:rFonts w:hint="eastAsia" w:ascii="方正仿宋_GB2312" w:hAnsi="方正仿宋_GB2312" w:eastAsia="方正仿宋_GB2312" w:cs="方正仿宋_GB2312"/>
          <w:b/>
          <w:bCs/>
          <w:sz w:val="28"/>
          <w:szCs w:val="28"/>
          <w:lang w:eastAsia="zh-CN"/>
        </w:rPr>
        <w:t>（简称科研分）</w:t>
      </w:r>
      <w:r>
        <w:rPr>
          <w:rFonts w:hint="eastAsia" w:ascii="方正仿宋_GB2312" w:hAnsi="方正仿宋_GB2312" w:eastAsia="方正仿宋_GB2312" w:cs="方正仿宋_GB2312"/>
          <w:b/>
          <w:bCs/>
          <w:sz w:val="28"/>
          <w:szCs w:val="28"/>
        </w:rPr>
        <w:t>最高</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分。</w:t>
      </w:r>
      <w:r>
        <w:rPr>
          <w:rFonts w:hint="eastAsia" w:ascii="方正仿宋_GB2312" w:hAnsi="方正仿宋_GB2312" w:eastAsia="方正仿宋_GB2312" w:cs="方正仿宋_GB2312"/>
          <w:sz w:val="28"/>
          <w:szCs w:val="28"/>
        </w:rPr>
        <w:t>【注：学科竞赛和科研成果分数与德育分中的对应部分不重复计算】</w:t>
      </w:r>
    </w:p>
    <w:p>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二、其他（3%，含德育、参军入伍服兵役、参加志愿服务、到国际组织实习）</w:t>
      </w:r>
    </w:p>
    <w:p>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其他（德育）=（德育原始分-科研学科原始分/6）*3%，其中，德育原始分为6个学期德育平均分，如：某同学6个学期的德育分别为78、80、83、82、86、80，科研学科原始分为6分，则德育原始分=（78+80+83+82+86+80）/6=81.5，其他=（81.5-6/6）*3%=2.415分。</w:t>
      </w:r>
    </w:p>
    <w:p>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2.参军入伍服兵役满2年，加0.5分，满1年，加0.25分。</w:t>
      </w:r>
    </w:p>
    <w:p>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3.“志愿汇”APP统计的服务时长在100小时及以上的，加0.1分。</w:t>
      </w:r>
    </w:p>
    <w:p>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4.在国际组织实习满1年的，加0.2分，满半年的加0.1分。</w:t>
      </w:r>
    </w:p>
    <w:p>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5.上述项目累计不超过3分。</w:t>
      </w:r>
    </w:p>
    <w:p>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上述项目均需提供官方的证明材料，由学院推免生遴选工作专家审核小组进行审核认定。</w:t>
      </w:r>
    </w:p>
    <w:p>
      <w:pPr>
        <w:spacing w:line="560" w:lineRule="exact"/>
        <w:ind w:firstLine="560" w:firstLineChars="200"/>
        <w:jc w:val="right"/>
        <w:rPr>
          <w:rFonts w:ascii="方正仿宋_GB2312" w:hAnsi="方正仿宋_GB2312" w:eastAsia="方正仿宋_GB2312" w:cs="方正仿宋_GB2312"/>
          <w:sz w:val="28"/>
          <w:szCs w:val="28"/>
        </w:rPr>
      </w:pPr>
      <w:bookmarkStart w:id="0" w:name="_GoBack"/>
      <w:bookmarkEnd w:id="0"/>
    </w:p>
    <w:p>
      <w:pPr>
        <w:spacing w:line="560" w:lineRule="exact"/>
        <w:ind w:firstLine="560" w:firstLineChars="200"/>
        <w:jc w:val="right"/>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紫金地质与矿业学院</w:t>
      </w:r>
    </w:p>
    <w:p>
      <w:pPr>
        <w:spacing w:line="560" w:lineRule="exact"/>
        <w:ind w:firstLine="560" w:firstLineChars="200"/>
        <w:jc w:val="right"/>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2024年9月1</w:t>
      </w: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rPr>
        <w:t>日</w:t>
      </w:r>
    </w:p>
    <w:sectPr>
      <w:pgSz w:w="11906" w:h="16838"/>
      <w:pgMar w:top="1327" w:right="1519" w:bottom="1327"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7B2F05-F8DD-43FE-BC4D-771C612BE59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embedRegular r:id="rId2" w:fontKey="{0C94E42C-4F61-4147-B0FE-A3C991C977C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lNzMzNmU4Yzc3OWNjZDk4NzU4OTFlOTM0OGYzYzkifQ=="/>
  </w:docVars>
  <w:rsids>
    <w:rsidRoot w:val="5A5C1077"/>
    <w:rsid w:val="004864F3"/>
    <w:rsid w:val="00C51DE4"/>
    <w:rsid w:val="0EAA5467"/>
    <w:rsid w:val="112F0F89"/>
    <w:rsid w:val="1165656A"/>
    <w:rsid w:val="11AC1921"/>
    <w:rsid w:val="172626BB"/>
    <w:rsid w:val="2E0D6540"/>
    <w:rsid w:val="2FC00586"/>
    <w:rsid w:val="3069477A"/>
    <w:rsid w:val="39BB309E"/>
    <w:rsid w:val="4A7459B6"/>
    <w:rsid w:val="4A955EEB"/>
    <w:rsid w:val="4F10484A"/>
    <w:rsid w:val="5516017D"/>
    <w:rsid w:val="5A5C1077"/>
    <w:rsid w:val="674F799E"/>
    <w:rsid w:val="692A5C95"/>
    <w:rsid w:val="76684159"/>
    <w:rsid w:val="7AB97FD3"/>
    <w:rsid w:val="7D072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Balloon Text"/>
    <w:basedOn w:val="1"/>
    <w:link w:val="9"/>
    <w:qFormat/>
    <w:uiPriority w:val="0"/>
    <w:rPr>
      <w:sz w:val="18"/>
      <w:szCs w:val="18"/>
    </w:rPr>
  </w:style>
  <w:style w:type="paragraph" w:styleId="4">
    <w:name w:val="Normal (Web)"/>
    <w:basedOn w:val="1"/>
    <w:qFormat/>
    <w:uiPriority w:val="0"/>
    <w:rPr>
      <w:sz w:val="24"/>
    </w:rPr>
  </w:style>
  <w:style w:type="paragraph" w:styleId="5">
    <w:name w:val="annotation subject"/>
    <w:basedOn w:val="2"/>
    <w:next w:val="2"/>
    <w:link w:val="11"/>
    <w:qFormat/>
    <w:uiPriority w:val="0"/>
    <w:rPr>
      <w:b/>
      <w:bCs/>
    </w:rPr>
  </w:style>
  <w:style w:type="character" w:styleId="8">
    <w:name w:val="annotation reference"/>
    <w:basedOn w:val="7"/>
    <w:qFormat/>
    <w:uiPriority w:val="0"/>
    <w:rPr>
      <w:sz w:val="21"/>
      <w:szCs w:val="21"/>
    </w:rPr>
  </w:style>
  <w:style w:type="character" w:customStyle="1" w:styleId="9">
    <w:name w:val="批注框文本 字符"/>
    <w:basedOn w:val="7"/>
    <w:link w:val="3"/>
    <w:qFormat/>
    <w:uiPriority w:val="0"/>
    <w:rPr>
      <w:rFonts w:asciiTheme="minorHAnsi" w:hAnsiTheme="minorHAnsi" w:eastAsiaTheme="minorEastAsia" w:cstheme="minorBidi"/>
      <w:kern w:val="2"/>
      <w:sz w:val="18"/>
      <w:szCs w:val="18"/>
    </w:rPr>
  </w:style>
  <w:style w:type="character" w:customStyle="1" w:styleId="10">
    <w:name w:val="批注文字 字符"/>
    <w:basedOn w:val="7"/>
    <w:link w:val="2"/>
    <w:qFormat/>
    <w:uiPriority w:val="0"/>
    <w:rPr>
      <w:rFonts w:asciiTheme="minorHAnsi" w:hAnsiTheme="minorHAnsi" w:eastAsiaTheme="minorEastAsia" w:cstheme="minorBidi"/>
      <w:kern w:val="2"/>
      <w:sz w:val="21"/>
      <w:szCs w:val="24"/>
    </w:rPr>
  </w:style>
  <w:style w:type="character" w:customStyle="1" w:styleId="11">
    <w:name w:val="批注主题 字符"/>
    <w:basedOn w:val="10"/>
    <w:link w:val="5"/>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1285</Words>
  <Characters>1388</Characters>
  <Lines>10</Lines>
  <Paragraphs>2</Paragraphs>
  <TotalTime>10</TotalTime>
  <ScaleCrop>false</ScaleCrop>
  <LinksUpToDate>false</LinksUpToDate>
  <CharactersWithSpaces>1389</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2023-09-18T09:52:00Z</dcterms:created>
  <dc:creator>chen</dc:creator>
  <cp:lastModifiedBy>xrx</cp:lastModifiedBy>
  <cp:lastPrinted>2024-09-09T06:08:00Z</cp:lastPrinted>
  <dcterms:modified xsi:type="dcterms:W3CDTF">2024-09-11T08:38:17Z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6137C365FD8545039A29CA8B4AF3F076_13</vt:lpwstr>
  </property>
</Properties>
</file>