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ind w:left="0" w:right="0"/>
        <w:jc w:val="center"/>
        <w:rPr>
          <w:rFonts w:hint="eastAsia" w:ascii="方正仿宋_GB2312" w:hAnsi="方正仿宋_GB2312" w:eastAsia="方正仿宋_GB2312" w:cs="方正仿宋_GB2312"/>
          <w:b/>
          <w:bCs/>
          <w:color w:val="3C425B"/>
          <w:sz w:val="39"/>
          <w:szCs w:val="39"/>
        </w:rPr>
      </w:pPr>
      <w:bookmarkStart w:id="0" w:name="_GoBack"/>
      <w:r>
        <w:rPr>
          <w:rFonts w:hint="eastAsia" w:ascii="方正仿宋_GB2312" w:hAnsi="方正仿宋_GB2312" w:eastAsia="方正仿宋_GB2312" w:cs="方正仿宋_GB2312"/>
          <w:b/>
          <w:bCs/>
          <w:i w:val="0"/>
          <w:iCs w:val="0"/>
          <w:caps w:val="0"/>
          <w:color w:val="3C425B"/>
          <w:spacing w:val="0"/>
          <w:sz w:val="39"/>
          <w:szCs w:val="39"/>
          <w:bdr w:val="none" w:color="auto" w:sz="0" w:space="0"/>
        </w:rPr>
        <w:t>关于做好我校2024年推荐优秀应届本科毕业生免试攻读研究生工作的通知</w:t>
      </w:r>
    </w:p>
    <w:bookmarkEnd w:id="0"/>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bdr w:val="none" w:color="auto" w:sz="0" w:space="0"/>
        </w:rPr>
        <w:t>各有关学院：</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bdr w:val="none" w:color="auto" w:sz="0" w:space="0"/>
        </w:rPr>
        <w:t>根据上级推免文件和《福州大学推荐优秀应届本科毕业生免试攻读研究生工作实施办法（2022年修订）》（福大招考〔2022〕5号）（以下简称“实施办法”）要求，为进一步规范我校推免生工作，确保推免生选拔质量，现将我校2024年推荐优秀应届本科毕业生免试攻读研究生工作（以下简称“推免工作”）有关事项通知如下：</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bdr w:val="none" w:color="auto" w:sz="0" w:space="0"/>
        </w:rPr>
        <w:t>一、工作机制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bdr w:val="none" w:color="auto" w:sz="0" w:space="0"/>
        </w:rPr>
        <w:t>1.推免生工作坚持公开、公平、公正原则，在评价科学、程序透明的基础上，对推免生的德智体美劳发展全面衡量，择优推荐，宁缺毋滥。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bdr w:val="none" w:color="auto" w:sz="0" w:space="0"/>
        </w:rPr>
        <w:t>2.各学院成立学院推免生遴选工作领导小组，负责组织实施本学院推免工作，制定学院推免工作细则，科研成果和学科竞赛赋分方法、“特殊学术专长或突出培养潜质”的基本条件。</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bdr w:val="none" w:color="auto" w:sz="0" w:space="0"/>
        </w:rPr>
        <w:t>3.推免生工作实施回避制度。推免生工作涉及人员如有直系亲属或利益相关人员报名申请本校推免生推荐资格的要主动申请回避，有非直系亲属报名申请本校推免生推荐资格的要主动报备；相关学生报名申请推免生推荐资格的，应主动向学校报备声明。</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bdr w:val="none" w:color="auto" w:sz="0" w:space="0"/>
        </w:rPr>
        <w:t>4.推免生推荐遴选工作接受学校纪检监察部门的全程监督。</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bdr w:val="none" w:color="auto" w:sz="0" w:space="0"/>
        </w:rPr>
        <w:t>二、名额分配</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bdr w:val="none" w:color="auto" w:sz="0" w:space="0"/>
        </w:rPr>
        <w:t>按照国家最新文件精神，结合我校实际情况，经校推免生遴选工作领导小组会议审议，确定各学院推免生名额，详见附件一。</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bdr w:val="none" w:color="auto" w:sz="0" w:space="0"/>
        </w:rPr>
        <w:t>三、英语成绩要求</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bdr w:val="none" w:color="auto" w:sz="0" w:space="0"/>
        </w:rPr>
        <w:t>对非英语专业的校内大学英语四级考试（艺术类按校内大学英语二级考试）成绩要求如下：</w:t>
      </w:r>
    </w:p>
    <w:tbl>
      <w:tblPr>
        <w:tblW w:w="7305" w:type="dxa"/>
        <w:jc w:val="center"/>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Layout w:type="autofit"/>
        <w:tblCellMar>
          <w:top w:w="0" w:type="dxa"/>
          <w:left w:w="0" w:type="dxa"/>
          <w:bottom w:w="0" w:type="dxa"/>
          <w:right w:w="0" w:type="dxa"/>
        </w:tblCellMar>
      </w:tblPr>
      <w:tblGrid>
        <w:gridCol w:w="2690"/>
        <w:gridCol w:w="1353"/>
        <w:gridCol w:w="3262"/>
      </w:tblGrid>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rPr>
          <w:trHeight w:val="360" w:hRule="atLeast"/>
          <w:jc w:val="center"/>
        </w:trPr>
        <w:tc>
          <w:tcPr>
            <w:tcW w:w="2685" w:type="dxa"/>
            <w:tcBorders>
              <w:top w:val="single" w:color="auto" w:sz="6" w:space="0"/>
              <w:left w:val="single" w:color="auto" w:sz="6" w:space="0"/>
              <w:bottom w:val="single" w:color="auto" w:sz="6" w:space="0"/>
              <w:right w:val="single" w:color="auto" w:sz="6" w:space="0"/>
            </w:tcBorders>
            <w:shd w:val="clear"/>
            <w:noWrap/>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0"/>
              <w:rPr>
                <w:rFonts w:hint="eastAsia" w:ascii="方正仿宋_GB2312" w:hAnsi="方正仿宋_GB2312" w:eastAsia="方正仿宋_GB2312" w:cs="方正仿宋_GB2312"/>
                <w:sz w:val="28"/>
                <w:szCs w:val="28"/>
              </w:rPr>
            </w:pPr>
            <w:r>
              <w:rPr>
                <w:rStyle w:val="6"/>
                <w:rFonts w:hint="eastAsia" w:ascii="方正仿宋_GB2312" w:hAnsi="方正仿宋_GB2312" w:eastAsia="方正仿宋_GB2312" w:cs="方正仿宋_GB2312"/>
                <w:spacing w:val="0"/>
                <w:sz w:val="24"/>
                <w:szCs w:val="24"/>
                <w:bdr w:val="none" w:color="auto" w:sz="0" w:space="0"/>
              </w:rPr>
              <w:t>门类</w:t>
            </w:r>
          </w:p>
        </w:tc>
        <w:tc>
          <w:tcPr>
            <w:tcW w:w="1350" w:type="dxa"/>
            <w:tcBorders>
              <w:top w:val="single" w:color="auto" w:sz="6" w:space="0"/>
              <w:left w:val="nil"/>
              <w:bottom w:val="single" w:color="auto" w:sz="6" w:space="0"/>
              <w:right w:val="single" w:color="auto" w:sz="6" w:space="0"/>
            </w:tcBorders>
            <w:shd w:val="clear"/>
            <w:noWrap/>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0"/>
              <w:rPr>
                <w:rFonts w:hint="eastAsia" w:ascii="方正仿宋_GB2312" w:hAnsi="方正仿宋_GB2312" w:eastAsia="方正仿宋_GB2312" w:cs="方正仿宋_GB2312"/>
                <w:sz w:val="28"/>
                <w:szCs w:val="28"/>
              </w:rPr>
            </w:pPr>
            <w:r>
              <w:rPr>
                <w:rStyle w:val="6"/>
                <w:rFonts w:hint="eastAsia" w:ascii="方正仿宋_GB2312" w:hAnsi="方正仿宋_GB2312" w:eastAsia="方正仿宋_GB2312" w:cs="方正仿宋_GB2312"/>
                <w:spacing w:val="0"/>
                <w:sz w:val="24"/>
                <w:szCs w:val="24"/>
                <w:bdr w:val="none" w:color="auto" w:sz="0" w:space="0"/>
              </w:rPr>
              <w:t>成绩要求</w:t>
            </w:r>
          </w:p>
        </w:tc>
        <w:tc>
          <w:tcPr>
            <w:tcW w:w="3255" w:type="dxa"/>
            <w:tcBorders>
              <w:top w:val="single" w:color="auto" w:sz="6" w:space="0"/>
              <w:left w:val="nil"/>
              <w:bottom w:val="single" w:color="auto" w:sz="6" w:space="0"/>
              <w:right w:val="single" w:color="auto" w:sz="6" w:space="0"/>
            </w:tcBorders>
            <w:shd w:val="clear"/>
            <w:noWrap/>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0"/>
              <w:rPr>
                <w:rFonts w:hint="eastAsia" w:ascii="方正仿宋_GB2312" w:hAnsi="方正仿宋_GB2312" w:eastAsia="方正仿宋_GB2312" w:cs="方正仿宋_GB2312"/>
                <w:sz w:val="28"/>
                <w:szCs w:val="28"/>
              </w:rPr>
            </w:pPr>
            <w:r>
              <w:rPr>
                <w:rStyle w:val="6"/>
                <w:rFonts w:hint="eastAsia" w:ascii="方正仿宋_GB2312" w:hAnsi="方正仿宋_GB2312" w:eastAsia="方正仿宋_GB2312" w:cs="方正仿宋_GB2312"/>
                <w:spacing w:val="0"/>
                <w:sz w:val="24"/>
                <w:szCs w:val="24"/>
                <w:bdr w:val="none" w:color="auto" w:sz="0" w:space="0"/>
              </w:rPr>
              <w:t>备注</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480" w:hRule="atLeast"/>
          <w:jc w:val="center"/>
        </w:trPr>
        <w:tc>
          <w:tcPr>
            <w:tcW w:w="2685" w:type="dxa"/>
            <w:tcBorders>
              <w:top w:val="nil"/>
              <w:left w:val="single" w:color="auto" w:sz="6" w:space="0"/>
              <w:bottom w:val="single" w:color="auto" w:sz="6" w:space="0"/>
              <w:right w:val="single" w:color="auto" w:sz="6" w:space="0"/>
            </w:tcBorders>
            <w:shd w:val="clear"/>
            <w:noWrap/>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0"/>
              <w:jc w:val="left"/>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2"/>
                <w:szCs w:val="22"/>
                <w:bdr w:val="none" w:color="auto" w:sz="0" w:space="0"/>
              </w:rPr>
              <w:t>文科类</w:t>
            </w:r>
          </w:p>
        </w:tc>
        <w:tc>
          <w:tcPr>
            <w:tcW w:w="1350" w:type="dxa"/>
            <w:tcBorders>
              <w:top w:val="nil"/>
              <w:left w:val="nil"/>
              <w:bottom w:val="single" w:color="auto" w:sz="6" w:space="0"/>
              <w:right w:val="single" w:color="auto" w:sz="6" w:space="0"/>
            </w:tcBorders>
            <w:shd w:val="clear"/>
            <w:noWrap/>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0"/>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bdr w:val="none" w:color="auto" w:sz="0" w:space="0"/>
                <w:lang w:val="en-US"/>
              </w:rPr>
              <w:t>81</w:t>
            </w:r>
          </w:p>
        </w:tc>
        <w:tc>
          <w:tcPr>
            <w:tcW w:w="3255" w:type="dxa"/>
            <w:vMerge w:val="restart"/>
            <w:tcBorders>
              <w:top w:val="nil"/>
              <w:left w:val="nil"/>
              <w:bottom w:val="single" w:color="auto" w:sz="6" w:space="0"/>
              <w:right w:val="single" w:color="auto" w:sz="6" w:space="0"/>
            </w:tcBorders>
            <w:shd w:val="clear"/>
            <w:noWrap/>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pacing w:val="0"/>
                <w:sz w:val="24"/>
                <w:szCs w:val="24"/>
                <w:bdr w:val="none" w:color="auto" w:sz="0" w:space="0"/>
              </w:rPr>
              <w:t>不含“建筑学”、“风景园林”、“城乡规划”专业</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60" w:hRule="atLeast"/>
          <w:jc w:val="center"/>
        </w:trPr>
        <w:tc>
          <w:tcPr>
            <w:tcW w:w="2685" w:type="dxa"/>
            <w:tcBorders>
              <w:top w:val="nil"/>
              <w:left w:val="single" w:color="auto" w:sz="6" w:space="0"/>
              <w:bottom w:val="single" w:color="auto" w:sz="6" w:space="0"/>
              <w:right w:val="single" w:color="auto" w:sz="6" w:space="0"/>
            </w:tcBorders>
            <w:shd w:val="clear"/>
            <w:noWrap/>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2"/>
                <w:szCs w:val="22"/>
                <w:bdr w:val="none" w:color="auto" w:sz="0" w:space="0"/>
              </w:rPr>
              <w:t>理工类</w:t>
            </w:r>
          </w:p>
        </w:tc>
        <w:tc>
          <w:tcPr>
            <w:tcW w:w="1350" w:type="dxa"/>
            <w:tcBorders>
              <w:top w:val="nil"/>
              <w:left w:val="nil"/>
              <w:bottom w:val="single" w:color="auto" w:sz="6" w:space="0"/>
              <w:right w:val="single" w:color="auto" w:sz="6" w:space="0"/>
            </w:tcBorders>
            <w:shd w:val="clear"/>
            <w:noWrap/>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0"/>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bdr w:val="none" w:color="auto" w:sz="0" w:space="0"/>
                <w:lang w:val="en-US"/>
              </w:rPr>
              <w:t>76</w:t>
            </w:r>
          </w:p>
        </w:tc>
        <w:tc>
          <w:tcPr>
            <w:tcW w:w="3255" w:type="dxa"/>
            <w:vMerge w:val="continue"/>
            <w:tcBorders>
              <w:top w:val="nil"/>
              <w:left w:val="nil"/>
              <w:bottom w:val="single" w:color="auto" w:sz="6" w:space="0"/>
              <w:right w:val="single" w:color="auto" w:sz="6" w:space="0"/>
            </w:tcBorders>
            <w:shd w:val="clear"/>
            <w:noWrap/>
            <w:tcMar>
              <w:left w:w="105" w:type="dxa"/>
              <w:right w:w="105" w:type="dxa"/>
            </w:tcMar>
            <w:vAlign w:val="center"/>
          </w:tcPr>
          <w:p>
            <w:pPr>
              <w:rPr>
                <w:rFonts w:hint="eastAsia" w:ascii="方正仿宋_GB2312" w:hAnsi="方正仿宋_GB2312" w:eastAsia="方正仿宋_GB2312" w:cs="方正仿宋_GB2312"/>
                <w:sz w:val="24"/>
                <w:szCs w:val="24"/>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60" w:hRule="atLeast"/>
          <w:jc w:val="center"/>
        </w:trPr>
        <w:tc>
          <w:tcPr>
            <w:tcW w:w="2685" w:type="dxa"/>
            <w:tcBorders>
              <w:top w:val="nil"/>
              <w:left w:val="single" w:color="auto" w:sz="6" w:space="0"/>
              <w:bottom w:val="single" w:color="auto" w:sz="6" w:space="0"/>
              <w:right w:val="single" w:color="auto" w:sz="6" w:space="0"/>
            </w:tcBorders>
            <w:shd w:val="clear"/>
            <w:noWrap/>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2"/>
                <w:szCs w:val="22"/>
                <w:bdr w:val="none" w:color="auto" w:sz="0" w:space="0"/>
              </w:rPr>
              <w:t>建筑类（建筑学、风景园林、城乡规划）</w:t>
            </w:r>
          </w:p>
        </w:tc>
        <w:tc>
          <w:tcPr>
            <w:tcW w:w="1350" w:type="dxa"/>
            <w:tcBorders>
              <w:top w:val="nil"/>
              <w:left w:val="nil"/>
              <w:bottom w:val="single" w:color="auto" w:sz="6" w:space="0"/>
              <w:right w:val="single" w:color="auto" w:sz="6" w:space="0"/>
            </w:tcBorders>
            <w:shd w:val="clear"/>
            <w:noWrap/>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0"/>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bdr w:val="none" w:color="auto" w:sz="0" w:space="0"/>
                <w:lang w:val="en-US"/>
              </w:rPr>
              <w:t>74</w:t>
            </w:r>
          </w:p>
        </w:tc>
        <w:tc>
          <w:tcPr>
            <w:tcW w:w="3255" w:type="dxa"/>
            <w:tcBorders>
              <w:top w:val="nil"/>
              <w:left w:val="nil"/>
              <w:bottom w:val="single" w:color="auto" w:sz="6" w:space="0"/>
              <w:right w:val="single" w:color="auto" w:sz="6" w:space="0"/>
            </w:tcBorders>
            <w:shd w:val="clear"/>
            <w:noWrap/>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pacing w:val="0"/>
                <w:sz w:val="24"/>
                <w:szCs w:val="24"/>
                <w:bdr w:val="none" w:color="auto" w:sz="0" w:space="0"/>
              </w:rPr>
              <w:t>五年制</w:t>
            </w:r>
            <w:r>
              <w:rPr>
                <w:rFonts w:hint="eastAsia" w:ascii="方正仿宋_GB2312" w:hAnsi="方正仿宋_GB2312" w:eastAsia="方正仿宋_GB2312" w:cs="方正仿宋_GB2312"/>
                <w:spacing w:val="0"/>
                <w:sz w:val="28"/>
                <w:szCs w:val="28"/>
                <w:bdr w:val="none" w:color="auto" w:sz="0" w:space="0"/>
                <w:lang w:val="en-US"/>
              </w:rPr>
              <w:t>19</w:t>
            </w:r>
            <w:r>
              <w:rPr>
                <w:rFonts w:hint="eastAsia" w:ascii="方正仿宋_GB2312" w:hAnsi="方正仿宋_GB2312" w:eastAsia="方正仿宋_GB2312" w:cs="方正仿宋_GB2312"/>
                <w:spacing w:val="0"/>
                <w:sz w:val="24"/>
                <w:szCs w:val="24"/>
                <w:bdr w:val="none" w:color="auto" w:sz="0" w:space="0"/>
              </w:rPr>
              <w:t>级</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60" w:hRule="atLeast"/>
          <w:jc w:val="center"/>
        </w:trPr>
        <w:tc>
          <w:tcPr>
            <w:tcW w:w="2685" w:type="dxa"/>
            <w:tcBorders>
              <w:top w:val="nil"/>
              <w:left w:val="single" w:color="auto" w:sz="6" w:space="0"/>
              <w:bottom w:val="single" w:color="auto" w:sz="6" w:space="0"/>
              <w:right w:val="single" w:color="auto" w:sz="6" w:space="0"/>
            </w:tcBorders>
            <w:shd w:val="clear"/>
            <w:noWrap/>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2"/>
                <w:szCs w:val="22"/>
                <w:bdr w:val="none" w:color="auto" w:sz="0" w:space="0"/>
              </w:rPr>
              <w:t>工业设计</w:t>
            </w:r>
          </w:p>
        </w:tc>
        <w:tc>
          <w:tcPr>
            <w:tcW w:w="1350" w:type="dxa"/>
            <w:tcBorders>
              <w:top w:val="nil"/>
              <w:left w:val="nil"/>
              <w:bottom w:val="single" w:color="auto" w:sz="6" w:space="0"/>
              <w:right w:val="single" w:color="auto" w:sz="6" w:space="0"/>
            </w:tcBorders>
            <w:shd w:val="clear"/>
            <w:noWrap/>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0"/>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bdr w:val="none" w:color="auto" w:sz="0" w:space="0"/>
                <w:lang w:val="en-US"/>
              </w:rPr>
              <w:t>76</w:t>
            </w:r>
          </w:p>
        </w:tc>
        <w:tc>
          <w:tcPr>
            <w:tcW w:w="3255" w:type="dxa"/>
            <w:tcBorders>
              <w:top w:val="nil"/>
              <w:left w:val="nil"/>
              <w:bottom w:val="single" w:color="auto" w:sz="6" w:space="0"/>
              <w:right w:val="single" w:color="auto" w:sz="6" w:space="0"/>
            </w:tcBorders>
            <w:shd w:val="clear"/>
            <w:noWrap/>
            <w:tcMar>
              <w:left w:w="105" w:type="dxa"/>
              <w:right w:w="105" w:type="dxa"/>
            </w:tcMar>
            <w:vAlign w:val="center"/>
          </w:tcPr>
          <w:p>
            <w:pPr>
              <w:keepNext w:val="0"/>
              <w:keepLines w:val="0"/>
              <w:widowControl/>
              <w:suppressLineNumbers w:val="0"/>
              <w:spacing w:before="0" w:beforeAutospacing="0" w:after="0" w:afterAutospacing="0"/>
              <w:ind w:left="0" w:right="0"/>
              <w:jc w:val="left"/>
              <w:rPr>
                <w:rFonts w:hint="eastAsia" w:ascii="方正仿宋_GB2312" w:hAnsi="方正仿宋_GB2312" w:eastAsia="方正仿宋_GB2312" w:cs="方正仿宋_GB2312"/>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shd w:val="clear"/>
          <w:tblCellMar>
            <w:top w:w="0" w:type="dxa"/>
            <w:left w:w="0" w:type="dxa"/>
            <w:bottom w:w="0" w:type="dxa"/>
            <w:right w:w="0" w:type="dxa"/>
          </w:tblCellMar>
        </w:tblPrEx>
        <w:trPr>
          <w:trHeight w:val="360" w:hRule="atLeast"/>
          <w:jc w:val="center"/>
        </w:trPr>
        <w:tc>
          <w:tcPr>
            <w:tcW w:w="2685" w:type="dxa"/>
            <w:tcBorders>
              <w:top w:val="nil"/>
              <w:left w:val="single" w:color="auto" w:sz="6" w:space="0"/>
              <w:bottom w:val="single" w:color="auto" w:sz="6" w:space="0"/>
              <w:right w:val="single" w:color="auto" w:sz="6" w:space="0"/>
            </w:tcBorders>
            <w:shd w:val="clear"/>
            <w:noWrap/>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2"/>
                <w:szCs w:val="22"/>
                <w:bdr w:val="none" w:color="auto" w:sz="0" w:space="0"/>
              </w:rPr>
              <w:t>艺术类（音乐）</w:t>
            </w:r>
          </w:p>
        </w:tc>
        <w:tc>
          <w:tcPr>
            <w:tcW w:w="1350" w:type="dxa"/>
            <w:tcBorders>
              <w:top w:val="nil"/>
              <w:left w:val="nil"/>
              <w:bottom w:val="single" w:color="auto" w:sz="6" w:space="0"/>
              <w:right w:val="single" w:color="auto" w:sz="6" w:space="0"/>
            </w:tcBorders>
            <w:shd w:val="clear"/>
            <w:noWrap/>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0"/>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bdr w:val="none" w:color="auto" w:sz="0" w:space="0"/>
                <w:lang w:val="en-US"/>
              </w:rPr>
              <w:t>77</w:t>
            </w:r>
          </w:p>
        </w:tc>
        <w:tc>
          <w:tcPr>
            <w:tcW w:w="3255" w:type="dxa"/>
            <w:vMerge w:val="restart"/>
            <w:tcBorders>
              <w:top w:val="nil"/>
              <w:left w:val="nil"/>
              <w:bottom w:val="single" w:color="auto" w:sz="6" w:space="0"/>
              <w:right w:val="single" w:color="auto" w:sz="6" w:space="0"/>
            </w:tcBorders>
            <w:shd w:val="clear"/>
            <w:noWrap/>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pacing w:val="0"/>
                <w:sz w:val="24"/>
                <w:szCs w:val="24"/>
                <w:bdr w:val="none" w:color="auto" w:sz="0" w:space="0"/>
              </w:rPr>
              <w:t>校内大学英语二级考试</w:t>
            </w: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60" w:hRule="atLeast"/>
          <w:jc w:val="center"/>
        </w:trPr>
        <w:tc>
          <w:tcPr>
            <w:tcW w:w="2685" w:type="dxa"/>
            <w:tcBorders>
              <w:top w:val="nil"/>
              <w:left w:val="single" w:color="auto" w:sz="6" w:space="0"/>
              <w:bottom w:val="single" w:color="auto" w:sz="6" w:space="0"/>
              <w:right w:val="single" w:color="auto" w:sz="6" w:space="0"/>
            </w:tcBorders>
            <w:shd w:val="clear"/>
            <w:noWrap/>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2"/>
                <w:szCs w:val="22"/>
                <w:bdr w:val="none" w:color="auto" w:sz="0" w:space="0"/>
              </w:rPr>
              <w:t>艺术类（美术）</w:t>
            </w:r>
          </w:p>
        </w:tc>
        <w:tc>
          <w:tcPr>
            <w:tcW w:w="1350" w:type="dxa"/>
            <w:tcBorders>
              <w:top w:val="nil"/>
              <w:left w:val="nil"/>
              <w:bottom w:val="single" w:color="auto" w:sz="6" w:space="0"/>
              <w:right w:val="single" w:color="auto" w:sz="6" w:space="0"/>
            </w:tcBorders>
            <w:shd w:val="clear"/>
            <w:noWrap/>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0"/>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bdr w:val="none" w:color="auto" w:sz="0" w:space="0"/>
                <w:lang w:val="en-US"/>
              </w:rPr>
              <w:t>82</w:t>
            </w:r>
          </w:p>
        </w:tc>
        <w:tc>
          <w:tcPr>
            <w:tcW w:w="3255" w:type="dxa"/>
            <w:vMerge w:val="continue"/>
            <w:tcBorders>
              <w:top w:val="nil"/>
              <w:left w:val="nil"/>
              <w:bottom w:val="single" w:color="auto" w:sz="6" w:space="0"/>
              <w:right w:val="single" w:color="auto" w:sz="6" w:space="0"/>
            </w:tcBorders>
            <w:shd w:val="clear"/>
            <w:noWrap/>
            <w:tcMar>
              <w:left w:w="105" w:type="dxa"/>
              <w:right w:w="105" w:type="dxa"/>
            </w:tcMar>
            <w:vAlign w:val="center"/>
          </w:tcPr>
          <w:p>
            <w:pPr>
              <w:rPr>
                <w:rFonts w:hint="eastAsia" w:ascii="方正仿宋_GB2312" w:hAnsi="方正仿宋_GB2312" w:eastAsia="方正仿宋_GB2312" w:cs="方正仿宋_GB2312"/>
                <w:sz w:val="24"/>
                <w:szCs w:val="24"/>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60" w:hRule="atLeast"/>
          <w:jc w:val="center"/>
        </w:trPr>
        <w:tc>
          <w:tcPr>
            <w:tcW w:w="2685" w:type="dxa"/>
            <w:tcBorders>
              <w:top w:val="nil"/>
              <w:left w:val="single" w:color="auto" w:sz="6" w:space="0"/>
              <w:bottom w:val="single" w:color="auto" w:sz="6" w:space="0"/>
              <w:right w:val="single" w:color="auto" w:sz="6" w:space="0"/>
            </w:tcBorders>
            <w:shd w:val="clear"/>
            <w:noWrap/>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2"/>
                <w:szCs w:val="22"/>
                <w:bdr w:val="none" w:color="auto" w:sz="0" w:space="0"/>
              </w:rPr>
              <w:t>土木中加班</w:t>
            </w:r>
          </w:p>
        </w:tc>
        <w:tc>
          <w:tcPr>
            <w:tcW w:w="1350" w:type="dxa"/>
            <w:tcBorders>
              <w:top w:val="nil"/>
              <w:left w:val="nil"/>
              <w:bottom w:val="single" w:color="auto" w:sz="6" w:space="0"/>
              <w:right w:val="single" w:color="auto" w:sz="6" w:space="0"/>
            </w:tcBorders>
            <w:shd w:val="clear"/>
            <w:noWrap/>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0"/>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bdr w:val="none" w:color="auto" w:sz="0" w:space="0"/>
                <w:lang w:val="en-US"/>
              </w:rPr>
              <w:t>90</w:t>
            </w:r>
          </w:p>
        </w:tc>
        <w:tc>
          <w:tcPr>
            <w:tcW w:w="3255" w:type="dxa"/>
            <w:tcBorders>
              <w:top w:val="nil"/>
              <w:left w:val="nil"/>
              <w:bottom w:val="single" w:color="auto" w:sz="6" w:space="0"/>
              <w:right w:val="single" w:color="auto" w:sz="6" w:space="0"/>
            </w:tcBorders>
            <w:shd w:val="clear"/>
            <w:noWrap/>
            <w:tcMar>
              <w:left w:w="105" w:type="dxa"/>
              <w:right w:w="105" w:type="dxa"/>
            </w:tcMar>
            <w:vAlign w:val="center"/>
          </w:tcPr>
          <w:p>
            <w:pPr>
              <w:keepNext w:val="0"/>
              <w:keepLines w:val="0"/>
              <w:widowControl/>
              <w:suppressLineNumbers w:val="0"/>
              <w:spacing w:before="0" w:beforeAutospacing="0" w:after="0" w:afterAutospacing="0"/>
              <w:ind w:left="0" w:right="0"/>
              <w:jc w:val="left"/>
              <w:rPr>
                <w:rFonts w:hint="eastAsia" w:ascii="方正仿宋_GB2312" w:hAnsi="方正仿宋_GB2312" w:eastAsia="方正仿宋_GB2312" w:cs="方正仿宋_GB2312"/>
              </w:rPr>
            </w:pPr>
          </w:p>
        </w:tc>
      </w:tr>
      <w:tr>
        <w:tblPrEx>
          <w:tblBorders>
            <w:top w:val="single" w:color="000000" w:sz="6" w:space="0"/>
            <w:left w:val="single" w:color="000000" w:sz="6" w:space="0"/>
            <w:bottom w:val="single" w:color="000000" w:sz="6" w:space="0"/>
            <w:right w:val="single" w:color="000000" w:sz="6" w:space="0"/>
            <w:insideH w:val="none" w:color="auto" w:sz="0" w:space="0"/>
            <w:insideV w:val="none" w:color="auto" w:sz="0" w:space="0"/>
          </w:tblBorders>
          <w:tblCellMar>
            <w:top w:w="0" w:type="dxa"/>
            <w:left w:w="0" w:type="dxa"/>
            <w:bottom w:w="0" w:type="dxa"/>
            <w:right w:w="0" w:type="dxa"/>
          </w:tblCellMar>
        </w:tblPrEx>
        <w:trPr>
          <w:trHeight w:val="360" w:hRule="atLeast"/>
          <w:jc w:val="center"/>
        </w:trPr>
        <w:tc>
          <w:tcPr>
            <w:tcW w:w="2685" w:type="dxa"/>
            <w:tcBorders>
              <w:top w:val="nil"/>
              <w:left w:val="single" w:color="auto" w:sz="6" w:space="0"/>
              <w:bottom w:val="single" w:color="auto" w:sz="6" w:space="0"/>
              <w:right w:val="single" w:color="auto" w:sz="6" w:space="0"/>
            </w:tcBorders>
            <w:shd w:val="clear"/>
            <w:noWrap/>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2"/>
                <w:szCs w:val="22"/>
                <w:bdr w:val="none" w:color="auto" w:sz="0" w:space="0"/>
              </w:rPr>
              <w:t>梅努斯学院</w:t>
            </w:r>
          </w:p>
        </w:tc>
        <w:tc>
          <w:tcPr>
            <w:tcW w:w="1350" w:type="dxa"/>
            <w:tcBorders>
              <w:top w:val="nil"/>
              <w:left w:val="nil"/>
              <w:bottom w:val="single" w:color="auto" w:sz="6" w:space="0"/>
              <w:right w:val="single" w:color="auto" w:sz="6" w:space="0"/>
            </w:tcBorders>
            <w:shd w:val="clear"/>
            <w:noWrap/>
            <w:tcMar>
              <w:left w:w="105" w:type="dxa"/>
              <w:right w:w="105" w:type="dxa"/>
            </w:tcMar>
            <w:vAlign w:val="center"/>
          </w:tcPr>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0"/>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sz w:val="28"/>
                <w:szCs w:val="28"/>
                <w:bdr w:val="none" w:color="auto" w:sz="0" w:space="0"/>
                <w:lang w:val="en-US"/>
              </w:rPr>
              <w:t>87</w:t>
            </w:r>
          </w:p>
        </w:tc>
        <w:tc>
          <w:tcPr>
            <w:tcW w:w="3255" w:type="dxa"/>
            <w:tcBorders>
              <w:top w:val="nil"/>
              <w:left w:val="nil"/>
              <w:bottom w:val="single" w:color="auto" w:sz="6" w:space="0"/>
              <w:right w:val="single" w:color="auto" w:sz="6" w:space="0"/>
            </w:tcBorders>
            <w:shd w:val="clear"/>
            <w:noWrap/>
            <w:tcMar>
              <w:left w:w="105" w:type="dxa"/>
              <w:right w:w="105" w:type="dxa"/>
            </w:tcMar>
            <w:vAlign w:val="center"/>
          </w:tcPr>
          <w:p>
            <w:pPr>
              <w:keepNext w:val="0"/>
              <w:keepLines w:val="0"/>
              <w:widowControl/>
              <w:suppressLineNumbers w:val="0"/>
              <w:spacing w:before="0" w:beforeAutospacing="0" w:after="0" w:afterAutospacing="0"/>
              <w:ind w:left="0" w:right="0"/>
              <w:jc w:val="left"/>
              <w:rPr>
                <w:rFonts w:hint="eastAsia" w:ascii="方正仿宋_GB2312" w:hAnsi="方正仿宋_GB2312" w:eastAsia="方正仿宋_GB2312" w:cs="方正仿宋_GB2312"/>
              </w:rPr>
            </w:pPr>
          </w:p>
        </w:tc>
      </w:tr>
    </w:tbl>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rPr>
          <w:rFonts w:hint="eastAsia" w:ascii="方正仿宋_GB2312" w:hAnsi="方正仿宋_GB2312" w:eastAsia="方正仿宋_GB2312" w:cs="方正仿宋_GB2312"/>
          <w:sz w:val="28"/>
          <w:szCs w:val="28"/>
        </w:rPr>
      </w:pP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bdr w:val="none" w:color="auto" w:sz="0" w:space="0"/>
        </w:rPr>
        <w:t>全国大学英语六级考试成绩达到教育部考试中心规定的合格分数线或全国大学英语四级考试成绩达到480分及以上（艺术类学生达到425分及以上），也可视为英语考试成绩符合推免生要求。英语专业学生须通过全国高校英语专业四级考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bdr w:val="none" w:color="auto" w:sz="0" w:space="0"/>
        </w:rPr>
        <w:t>四、工作程序</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bdr w:val="none" w:color="auto" w:sz="0" w:space="0"/>
        </w:rPr>
        <w:t>推荐工作要严格按照《实施办法》要求开展：</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bdr w:val="none" w:color="auto" w:sz="0" w:space="0"/>
        </w:rPr>
        <w:t>1.各专业的推荐比例一般为推免名额的1:1.2至1:1.5之间，具体比例由各学院根据学科情况自行确定，在本学院推荐工作方案中明确并及时公布。各专业根据推免生名额和推荐比例确定具有申请推免资格学生人数（按四舍五入确定），本科阶段学业综合成绩是推免工作最基础的遴选指标，具有推免申请资格学生名单根据各专业同年级学业综合成绩从高到低顺序确定。</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bdr w:val="none" w:color="auto" w:sz="0" w:space="0"/>
        </w:rPr>
        <w:t>2.符合推免申请资格的学生须填写《推荐免试攻读研究生资格申请书》并提供科研成果和学科竞赛支撑材料，学院应对学生的科研创新成果、论文、竞赛获奖奖项及内容进行审核鉴定，排除抄袭、造假、冒名及有名无实等情况，并按学院制定的科研成果和学科竞赛赋分方法计算相应分数。符合推免生申请资格的学生应在规定时间内递交申请表和相应材料，未及时递交者视为自愿放弃推免生资格。</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bdr w:val="none" w:color="auto" w:sz="0" w:space="0"/>
        </w:rPr>
        <w:t>3.综合测评成绩由学业综合成绩及综合素质测评组成，其中学业综合成绩占比90%，综合素质测评占比10%（本专业相关的科研成果和学科竞赛占7%，其他占3%），学业综合成绩及纳入综合素质测评指标体系各项目的截止时间为9月15日下午17时，学业综合成绩按标准分换算成百分制。即：</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bdr w:val="none" w:color="auto" w:sz="0" w:space="0"/>
        </w:rPr>
        <w:t>综合测评成绩=（被推荐学生学分绩点值/本专业第一名学生学分绩点值）×100×90%+综合素质测评×10%。</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bdr w:val="none" w:color="auto" w:sz="0" w:space="0"/>
        </w:rPr>
        <w:t>4.具有特殊学术专长或突出培养潜质的推免生工作要求，详见《实施办法》第十一条。参加中国“互联网+”创新创业大赛获奖，若排位已在学院推荐指标范围内，则不再预留指标。</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bdr w:val="none" w:color="auto" w:sz="0" w:space="0"/>
        </w:rPr>
        <w:t>5.学院根据综合测评成绩排出综合排名，并结合本学院特殊学术专长申请情况，择优确定拟推免名单。如符合条件的优秀学生数确实超出下达的名额，学院可作为候补对象上报，并以学院为单位注明候补顺序。推荐工作要保证质量，宁缺毋滥。各学院、各专业的推免指标不能完成的，由学校收回，统筹安排。</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bdr w:val="none" w:color="auto" w:sz="0" w:space="0"/>
        </w:rPr>
        <w:t>6.2024年我校继续开展中国青年志愿者扶贫接力计划研究生支教团工作，推免条件、推荐和接收程序原则上按学校推免规定和团中央关于研究生支教团的有关文件要求执行，研究生支教团属特殊政策专项计划，限推本校，推荐遴选工作由校团委负责组织。鉴于该专项计划的特殊性，经校推免生遴选工作领导小组会议审议，研支团综合能力考核比例为推免名额的1:1.2至1:2之间，且综合测评方法参见《福州大学关于印发中国青年志愿者扶贫接力计划研究生支教团组建招募工作实施办法的通知》。</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bdr w:val="none" w:color="auto" w:sz="0" w:space="0"/>
        </w:rPr>
        <w:t>7.2024年我校继续开展推荐优秀应届本科毕业生学生干部免试攻读硕士学位研究生（辅导员专项计划），具体实施办法参照《福州大学关于做好2024年推荐免试研究生辅导员选聘工作的通知》文件执行。</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bdr w:val="none" w:color="auto" w:sz="0" w:space="0"/>
        </w:rPr>
        <w:t>8.根据《关于接收“国防科工单位补偿计划”推免生攻读2024年硕士研究生的函》，国防科技大学拟在我校使用“国防科工补偿计划”接收电子科学与技术、计算机科学与技术两个专业的优秀应届本科毕业生，具体选拔条件参见《国防科技大学接收“国防科工单位补偿计划”推免生攻读2024年硕士研究生的需求》，请相关学院按要求开展工作。</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bdr w:val="none" w:color="auto" w:sz="0" w:space="0"/>
        </w:rPr>
        <w:t>五、时间安排</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bdr w:val="none" w:color="auto" w:sz="0" w:space="0"/>
        </w:rPr>
        <w:t>1.9月22日前学院报送经学院网站公示的推免生初选名单、相关材料。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bdr w:val="none" w:color="auto" w:sz="0" w:space="0"/>
        </w:rPr>
        <w:t>2.9月26日前学校审核确定推免生名单，并在校园网上公示。</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bdr w:val="none" w:color="auto" w:sz="0" w:space="0"/>
        </w:rPr>
        <w:t>3.9月27日前学校在教育部“推免服务系统”上传推免生名单，报省教育考试院进行政策审核，并按要求向教育部备案。</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bdr w:val="none" w:color="auto" w:sz="0" w:space="0"/>
        </w:rPr>
        <w:t>六、上报材料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bdr w:val="none" w:color="auto" w:sz="0" w:space="0"/>
        </w:rPr>
        <w:t>1.学院推免领导小组名单和推免工作细则确定后，须及时打印经院领导签字盖院章后报招生考试中心。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bdr w:val="none" w:color="auto" w:sz="0" w:space="0"/>
        </w:rPr>
        <w:t>2.《推免生基本情况汇总表》原件（附件三）。通过教务处系统打印并签字盖章。</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bdr w:val="none" w:color="auto" w:sz="0" w:space="0"/>
        </w:rPr>
        <w:t>3.推荐考生的电子版成绩单。每个考生成绩单单独以“身份证号_姓名.pdf”命名，电子版成绩单由各学院负责审核，须与原件相符。</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bdr w:val="none" w:color="auto" w:sz="0" w:space="0"/>
        </w:rPr>
        <w:t>4.确属有特殊学术专长或具有突出培养潜质者，须由学院提供《有特殊学术专长或具有突出培养潜质学生情况说明表》原件（附件四）及相应证明材料复印件。证明材料均须经学院核查原件和复印件，确认无误，核查人在复印件上签名并加盖学院公章。同时，附上公示工作相关文件材料。</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bdr w:val="none" w:color="auto" w:sz="0" w:space="0"/>
        </w:rPr>
        <w:t>5.请各学院公示推荐名单前根据《推免遴选工作自查表》（附件五）进行全面自查，以确保各项工作准确无误。</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bdr w:val="none" w:color="auto" w:sz="0" w:space="0"/>
          <w:shd w:val="clear" w:fill="F8F8F8"/>
        </w:rPr>
        <w:t>相关材料纸质件，请各学院上交晋江楼三楼南侧招生考试中心办公室；相关材料电子版，请各学院打包发送邮箱：48242526@qq.com。</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bdr w:val="none" w:color="auto" w:sz="0" w:space="0"/>
        </w:rPr>
        <w:t>                                             福州大学招生考试中心</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50" w:lineRule="atLeast"/>
        <w:ind w:left="0" w:right="0" w:firstLine="420"/>
        <w:jc w:val="center"/>
        <w:rPr>
          <w:rFonts w:hint="eastAsia" w:ascii="方正仿宋_GB2312" w:hAnsi="方正仿宋_GB2312" w:eastAsia="方正仿宋_GB2312" w:cs="方正仿宋_GB2312"/>
          <w:sz w:val="28"/>
          <w:szCs w:val="28"/>
        </w:rPr>
      </w:pPr>
      <w:r>
        <w:rPr>
          <w:rFonts w:hint="eastAsia" w:ascii="方正仿宋_GB2312" w:hAnsi="方正仿宋_GB2312" w:eastAsia="方正仿宋_GB2312" w:cs="方正仿宋_GB2312"/>
          <w:i w:val="0"/>
          <w:iCs w:val="0"/>
          <w:caps w:val="0"/>
          <w:spacing w:val="0"/>
          <w:sz w:val="28"/>
          <w:szCs w:val="28"/>
          <w:bdr w:val="none" w:color="auto" w:sz="0" w:space="0"/>
        </w:rPr>
        <w:t>                                                  2023年9月15日</w:t>
      </w:r>
    </w:p>
    <w:p>
      <w:pPr>
        <w:rPr>
          <w:rFonts w:hint="eastAsia" w:ascii="方正仿宋_GB2312" w:hAnsi="方正仿宋_GB2312" w:eastAsia="方正仿宋_GB2312" w:cs="方正仿宋_GB231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 w:name="等线">
    <w:altName w:val="微软雅黑"/>
    <w:panose1 w:val="00000000000000000000"/>
    <w:charset w:val="00"/>
    <w:family w:val="auto"/>
    <w:pitch w:val="default"/>
    <w:sig w:usb0="00000000" w:usb1="00000000" w:usb2="00000000" w:usb3="00000000" w:csb0="00000000" w:csb1="00000000"/>
  </w:font>
  <w:font w:name="Calibri Light">
    <w:panose1 w:val="020F0302020204030204"/>
    <w:charset w:val="00"/>
    <w:family w:val="auto"/>
    <w:pitch w:val="default"/>
    <w:sig w:usb0="A00002EF" w:usb1="4000207B" w:usb2="00000000" w:usb3="00000000" w:csb0="2000019F" w:csb1="00000000"/>
  </w:font>
  <w:font w:name="华文行楷">
    <w:panose1 w:val="02010800040101010101"/>
    <w:charset w:val="86"/>
    <w:family w:val="auto"/>
    <w:pitch w:val="default"/>
    <w:sig w:usb0="00000001" w:usb1="080F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方正仿宋_GB18030">
    <w:panose1 w:val="02000000000000000000"/>
    <w:charset w:val="86"/>
    <w:family w:val="auto"/>
    <w:pitch w:val="default"/>
    <w:sig w:usb0="00000001" w:usb1="0800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2NlNzMzNmU4Yzc3OWNjZDk4NzU4OTFlOTM0OGYzYzkifQ=="/>
  </w:docVars>
  <w:rsids>
    <w:rsidRoot w:val="4FCB5040"/>
    <w:rsid w:val="4FCB504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Office_12.1.0.15673_F1E327BC-269C-435d-A152-05C5408002CA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2023-09-19T04:46:00Z</dcterms:created>
  <dc:creator>chen</dc:creator>
  <cp:lastModifiedBy>chen</cp:lastModifiedBy>
  <dcterms:modified xsi:type="dcterms:W3CDTF">2023-09-19T04:47:27Z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2052-12.1.0.15673</vt:lpwstr>
  </property>
  <property fmtid="{D5CDD505-2E9C-101B-9397-08002B2CF9AE}" pid="3" name="ICV">
    <vt:lpwstr>79A0E40E2E91459282EFCAD6047D028A_11</vt:lpwstr>
  </property>
</Properties>
</file>