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ascii="华文新魏" w:hAnsi="华文新魏" w:eastAsia="华文新魏" w:cs="华文新魏"/>
          <w:sz w:val="28"/>
          <w:szCs w:val="28"/>
          <w:bdr w:val="none" w:color="auto" w:sz="0" w:space="0"/>
        </w:rPr>
      </w:pPr>
      <w:r>
        <w:rPr>
          <w:rFonts w:hint="eastAsia" w:ascii="华文新魏" w:hAnsi="华文新魏" w:eastAsia="华文新魏" w:cs="华文新魏"/>
          <w:sz w:val="28"/>
          <w:szCs w:val="28"/>
          <w:bdr w:val="none" w:color="auto" w:sz="0" w:space="0"/>
        </w:rPr>
        <w:t>福州大学推荐优秀应届本科毕业生</w:t>
      </w:r>
      <w:r>
        <w:rPr>
          <w:rFonts w:hint="eastAsia" w:ascii="华文新魏" w:hAnsi="华文新魏" w:eastAsia="华文新魏" w:cs="华文新魏"/>
          <w:sz w:val="28"/>
          <w:szCs w:val="28"/>
          <w:bdr w:val="none" w:color="auto" w:sz="0" w:space="0"/>
        </w:rPr>
        <w:t>免</w:t>
      </w:r>
      <w:bookmarkStart w:id="0" w:name="_GoBack"/>
      <w:bookmarkEnd w:id="0"/>
      <w:r>
        <w:rPr>
          <w:rFonts w:hint="eastAsia" w:ascii="华文新魏" w:hAnsi="华文新魏" w:eastAsia="华文新魏" w:cs="华文新魏"/>
          <w:sz w:val="28"/>
          <w:szCs w:val="28"/>
          <w:bdr w:val="none" w:color="auto" w:sz="0" w:space="0"/>
        </w:rPr>
        <w:t>试攻读研究生工作实施办法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ascii="华文新魏" w:hAnsi="华文新魏" w:eastAsia="华文新魏" w:cs="华文新魏"/>
          <w:sz w:val="28"/>
          <w:szCs w:val="28"/>
        </w:rPr>
      </w:pPr>
      <w:r>
        <w:rPr>
          <w:rFonts w:hint="eastAsia" w:ascii="华文新魏" w:hAnsi="华文新魏" w:eastAsia="华文新魏" w:cs="华文新魏"/>
          <w:sz w:val="28"/>
          <w:szCs w:val="28"/>
          <w:bdr w:val="none" w:color="auto" w:sz="0" w:space="0"/>
        </w:rPr>
        <w:t>补充规定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Style w:val="5"/>
          <w:rFonts w:ascii="仿宋_gb2312" w:hAnsi="仿宋_gb2312" w:eastAsia="仿宋_gb2312" w:cs="仿宋_gb2312"/>
          <w:sz w:val="24"/>
          <w:szCs w:val="24"/>
          <w:bdr w:val="none" w:color="auto" w:sz="0" w:space="0"/>
        </w:rPr>
        <w:t>第一条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 </w:t>
      </w:r>
      <w:r>
        <w:rPr>
          <w:rFonts w:ascii="仿宋_gb2312" w:hAnsi="仿宋_gb2312" w:eastAsia="仿宋_gb2312" w:cs="仿宋_gb2312"/>
          <w:sz w:val="24"/>
          <w:szCs w:val="24"/>
          <w:bdr w:val="none" w:color="auto" w:sz="0" w:space="0"/>
        </w:rPr>
        <w:t>为发挥科研竞赛在促进青年创新人才成长、深化高校素质教育、推动经济社会发展等方面的积极作用，进一步完善学校推荐优秀应届本科毕业生免试攻读硕士学位研究生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(以下简称“推免生”)工作，特对</w:t>
      </w:r>
      <w:r>
        <w:rPr>
          <w:rFonts w:hint="default" w:ascii="仿宋_gb2312" w:hAnsi="仿宋_gb2312" w:eastAsia="仿宋_gb2312" w:cs="仿宋_gb2312"/>
          <w:spacing w:val="0"/>
          <w:sz w:val="24"/>
          <w:szCs w:val="24"/>
          <w:bdr w:val="none" w:color="auto" w:sz="0" w:space="0"/>
        </w:rPr>
        <w:t>《福州大学推荐优秀应届本科毕业生免试攻读研究生工作实施办法（2022年修订）》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第四章第十一条（六）进行补充规定。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Style w:val="5"/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第二条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 参加中国国际大学生创新大赛、“挑战杯”全国大学生课外学术科技作品竞赛、“挑战杯”中国大学生创业计划竞赛，获得全国奖项项目的成员名单中排名前三（项目成员排序以最终获奖证书为准），且学业综合成绩排名符合下表所示条件的本科生（数理综合班等校级实验班等比例调整），可被认定具备“特殊学术专长或突出培养潜质”的基本条件，免答辩资格审查，但须参加学院组织的公开答辩，由专家审核小组和院推免生遴选工作领导小组研究决定是否推荐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               获奖学生</w:t>
      </w:r>
      <w:r>
        <w:rPr>
          <w:rFonts w:hint="default" w:ascii="仿宋_gb2312" w:hAnsi="仿宋_gb2312" w:eastAsia="仿宋_gb2312" w:cs="仿宋_gb2312"/>
          <w:spacing w:val="0"/>
          <w:sz w:val="24"/>
          <w:szCs w:val="24"/>
          <w:bdr w:val="none" w:color="auto" w:sz="0" w:space="0"/>
        </w:rPr>
        <w:t>学业综合成绩在本专业同年级排名要求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8"/>
        <w:gridCol w:w="2393"/>
        <w:gridCol w:w="2268"/>
        <w:gridCol w:w="19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720"/>
              <w:rPr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</w:rPr>
              <w:t>赛事名称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rPr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</w:rPr>
              <w:t>获奖等次</w:t>
            </w:r>
          </w:p>
        </w:tc>
        <w:tc>
          <w:tcPr>
            <w:tcW w:w="25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</w:rPr>
              <w:t>中国国际大学生创新大赛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</w:rPr>
              <w:t>“挑战杯”全国大学生课外学术科技作品竞赛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  <w:bdr w:val="none" w:color="auto" w:sz="0" w:space="0"/>
              </w:rPr>
              <w:t>“挑战杯”中国大学生创业计划竞赛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特等奖/金奖</w:t>
            </w:r>
          </w:p>
        </w:tc>
        <w:tc>
          <w:tcPr>
            <w:tcW w:w="25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35%</w:t>
            </w:r>
          </w:p>
        </w:tc>
        <w:tc>
          <w:tcPr>
            <w:tcW w:w="24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35%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一等奖/银奖</w:t>
            </w:r>
          </w:p>
        </w:tc>
        <w:tc>
          <w:tcPr>
            <w:tcW w:w="25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25%</w:t>
            </w:r>
          </w:p>
        </w:tc>
        <w:tc>
          <w:tcPr>
            <w:tcW w:w="24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25%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二等奖/铜奖</w:t>
            </w:r>
          </w:p>
        </w:tc>
        <w:tc>
          <w:tcPr>
            <w:tcW w:w="25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20%</w:t>
            </w:r>
          </w:p>
        </w:tc>
        <w:tc>
          <w:tcPr>
            <w:tcW w:w="24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20%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2775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Style w:val="5"/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第三条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 招生考试中心依据当年指标总数情况为上述特殊学术专长单列指标，并在当年度工作通知中公布。若符合条件学生人数超出单列指标数，则由学生工作部（处）和校团委共同制定选拔办法，并按单列指标数上报免答辩资格审查的学生名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Style w:val="5"/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第四条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 上述赛事获奖学生，若学业综合成绩排名已在学院推荐指标范围内，则不再预留指标。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5"/>
        <w:rPr>
          <w:sz w:val="24"/>
          <w:szCs w:val="24"/>
        </w:rPr>
      </w:pPr>
      <w:r>
        <w:rPr>
          <w:rStyle w:val="5"/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第五条</w:t>
      </w:r>
      <w:r>
        <w:rPr>
          <w:rFonts w:hint="default" w:ascii="仿宋_gb2312" w:hAnsi="仿宋_gb2312" w:eastAsia="仿宋_gb2312" w:cs="仿宋_gb2312"/>
          <w:sz w:val="24"/>
          <w:szCs w:val="24"/>
          <w:bdr w:val="none" w:color="auto" w:sz="0" w:space="0"/>
        </w:rPr>
        <w:t>  本规定自公布之日起施行，具体解释工作由招生考试中心承担。未尽事宜或有变化，以教育部及学校最新推免工作通知为准。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rPr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kZTdjNTdkMWY1ZjY0NmJjMjVmZmU0ZTg1ODQ1MWIifQ=="/>
  </w:docVars>
  <w:rsids>
    <w:rsidRoot w:val="2CA94EEB"/>
    <w:rsid w:val="27393C69"/>
    <w:rsid w:val="2CA9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2024-04-24T01:58:00Z</dcterms:created>
  <dc:creator>毛行娟</dc:creator>
  <cp:lastModifiedBy>毛行娟</cp:lastModifiedBy>
  <dcterms:modified xsi:type="dcterms:W3CDTF">2024-04-24T02:08:51Z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D61B779FEBB141729EDE0F00FA526C58_11</vt:lpwstr>
  </property>
</Properties>
</file>