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3"/>
        <w:widowControl/>
        <w:shd w:val="clear" w:color="auto" w:fill="FFFFFF"/>
        <w:spacing w:before="300" w:beforeAutospacing="0" w:after="150" w:afterAutospacing="0" w:line="17" w:lineRule="atLeast"/>
        <w:jc w:val="center"/>
        <w:rPr>
          <w:rFonts w:hint="default" w:ascii="Times New Roman" w:hAnsi="Times New Roman"/>
          <w:color w:val="000000" w:themeColor="text1"/>
          <w:sz w:val="36"/>
          <w:szCs w:val="36"/>
          <w14:textFill>
            <w14:solidFill>
              <w14:schemeClr w14:val="tx1"/>
            </w14:solidFill>
          </w14:textFill>
        </w:rPr>
      </w:pPr>
      <w:r>
        <w:rPr>
          <w:rFonts w:hint="default" w:ascii="Times New Roman" w:hAnsi="Times New Roman"/>
          <w:color w:val="000000" w:themeColor="text1"/>
          <w:sz w:val="36"/>
          <w:szCs w:val="36"/>
          <w:shd w:val="clear" w:color="auto" w:fill="FFFFFF"/>
          <w14:textFill>
            <w14:solidFill>
              <w14:schemeClr w14:val="tx1"/>
            </w14:solidFill>
          </w14:textFill>
        </w:rPr>
        <w:t>福州大学梅努斯国际工程学院</w:t>
      </w:r>
      <w:r>
        <w:rPr>
          <w:rFonts w:ascii="Times New Roman" w:hAnsi="Times New Roman"/>
          <w:color w:val="000000" w:themeColor="text1"/>
          <w:sz w:val="36"/>
          <w:szCs w:val="36"/>
          <w:shd w:val="clear" w:color="auto" w:fill="FFFFFF"/>
          <w14:textFill>
            <w14:solidFill>
              <w14:schemeClr w14:val="tx1"/>
            </w14:solidFill>
          </w14:textFill>
        </w:rPr>
        <w:t>2025</w:t>
      </w:r>
      <w:r>
        <w:rPr>
          <w:rFonts w:hint="default" w:ascii="Times New Roman" w:hAnsi="Times New Roman"/>
          <w:color w:val="000000" w:themeColor="text1"/>
          <w:sz w:val="36"/>
          <w:szCs w:val="36"/>
          <w:shd w:val="clear" w:color="auto" w:fill="FFFFFF"/>
          <w14:textFill>
            <w14:solidFill>
              <w14:schemeClr w14:val="tx1"/>
            </w14:solidFill>
          </w14:textFill>
        </w:rPr>
        <w:t>年推荐优秀应届本科毕业生免试攻读研究生综合素质测</w:t>
      </w:r>
      <w:r>
        <w:rPr>
          <w:rFonts w:ascii="Times New Roman" w:hAnsi="Times New Roman"/>
          <w:color w:val="000000" w:themeColor="text1"/>
          <w:sz w:val="36"/>
          <w:szCs w:val="36"/>
          <w:shd w:val="clear" w:color="auto" w:fill="FFFFFF"/>
          <w14:textFill>
            <w14:solidFill>
              <w14:schemeClr w14:val="tx1"/>
            </w14:solidFill>
          </w14:textFill>
        </w:rPr>
        <w:t>评</w:t>
      </w:r>
      <w:r>
        <w:rPr>
          <w:rFonts w:hint="default" w:ascii="Times New Roman" w:hAnsi="Times New Roman"/>
          <w:color w:val="000000" w:themeColor="text1"/>
          <w:sz w:val="36"/>
          <w:szCs w:val="36"/>
          <w:shd w:val="clear" w:color="auto" w:fill="FFFFFF"/>
          <w14:textFill>
            <w14:solidFill>
              <w14:schemeClr w14:val="tx1"/>
            </w14:solidFill>
          </w14:textFill>
        </w:rPr>
        <w:t>实施细则</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根据《福州大学推荐优秀应届本科毕业生免试攻读研究生工作实施办法（2022年修订）》文件精神，为做好我院</w:t>
      </w:r>
      <w:r>
        <w:rPr>
          <w:rFonts w:hint="eastAsia" w:ascii="Times New Roman" w:hAnsi="Times New Roman" w:cs="Times New Roman"/>
          <w:color w:val="000000" w:themeColor="text1"/>
          <w:sz w:val="32"/>
          <w:szCs w:val="32"/>
          <w14:textFill>
            <w14:solidFill>
              <w14:schemeClr w14:val="tx1"/>
            </w14:solidFill>
          </w14:textFill>
        </w:rPr>
        <w:t>2025</w:t>
      </w:r>
      <w:r>
        <w:rPr>
          <w:rFonts w:ascii="Times New Roman" w:hAnsi="Times New Roman" w:cs="Times New Roman"/>
          <w:color w:val="000000" w:themeColor="text1"/>
          <w:sz w:val="32"/>
          <w:szCs w:val="32"/>
          <w14:textFill>
            <w14:solidFill>
              <w14:schemeClr w14:val="tx1"/>
            </w14:solidFill>
          </w14:textFill>
        </w:rPr>
        <w:t>年推荐免试研究生中综合素质测评考核工作，特制定本细则。</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一、学分绩点成绩（各专业按教务处导出绩点为准）占综合测评总成绩的权重为90%，综合素质测评占综合测评成绩10%（其中本专业相关的科研成果和学科竞赛占7%，</w:t>
      </w:r>
      <w:r>
        <w:rPr>
          <w:rFonts w:hint="eastAsia" w:ascii="Times New Roman" w:hAnsi="Times New Roman" w:cs="Times New Roman"/>
          <w:color w:val="000000" w:themeColor="text1"/>
          <w:sz w:val="32"/>
          <w:szCs w:val="32"/>
          <w14:textFill>
            <w14:solidFill>
              <w14:schemeClr w14:val="tx1"/>
            </w14:solidFill>
          </w14:textFill>
        </w:rPr>
        <w:t>其他</w:t>
      </w:r>
      <w:r>
        <w:rPr>
          <w:rFonts w:ascii="Times New Roman" w:hAnsi="Times New Roman" w:cs="Times New Roman"/>
          <w:color w:val="000000" w:themeColor="text1"/>
          <w:sz w:val="32"/>
          <w:szCs w:val="32"/>
          <w14:textFill>
            <w14:solidFill>
              <w14:schemeClr w14:val="tx1"/>
            </w14:solidFill>
          </w14:textFill>
        </w:rPr>
        <w:t>占3%）。即：综合测评成绩=（被推荐学生学分绩点值/本专业第一名学生学分绩点值）×100×90%+综合素质成绩（注：按百分制）×10%。</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二、本专业相关的科研成果和学科竞赛具体加分分值（满分</w:t>
      </w:r>
      <w:r>
        <w:rPr>
          <w:rFonts w:hint="eastAsia" w:ascii="Times New Roman" w:hAnsi="Times New Roman" w:cs="Times New Roman"/>
          <w:color w:val="000000" w:themeColor="text1"/>
          <w:sz w:val="32"/>
          <w:szCs w:val="32"/>
          <w14:textFill>
            <w14:solidFill>
              <w14:schemeClr w14:val="tx1"/>
            </w14:solidFill>
          </w14:textFill>
        </w:rPr>
        <w:t>10</w:t>
      </w:r>
      <w:r>
        <w:rPr>
          <w:rFonts w:ascii="Times New Roman" w:hAnsi="Times New Roman" w:cs="Times New Roman"/>
          <w:color w:val="000000" w:themeColor="text1"/>
          <w:sz w:val="32"/>
          <w:szCs w:val="32"/>
          <w14:textFill>
            <w14:solidFill>
              <w14:schemeClr w14:val="tx1"/>
            </w14:solidFill>
          </w14:textFill>
        </w:rPr>
        <w:t>0分</w:t>
      </w:r>
      <w:r>
        <w:rPr>
          <w:rFonts w:hint="eastAsia" w:ascii="Times New Roman" w:hAnsi="Times New Roman" w:cs="Times New Roman"/>
          <w:color w:val="000000" w:themeColor="text1"/>
          <w:sz w:val="32"/>
          <w:szCs w:val="32"/>
          <w14:textFill>
            <w14:solidFill>
              <w14:schemeClr w14:val="tx1"/>
            </w14:solidFill>
          </w14:textFill>
        </w:rPr>
        <w:t>，超过100分按100分计</w:t>
      </w:r>
      <w:r>
        <w:rPr>
          <w:rFonts w:ascii="Times New Roman" w:hAnsi="Times New Roman" w:cs="Times New Roman"/>
          <w:color w:val="000000" w:themeColor="text1"/>
          <w:sz w:val="32"/>
          <w:szCs w:val="32"/>
          <w14:textFill>
            <w14:solidFill>
              <w14:schemeClr w14:val="tx1"/>
            </w14:solidFill>
          </w14:textFill>
        </w:rPr>
        <w:t>）如下：</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根据申请推免生本人本科期间参与本专业相关的科研成果和学科竞赛给予加分，加分具体项目如下：</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（一）论文发表</w:t>
      </w:r>
    </w:p>
    <w:p>
      <w:pPr>
        <w:pStyle w:val="14"/>
        <w:autoSpaceDE w:val="0"/>
        <w:adjustRightInd w:val="0"/>
        <w:snapToGrid w:val="0"/>
        <w:spacing w:before="0" w:after="0" w:line="520" w:lineRule="exact"/>
        <w:ind w:firstLine="482" w:firstLineChars="200"/>
        <w:jc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表1发表论文计分表</w:t>
      </w:r>
    </w:p>
    <w:tbl>
      <w:tblPr>
        <w:tblStyle w:val="10"/>
        <w:tblW w:w="8430" w:type="dxa"/>
        <w:jc w:val="center"/>
        <w:tblLayout w:type="autofit"/>
        <w:tblCellMar>
          <w:top w:w="0" w:type="dxa"/>
          <w:left w:w="108" w:type="dxa"/>
          <w:bottom w:w="0" w:type="dxa"/>
          <w:right w:w="108" w:type="dxa"/>
        </w:tblCellMar>
      </w:tblPr>
      <w:tblGrid>
        <w:gridCol w:w="807"/>
        <w:gridCol w:w="4932"/>
        <w:gridCol w:w="2691"/>
      </w:tblGrid>
      <w:tr>
        <w:tblPrEx>
          <w:tblCellMar>
            <w:top w:w="0" w:type="dxa"/>
            <w:left w:w="108" w:type="dxa"/>
            <w:bottom w:w="0" w:type="dxa"/>
            <w:right w:w="108" w:type="dxa"/>
          </w:tblCellMar>
        </w:tblPrEx>
        <w:trPr>
          <w:trHeight w:val="285" w:hRule="atLeast"/>
          <w:jc w:val="center"/>
        </w:trPr>
        <w:tc>
          <w:tcPr>
            <w:tcW w:w="5739" w:type="dxa"/>
            <w:gridSpan w:val="2"/>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2" w:firstLineChars="200"/>
              <w:jc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论文级别（各类等级认定详见期刊认定标准）</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2" w:firstLineChars="200"/>
              <w:jc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分值（每篇）</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顶级期刊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50</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理工科“卓越期刊”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30</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理工科“一类核心期刊”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w:t>
            </w:r>
          </w:p>
        </w:tc>
      </w:tr>
      <w:tr>
        <w:tblPrEx>
          <w:tblCellMar>
            <w:top w:w="0" w:type="dxa"/>
            <w:left w:w="108" w:type="dxa"/>
            <w:bottom w:w="0" w:type="dxa"/>
            <w:right w:w="108" w:type="dxa"/>
          </w:tblCellMar>
        </w:tblPrEx>
        <w:trPr>
          <w:trHeight w:val="285" w:hRule="atLeast"/>
          <w:jc w:val="center"/>
        </w:trPr>
        <w:tc>
          <w:tcPr>
            <w:tcW w:w="807"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4</w:t>
            </w:r>
          </w:p>
        </w:tc>
        <w:tc>
          <w:tcPr>
            <w:tcW w:w="4932"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ind w:firstLine="480" w:firstLineChars="200"/>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理工科“核心期刊”</w:t>
            </w:r>
          </w:p>
        </w:tc>
        <w:tc>
          <w:tcPr>
            <w:tcW w:w="269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line="520" w:lineRule="exact"/>
              <w:jc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6</w:t>
            </w:r>
          </w:p>
        </w:tc>
      </w:tr>
    </w:tbl>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1.论文级别的认定</w:t>
      </w:r>
      <w:r>
        <w:rPr>
          <w:rFonts w:hint="eastAsia" w:ascii="Times New Roman" w:hAnsi="Times New Roman" w:cs="Times New Roman"/>
          <w:color w:val="000000" w:themeColor="text1"/>
          <w:sz w:val="32"/>
          <w:szCs w:val="32"/>
          <w14:textFill>
            <w14:solidFill>
              <w14:schemeClr w14:val="tx1"/>
            </w14:solidFill>
          </w14:textFill>
        </w:rPr>
        <w:t>主要</w:t>
      </w:r>
      <w:r>
        <w:rPr>
          <w:rFonts w:ascii="Times New Roman" w:hAnsi="Times New Roman" w:cs="Times New Roman"/>
          <w:color w:val="000000" w:themeColor="text1"/>
          <w:sz w:val="32"/>
          <w:szCs w:val="32"/>
          <w14:textFill>
            <w14:solidFill>
              <w14:schemeClr w14:val="tx1"/>
            </w14:solidFill>
          </w14:textFill>
        </w:rPr>
        <w:t>参照《福州大学核心学术期刊目录及相关规定 2021 年版（试行）》（福大人〔2021〕59号）中的规定予以认定</w:t>
      </w:r>
      <w:r>
        <w:rPr>
          <w:rFonts w:hint="eastAsia" w:ascii="Times New Roman" w:hAnsi="Times New Roman" w:cs="Times New Roman"/>
          <w:color w:val="000000" w:themeColor="text1"/>
          <w:sz w:val="32"/>
          <w:szCs w:val="32"/>
          <w14:textFill>
            <w14:solidFill>
              <w14:schemeClr w14:val="tx1"/>
            </w14:solidFill>
          </w14:textFill>
        </w:rPr>
        <w:t>，参照</w:t>
      </w:r>
      <w:r>
        <w:rPr>
          <w:rFonts w:ascii="Times New Roman" w:hAnsi="Times New Roman" w:cs="Times New Roman"/>
          <w:color w:val="000000" w:themeColor="text1"/>
          <w:sz w:val="32"/>
          <w:szCs w:val="32"/>
          <w14:textFill>
            <w14:solidFill>
              <w14:schemeClr w14:val="tx1"/>
            </w14:solidFill>
          </w14:textFill>
        </w:rPr>
        <w:t>《福州大学</w:t>
      </w:r>
      <w:r>
        <w:rPr>
          <w:rFonts w:hint="eastAsia" w:ascii="Times New Roman" w:hAnsi="Times New Roman" w:cs="Times New Roman"/>
          <w:color w:val="000000" w:themeColor="text1"/>
          <w:sz w:val="32"/>
          <w:szCs w:val="32"/>
          <w14:textFill>
            <w14:solidFill>
              <w14:schemeClr w14:val="tx1"/>
            </w14:solidFill>
          </w14:textFill>
        </w:rPr>
        <w:t>学位与研究生教育学术期刊及论文认定实施细则</w:t>
      </w:r>
      <w:r>
        <w:rPr>
          <w:rFonts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14:textFill>
            <w14:solidFill>
              <w14:schemeClr w14:val="tx1"/>
            </w14:solidFill>
          </w14:textFill>
        </w:rPr>
        <w:t>校研</w:t>
      </w:r>
      <w:r>
        <w:rPr>
          <w:rFonts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14:textFill>
            <w14:solidFill>
              <w14:schemeClr w14:val="tx1"/>
            </w14:solidFill>
          </w14:textFill>
        </w:rPr>
        <w:t>2014</w:t>
      </w:r>
      <w:r>
        <w:rPr>
          <w:rFonts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14:textFill>
            <w14:solidFill>
              <w14:schemeClr w14:val="tx1"/>
            </w14:solidFill>
          </w14:textFill>
        </w:rPr>
        <w:t>2</w:t>
      </w:r>
      <w:r>
        <w:rPr>
          <w:rFonts w:ascii="Times New Roman" w:hAnsi="Times New Roman" w:cs="Times New Roman"/>
          <w:color w:val="000000" w:themeColor="text1"/>
          <w:sz w:val="32"/>
          <w:szCs w:val="32"/>
          <w14:textFill>
            <w14:solidFill>
              <w14:schemeClr w14:val="tx1"/>
            </w14:solidFill>
          </w14:textFill>
        </w:rPr>
        <w:t>号）</w:t>
      </w:r>
      <w:r>
        <w:rPr>
          <w:rFonts w:hint="eastAsia" w:ascii="Times New Roman" w:hAnsi="Times New Roman" w:cs="Times New Roman"/>
          <w:color w:val="000000" w:themeColor="text1"/>
          <w:sz w:val="32"/>
          <w:szCs w:val="32"/>
          <w14:textFill>
            <w14:solidFill>
              <w14:schemeClr w14:val="tx1"/>
            </w14:solidFill>
          </w14:textFill>
        </w:rPr>
        <w:t>中“二类期刊”目录补充理工科“核心期刊”认定范围</w:t>
      </w:r>
      <w:r>
        <w:rPr>
          <w:rFonts w:ascii="Times New Roman" w:hAnsi="Times New Roman" w:cs="Times New Roman"/>
          <w:color w:val="000000" w:themeColor="text1"/>
          <w:sz w:val="32"/>
          <w:szCs w:val="32"/>
          <w14:textFill>
            <w14:solidFill>
              <w14:schemeClr w14:val="tx1"/>
            </w14:solidFill>
          </w14:textFill>
        </w:rPr>
        <w:t>。以上文件若有修订，以新文件为准。发表学术论文必须与所就读的一级学科专业内容相关。</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2.第一作者给予满分，第二及后续作者以满分除以位次计分。指导教师为第一作者，申请人为第二作者的，经指导教师证明其完成论文主要工作、院学术委员会审查通过后，可按第一作者认定。</w:t>
      </w:r>
      <w:r>
        <w:rPr>
          <w:rFonts w:hint="eastAsia" w:ascii="Times New Roman" w:hAnsi="Times New Roman" w:cs="Times New Roman"/>
          <w:color w:val="000000" w:themeColor="text1"/>
          <w:sz w:val="32"/>
          <w:szCs w:val="32"/>
          <w14:textFill>
            <w14:solidFill>
              <w14:schemeClr w14:val="tx1"/>
            </w14:solidFill>
          </w14:textFill>
        </w:rPr>
        <w:t>共同一作以满分除以共一人数计分。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3.在各类期刊的增刊、会议论文集上发表的论文，</w:t>
      </w:r>
      <w:r>
        <w:rPr>
          <w:rFonts w:hint="eastAsia" w:ascii="Times New Roman" w:hAnsi="Times New Roman" w:cs="Times New Roman"/>
          <w:color w:val="000000" w:themeColor="text1"/>
          <w:sz w:val="32"/>
          <w:szCs w:val="32"/>
          <w14:textFill>
            <w14:solidFill>
              <w14:schemeClr w14:val="tx1"/>
            </w14:solidFill>
          </w14:textFill>
        </w:rPr>
        <w:t>只认定一篇</w:t>
      </w:r>
      <w:r>
        <w:rPr>
          <w:rFonts w:ascii="Times New Roman" w:hAnsi="Times New Roman" w:cs="Times New Roman"/>
          <w:color w:val="000000" w:themeColor="text1"/>
          <w:sz w:val="32"/>
          <w:szCs w:val="32"/>
          <w14:textFill>
            <w14:solidFill>
              <w14:schemeClr w14:val="tx1"/>
            </w14:solidFill>
          </w14:textFill>
        </w:rPr>
        <w:t>。</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4.申请加分的学术论文应附上所有期刊、论文的检索证明。</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（二）发明专利</w:t>
      </w:r>
    </w:p>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表2发明专利计分表</w:t>
      </w:r>
    </w:p>
    <w:tbl>
      <w:tblPr>
        <w:tblStyle w:val="10"/>
        <w:tblW w:w="7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2"/>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类别</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发明专利授权</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实用新型专利授权、实用外观设计专利授权</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5</w:t>
            </w:r>
          </w:p>
        </w:tc>
      </w:tr>
    </w:tbl>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1.发表的专利福州大学必须为第一发明单位，受理中的专利不加分。</w:t>
      </w:r>
      <w:r>
        <w:rPr>
          <w:rFonts w:hint="eastAsia" w:ascii="Times New Roman" w:hAnsi="Times New Roman" w:cs="Times New Roman"/>
          <w:color w:val="000000" w:themeColor="text1"/>
          <w:sz w:val="32"/>
          <w:szCs w:val="32"/>
          <w14:textFill>
            <w14:solidFill>
              <w14:schemeClr w14:val="tx1"/>
            </w14:solidFill>
          </w14:textFill>
        </w:rPr>
        <w:t>专利加分只计前三发明人，</w:t>
      </w:r>
      <w:r>
        <w:rPr>
          <w:rFonts w:ascii="Times New Roman" w:hAnsi="Times New Roman" w:cs="Times New Roman"/>
          <w:color w:val="000000" w:themeColor="text1"/>
          <w:sz w:val="32"/>
          <w:szCs w:val="32"/>
          <w14:textFill>
            <w14:solidFill>
              <w14:schemeClr w14:val="tx1"/>
            </w14:solidFill>
          </w14:textFill>
        </w:rPr>
        <w:t>第一</w:t>
      </w:r>
      <w:r>
        <w:rPr>
          <w:rFonts w:hint="eastAsia" w:ascii="Times New Roman" w:hAnsi="Times New Roman" w:cs="Times New Roman"/>
          <w:color w:val="000000" w:themeColor="text1"/>
          <w:sz w:val="32"/>
          <w:szCs w:val="32"/>
          <w14:textFill>
            <w14:solidFill>
              <w14:schemeClr w14:val="tx1"/>
            </w14:solidFill>
          </w14:textFill>
        </w:rPr>
        <w:t>发明人</w:t>
      </w:r>
      <w:r>
        <w:rPr>
          <w:rFonts w:ascii="Times New Roman" w:hAnsi="Times New Roman" w:cs="Times New Roman"/>
          <w:color w:val="000000" w:themeColor="text1"/>
          <w:sz w:val="32"/>
          <w:szCs w:val="32"/>
          <w14:textFill>
            <w14:solidFill>
              <w14:schemeClr w14:val="tx1"/>
            </w14:solidFill>
          </w14:textFill>
        </w:rPr>
        <w:t>给予满分，第二及后续</w:t>
      </w:r>
      <w:r>
        <w:rPr>
          <w:rFonts w:hint="eastAsia" w:ascii="Times New Roman" w:hAnsi="Times New Roman" w:cs="Times New Roman"/>
          <w:color w:val="000000" w:themeColor="text1"/>
          <w:sz w:val="32"/>
          <w:szCs w:val="32"/>
          <w14:textFill>
            <w14:solidFill>
              <w14:schemeClr w14:val="tx1"/>
            </w14:solidFill>
          </w14:textFill>
        </w:rPr>
        <w:t>发明人</w:t>
      </w:r>
      <w:r>
        <w:rPr>
          <w:rFonts w:ascii="Times New Roman" w:hAnsi="Times New Roman" w:cs="Times New Roman"/>
          <w:color w:val="000000" w:themeColor="text1"/>
          <w:sz w:val="32"/>
          <w:szCs w:val="32"/>
          <w14:textFill>
            <w14:solidFill>
              <w14:schemeClr w14:val="tx1"/>
            </w14:solidFill>
          </w14:textFill>
        </w:rPr>
        <w:t>以满分除以位次计分。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2.本类加分申请取最高3项进行加分。</w:t>
      </w:r>
    </w:p>
    <w:p>
      <w:pPr>
        <w:pStyle w:val="14"/>
        <w:autoSpaceDE w:val="0"/>
        <w:adjustRightInd w:val="0"/>
        <w:snapToGrid w:val="0"/>
        <w:spacing w:before="0" w:after="0" w:line="520" w:lineRule="exact"/>
        <w:ind w:firstLine="640" w:firstLineChars="200"/>
        <w:rPr>
          <w:rFonts w:ascii="Times New Roman" w:hAnsi="Times New Roman" w:cs="Times New Roman"/>
          <w:b/>
          <w:bCs/>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（三）学科竞赛</w:t>
      </w:r>
    </w:p>
    <w:p>
      <w:pPr>
        <w:pStyle w:val="14"/>
        <w:autoSpaceDE w:val="0"/>
        <w:adjustRightInd w:val="0"/>
        <w:snapToGrid w:val="0"/>
        <w:spacing w:before="0" w:after="0"/>
        <w:jc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表3各类科技创新竞赛活动获奖计分表</w:t>
      </w:r>
    </w:p>
    <w:tbl>
      <w:tblPr>
        <w:tblStyle w:val="10"/>
        <w:tblpPr w:leftFromText="180" w:rightFromText="180" w:vertAnchor="text" w:horzAnchor="page" w:tblpX="2127" w:tblpY="237"/>
        <w:tblOverlap w:val="never"/>
        <w:tblW w:w="7565" w:type="dxa"/>
        <w:tblInd w:w="0" w:type="dxa"/>
        <w:tblLayout w:type="fixed"/>
        <w:tblCellMar>
          <w:top w:w="0" w:type="dxa"/>
          <w:left w:w="0" w:type="dxa"/>
          <w:bottom w:w="0" w:type="dxa"/>
          <w:right w:w="0" w:type="dxa"/>
        </w:tblCellMar>
      </w:tblPr>
      <w:tblGrid>
        <w:gridCol w:w="1560"/>
        <w:gridCol w:w="1531"/>
        <w:gridCol w:w="1371"/>
        <w:gridCol w:w="1260"/>
        <w:gridCol w:w="1843"/>
      </w:tblGrid>
      <w:tr>
        <w:tblPrEx>
          <w:tblCellMar>
            <w:top w:w="0" w:type="dxa"/>
            <w:left w:w="0" w:type="dxa"/>
            <w:bottom w:w="0" w:type="dxa"/>
            <w:right w:w="0" w:type="dxa"/>
          </w:tblCellMar>
        </w:tblPrEx>
        <w:trPr>
          <w:trHeight w:val="647" w:hRule="exac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奖项级别</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一等奖</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二等奖</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三等奖</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b/>
                <w:bCs/>
                <w:color w:val="000000" w:themeColor="text1"/>
                <w14:textFill>
                  <w14:solidFill>
                    <w14:schemeClr w14:val="tx1"/>
                  </w14:solidFill>
                </w14:textFill>
              </w:rPr>
            </w:pPr>
            <w:r>
              <w:rPr>
                <w:rFonts w:ascii="Times New Roman" w:hAnsi="Times New Roman" w:cs="Times New Roman"/>
                <w:b/>
                <w:bCs/>
                <w:color w:val="000000" w:themeColor="text1"/>
                <w14:textFill>
                  <w14:solidFill>
                    <w14:schemeClr w14:val="tx1"/>
                  </w14:solidFill>
                </w14:textFill>
              </w:rPr>
              <w:t>优秀奖/鼓励奖</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国际</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全国</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10</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7</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r>
      <w:tr>
        <w:tblPrEx>
          <w:tblCellMar>
            <w:top w:w="0" w:type="dxa"/>
            <w:left w:w="0" w:type="dxa"/>
            <w:bottom w:w="0" w:type="dxa"/>
            <w:right w:w="0" w:type="dxa"/>
          </w:tblCellMar>
        </w:tblPrEx>
        <w:trPr>
          <w:trHeight w:val="340" w:hRule="atLeast"/>
        </w:trPr>
        <w:tc>
          <w:tcPr>
            <w:tcW w:w="15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ind w:firstLine="480" w:firstLineChars="200"/>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省级</w:t>
            </w:r>
          </w:p>
        </w:tc>
        <w:tc>
          <w:tcPr>
            <w:tcW w:w="153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5</w:t>
            </w:r>
          </w:p>
        </w:tc>
        <w:tc>
          <w:tcPr>
            <w:tcW w:w="1371"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3</w:t>
            </w:r>
          </w:p>
        </w:tc>
        <w:tc>
          <w:tcPr>
            <w:tcW w:w="1260"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2</w:t>
            </w:r>
          </w:p>
        </w:tc>
        <w:tc>
          <w:tcPr>
            <w:tcW w:w="1843" w:type="dxa"/>
            <w:tcBorders>
              <w:top w:val="single" w:color="000000" w:sz="4" w:space="0"/>
              <w:left w:val="single" w:color="000000" w:sz="4" w:space="0"/>
              <w:bottom w:val="single" w:color="000000" w:sz="4" w:space="0"/>
              <w:right w:val="single" w:color="000000" w:sz="4" w:space="0"/>
            </w:tcBorders>
            <w:vAlign w:val="center"/>
          </w:tcPr>
          <w:p>
            <w:pPr>
              <w:pStyle w:val="14"/>
              <w:autoSpaceDE w:val="0"/>
              <w:adjustRightInd w:val="0"/>
              <w:snapToGrid w:val="0"/>
              <w:spacing w:before="0" w:after="0"/>
              <w:jc w:val="center"/>
              <w:textAlignment w:val="center"/>
              <w:rPr>
                <w:rFonts w:ascii="Times New Roman" w:hAnsi="Times New Roman" w:cs="Times New Roman"/>
                <w:color w:val="000000" w:themeColor="text1"/>
                <w14:textFill>
                  <w14:solidFill>
                    <w14:schemeClr w14:val="tx1"/>
                  </w14:solidFill>
                </w14:textFill>
              </w:rPr>
            </w:pPr>
            <w:r>
              <w:rPr>
                <w:rFonts w:ascii="Times New Roman" w:hAnsi="Times New Roman" w:cs="Times New Roman"/>
                <w:color w:val="000000" w:themeColor="text1"/>
                <w14:textFill>
                  <w14:solidFill>
                    <w14:schemeClr w14:val="tx1"/>
                  </w14:solidFill>
                </w14:textFill>
              </w:rPr>
              <w:t>1.5</w:t>
            </w:r>
          </w:p>
        </w:tc>
      </w:tr>
    </w:tbl>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说明：</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1.赛事级别以教务处认定为准。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2.集体项目只计排名前三队员。</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3.评奖不分等级时按二等奖加分；若以名次计，第1名按一等奖加分，第2、3名按二等奖加分，第4名以后按三等奖加分。若以金、银、铜奖计，分别按一、二、三等奖加分。若有特等奖，可在一等奖分值基础上加1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4.团队项目不分排名时，由指导教师确定排名，指导教</w:t>
      </w:r>
      <w:bookmarkStart w:id="0" w:name="_GoBack"/>
      <w:bookmarkEnd w:id="0"/>
      <w:r>
        <w:rPr>
          <w:rFonts w:hint="eastAsia" w:ascii="Times New Roman" w:hAnsi="Times New Roman" w:cs="Times New Roman"/>
          <w:color w:val="000000" w:themeColor="text1"/>
          <w:sz w:val="32"/>
          <w:szCs w:val="32"/>
          <w14:textFill>
            <w14:solidFill>
              <w14:schemeClr w14:val="tx1"/>
            </w14:solidFill>
          </w14:textFill>
        </w:rPr>
        <w:t>师不能确认的，由所有获奖成员共同签字确认排名，仍无法确认的，所有成员均分奖项分值。</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5.“互联网+”国际赛道按国家级计分。美国大学生数学建模竞赛S奖不计分。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6</w:t>
      </w:r>
      <w:r>
        <w:rPr>
          <w:rFonts w:ascii="Times New Roman" w:hAnsi="Times New Roman" w:cs="Times New Roman"/>
          <w:color w:val="000000" w:themeColor="text1"/>
          <w:sz w:val="32"/>
          <w:szCs w:val="32"/>
          <w14:textFill>
            <w14:solidFill>
              <w14:schemeClr w14:val="tx1"/>
            </w14:solidFill>
          </w14:textFill>
        </w:rPr>
        <w:t>.获奖时间以奖状落款时间或以最终结果公布时间为准。</w:t>
      </w:r>
      <w:r>
        <w:rPr>
          <w:rFonts w:hint="eastAsia" w:ascii="Times New Roman" w:hAnsi="Times New Roman" w:cs="Times New Roman"/>
          <w:color w:val="000000" w:themeColor="text1"/>
          <w:sz w:val="32"/>
          <w:szCs w:val="32"/>
          <w14:textFill>
            <w14:solidFill>
              <w14:schemeClr w14:val="tx1"/>
            </w14:solidFill>
          </w14:textFill>
        </w:rPr>
        <w:t>同一内容（项目）参加不同级别的竞赛活动只按最高标准加分，不累加；同一赛事同届获奖，只按最高获奖级别加分，不累加。</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三、其他综合素质测评成绩</w:t>
      </w:r>
      <w:r>
        <w:rPr>
          <w:rFonts w:ascii="Times New Roman" w:hAnsi="Times New Roman" w:cs="Times New Roman"/>
          <w:color w:val="000000" w:themeColor="text1"/>
          <w:sz w:val="32"/>
          <w:szCs w:val="32"/>
          <w14:textFill>
            <w14:solidFill>
              <w14:schemeClr w14:val="tx1"/>
            </w14:solidFill>
          </w14:textFill>
        </w:rPr>
        <w:t>（满分</w:t>
      </w:r>
      <w:r>
        <w:rPr>
          <w:rFonts w:hint="eastAsia" w:ascii="Times New Roman" w:hAnsi="Times New Roman" w:cs="Times New Roman"/>
          <w:color w:val="000000" w:themeColor="text1"/>
          <w:sz w:val="32"/>
          <w:szCs w:val="32"/>
          <w14:textFill>
            <w14:solidFill>
              <w14:schemeClr w14:val="tx1"/>
            </w14:solidFill>
          </w14:textFill>
        </w:rPr>
        <w:t>10</w:t>
      </w:r>
      <w:r>
        <w:rPr>
          <w:rFonts w:ascii="Times New Roman" w:hAnsi="Times New Roman" w:cs="Times New Roman"/>
          <w:color w:val="000000" w:themeColor="text1"/>
          <w:sz w:val="32"/>
          <w:szCs w:val="32"/>
          <w14:textFill>
            <w14:solidFill>
              <w14:schemeClr w14:val="tx1"/>
            </w14:solidFill>
          </w14:textFill>
        </w:rPr>
        <w:t>0分</w:t>
      </w:r>
      <w:r>
        <w:rPr>
          <w:rFonts w:hint="eastAsia" w:ascii="Times New Roman" w:hAnsi="Times New Roman" w:cs="Times New Roman"/>
          <w:color w:val="000000" w:themeColor="text1"/>
          <w:sz w:val="32"/>
          <w:szCs w:val="32"/>
          <w14:textFill>
            <w14:solidFill>
              <w14:schemeClr w14:val="tx1"/>
            </w14:solidFill>
          </w14:textFill>
        </w:rPr>
        <w:t>，超过100分按100分计</w:t>
      </w:r>
      <w:r>
        <w:rPr>
          <w:rFonts w:ascii="Times New Roman" w:hAnsi="Times New Roman" w:cs="Times New Roman"/>
          <w:color w:val="000000" w:themeColor="text1"/>
          <w:sz w:val="32"/>
          <w:szCs w:val="32"/>
          <w14:textFill>
            <w14:solidFill>
              <w14:schemeClr w14:val="tx1"/>
            </w14:solidFill>
          </w14:textFill>
        </w:rPr>
        <w:t>）</w:t>
      </w:r>
      <w:r>
        <w:rPr>
          <w:rFonts w:hint="eastAsia" w:ascii="Times New Roman" w:hAnsi="Times New Roman" w:cs="Times New Roman"/>
          <w:color w:val="000000" w:themeColor="text1"/>
          <w:sz w:val="32"/>
          <w:szCs w:val="32"/>
          <w14:textFill>
            <w14:solidFill>
              <w14:schemeClr w14:val="tx1"/>
            </w14:solidFill>
          </w14:textFill>
        </w:rPr>
        <w:t>以申请人前六学期德育分的平均值为基数，附加分分值</w:t>
      </w:r>
      <w:r>
        <w:rPr>
          <w:rFonts w:ascii="Times New Roman" w:hAnsi="Times New Roman" w:cs="Times New Roman"/>
          <w:color w:val="000000" w:themeColor="text1"/>
          <w:sz w:val="32"/>
          <w:szCs w:val="32"/>
          <w14:textFill>
            <w14:solidFill>
              <w14:schemeClr w14:val="tx1"/>
            </w14:solidFill>
          </w14:textFill>
        </w:rPr>
        <w:t>如下：</w:t>
      </w:r>
    </w:p>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表</w:t>
      </w:r>
      <w:r>
        <w:rPr>
          <w:rFonts w:hint="eastAsia" w:ascii="Times New Roman" w:hAnsi="Times New Roman"/>
          <w:b/>
          <w:color w:val="000000" w:themeColor="text1"/>
          <w:sz w:val="24"/>
          <w14:textFill>
            <w14:solidFill>
              <w14:schemeClr w14:val="tx1"/>
            </w14:solidFill>
          </w14:textFill>
        </w:rPr>
        <w:t>4其他综合素质测评计分表</w:t>
      </w:r>
    </w:p>
    <w:tbl>
      <w:tblPr>
        <w:tblStyle w:val="10"/>
        <w:tblW w:w="732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32"/>
        <w:gridCol w:w="1289"/>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类别</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
                <w:color w:val="000000" w:themeColor="text1"/>
                <w:sz w:val="24"/>
                <w14:textFill>
                  <w14:solidFill>
                    <w14:schemeClr w14:val="tx1"/>
                  </w14:solidFill>
                </w14:textFill>
              </w:rPr>
            </w:pPr>
            <w:r>
              <w:rPr>
                <w:rFonts w:ascii="Times New Roman" w:hAnsi="Times New Roman"/>
                <w:b/>
                <w:color w:val="000000" w:themeColor="text1"/>
                <w:sz w:val="24"/>
                <w14:textFill>
                  <w14:solidFill>
                    <w14:schemeClr w14:val="tx1"/>
                  </w14:solidFill>
                </w14:textFill>
              </w:rPr>
              <w:t>分值</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1"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参军入伍服兵役</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hint="eastAsia" w:ascii="Times New Roman" w:hAnsi="Times New Roman"/>
                <w:bCs/>
                <w:color w:val="000000" w:themeColor="text1"/>
                <w:sz w:val="24"/>
                <w14:textFill>
                  <w14:solidFill>
                    <w14:schemeClr w14:val="tx1"/>
                  </w14:solidFill>
                </w14:textFill>
              </w:rPr>
              <w:t>1</w:t>
            </w:r>
            <w:r>
              <w:rPr>
                <w:rFonts w:ascii="Times New Roman" w:hAnsi="Times New Roman"/>
                <w:bCs/>
                <w:color w:val="000000" w:themeColor="text1"/>
                <w:sz w:val="24"/>
                <w14:textFill>
                  <w14:solidFill>
                    <w14:schemeClr w14:val="tx1"/>
                  </w14:solidFill>
                </w14:textFill>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到国际组织实习</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ascii="Times New Roman" w:hAnsi="Times New Roman"/>
                <w:bCs/>
                <w:color w:val="000000" w:themeColor="text1"/>
                <w:sz w:val="24"/>
                <w14:textFill>
                  <w14:solidFill>
                    <w14:schemeClr w14:val="tx1"/>
                  </w14:solidFill>
                </w14:textFill>
              </w:rPr>
              <w:t>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7" w:hRule="atLeast"/>
          <w:jc w:val="center"/>
        </w:trPr>
        <w:tc>
          <w:tcPr>
            <w:tcW w:w="6032"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hint="eastAsia" w:ascii="微软雅黑" w:hAnsi="微软雅黑" w:eastAsia="微软雅黑" w:cs="微软雅黑"/>
                <w:color w:val="000000" w:themeColor="text1"/>
                <w:sz w:val="24"/>
                <w14:textFill>
                  <w14:solidFill>
                    <w14:schemeClr w14:val="tx1"/>
                  </w14:solidFill>
                </w14:textFill>
              </w:rPr>
            </w:pPr>
            <w:r>
              <w:rPr>
                <w:rFonts w:hint="eastAsia" w:ascii="宋体" w:hAnsi="宋体" w:cs="宋体"/>
                <w:color w:val="000000" w:themeColor="text1"/>
                <w:sz w:val="24"/>
                <w14:textFill>
                  <w14:solidFill>
                    <w14:schemeClr w14:val="tx1"/>
                  </w14:solidFill>
                </w14:textFill>
              </w:rPr>
              <w:t>志愿服务时长达到100小时</w:t>
            </w:r>
          </w:p>
        </w:tc>
        <w:tc>
          <w:tcPr>
            <w:tcW w:w="1289" w:type="dxa"/>
            <w:tcBorders>
              <w:top w:val="single" w:color="auto" w:sz="4" w:space="0"/>
              <w:left w:val="single" w:color="auto" w:sz="4" w:space="0"/>
              <w:bottom w:val="single" w:color="auto" w:sz="4" w:space="0"/>
              <w:right w:val="single" w:color="auto" w:sz="4" w:space="0"/>
            </w:tcBorders>
            <w:vAlign w:val="center"/>
          </w:tcPr>
          <w:p>
            <w:pPr>
              <w:widowControl/>
              <w:adjustRightInd w:val="0"/>
              <w:snapToGrid w:val="0"/>
              <w:jc w:val="center"/>
              <w:rPr>
                <w:rFonts w:ascii="Times New Roman" w:hAnsi="Times New Roman"/>
                <w:bCs/>
                <w:color w:val="000000" w:themeColor="text1"/>
                <w:sz w:val="24"/>
                <w14:textFill>
                  <w14:solidFill>
                    <w14:schemeClr w14:val="tx1"/>
                  </w14:solidFill>
                </w14:textFill>
              </w:rPr>
            </w:pPr>
            <w:r>
              <w:rPr>
                <w:rFonts w:hint="eastAsia" w:ascii="Times New Roman" w:hAnsi="Times New Roman"/>
                <w:bCs/>
                <w:color w:val="000000" w:themeColor="text1"/>
                <w:sz w:val="24"/>
                <w14:textFill>
                  <w14:solidFill>
                    <w14:schemeClr w14:val="tx1"/>
                  </w14:solidFill>
                </w14:textFill>
              </w:rPr>
              <w:t>2</w:t>
            </w:r>
          </w:p>
        </w:tc>
      </w:tr>
    </w:tbl>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说明：</w:t>
      </w:r>
    </w:p>
    <w:p>
      <w:pPr>
        <w:pStyle w:val="14"/>
        <w:numPr>
          <w:ilvl w:val="255"/>
          <w:numId w:val="0"/>
        </w:numPr>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1.参军入伍以学生工作部（处）公示为准。</w:t>
      </w:r>
    </w:p>
    <w:p>
      <w:pPr>
        <w:pStyle w:val="14"/>
        <w:numPr>
          <w:ilvl w:val="255"/>
          <w:numId w:val="0"/>
        </w:numPr>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2.到国际组织学习参照《国家留学基金委与有关国际组织合作项目列表（实时更新）》。</w:t>
      </w:r>
    </w:p>
    <w:p>
      <w:pPr>
        <w:pStyle w:val="14"/>
        <w:numPr>
          <w:ilvl w:val="255"/>
          <w:numId w:val="0"/>
        </w:numPr>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3.参加志愿服务以团委统计数据为准。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四</w:t>
      </w:r>
      <w:r>
        <w:rPr>
          <w:rFonts w:ascii="Times New Roman" w:hAnsi="Times New Roman" w:cs="Times New Roman"/>
          <w:color w:val="000000" w:themeColor="text1"/>
          <w:sz w:val="32"/>
          <w:szCs w:val="32"/>
          <w14:textFill>
            <w14:solidFill>
              <w14:schemeClr w14:val="tx1"/>
            </w14:solidFill>
          </w14:textFill>
        </w:rPr>
        <w:t>、本细则未尽事宜由院推免生工作领导小组负责解释。</w:t>
      </w:r>
    </w:p>
    <w:p>
      <w:pPr>
        <w:pStyle w:val="14"/>
        <w:autoSpaceDE w:val="0"/>
        <w:adjustRightInd w:val="0"/>
        <w:snapToGrid w:val="0"/>
        <w:spacing w:before="0" w:after="0" w:line="520" w:lineRule="exact"/>
        <w:ind w:firstLine="640" w:firstLineChars="200"/>
        <w:jc w:val="right"/>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 xml:space="preserve">           </w:t>
      </w:r>
    </w:p>
    <w:p>
      <w:pPr>
        <w:pStyle w:val="14"/>
        <w:autoSpaceDE w:val="0"/>
        <w:adjustRightInd w:val="0"/>
        <w:snapToGrid w:val="0"/>
        <w:spacing w:before="0" w:after="0" w:line="520" w:lineRule="exact"/>
        <w:ind w:firstLine="640" w:firstLineChars="200"/>
        <w:jc w:val="right"/>
        <w:rPr>
          <w:rFonts w:ascii="Times New Roman" w:hAnsi="Times New Roman" w:cs="Times New Roman"/>
          <w:color w:val="000000" w:themeColor="text1"/>
          <w:sz w:val="32"/>
          <w:szCs w:val="32"/>
          <w14:textFill>
            <w14:solidFill>
              <w14:schemeClr w14:val="tx1"/>
            </w14:solidFill>
          </w14:textFill>
        </w:rPr>
      </w:pPr>
    </w:p>
    <w:p>
      <w:pPr>
        <w:pStyle w:val="14"/>
        <w:autoSpaceDE w:val="0"/>
        <w:adjustRightInd w:val="0"/>
        <w:snapToGrid w:val="0"/>
        <w:spacing w:before="0" w:after="0" w:line="520" w:lineRule="exact"/>
        <w:ind w:firstLine="640" w:firstLineChars="200"/>
        <w:jc w:val="right"/>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   福州大学梅努斯国际工程学院</w:t>
      </w:r>
    </w:p>
    <w:p>
      <w:pPr>
        <w:pStyle w:val="14"/>
        <w:autoSpaceDE w:val="0"/>
        <w:adjustRightInd w:val="0"/>
        <w:snapToGrid w:val="0"/>
        <w:spacing w:before="0" w:after="0" w:line="520" w:lineRule="exact"/>
        <w:ind w:firstLine="640" w:firstLineChars="200"/>
        <w:jc w:val="right"/>
        <w:rPr>
          <w:rFonts w:ascii="Times New Roman" w:hAnsi="Times New Roman" w:cs="Times New Roman"/>
          <w:color w:val="000000" w:themeColor="text1"/>
          <w:sz w:val="32"/>
          <w:szCs w:val="32"/>
          <w:highlight w:val="yellow"/>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            </w:t>
      </w:r>
      <w:r>
        <w:rPr>
          <w:rFonts w:ascii="Times New Roman" w:hAnsi="Times New Roman" w:cs="Times New Roman"/>
          <w:color w:val="000000" w:themeColor="text1"/>
          <w:sz w:val="32"/>
          <w:szCs w:val="32"/>
          <w:highlight w:val="none"/>
          <w14:textFill>
            <w14:solidFill>
              <w14:schemeClr w14:val="tx1"/>
            </w14:solidFill>
          </w14:textFill>
        </w:rPr>
        <w:t>       202</w:t>
      </w:r>
      <w:r>
        <w:rPr>
          <w:rFonts w:hint="eastAsia" w:ascii="Times New Roman" w:hAnsi="Times New Roman" w:cs="Times New Roman"/>
          <w:color w:val="000000" w:themeColor="text1"/>
          <w:sz w:val="32"/>
          <w:szCs w:val="32"/>
          <w:highlight w:val="none"/>
          <w14:textFill>
            <w14:solidFill>
              <w14:schemeClr w14:val="tx1"/>
            </w14:solidFill>
          </w14:textFill>
        </w:rPr>
        <w:t>4</w:t>
      </w:r>
      <w:r>
        <w:rPr>
          <w:rFonts w:ascii="Times New Roman" w:hAnsi="Times New Roman" w:cs="Times New Roman"/>
          <w:color w:val="000000" w:themeColor="text1"/>
          <w:sz w:val="32"/>
          <w:szCs w:val="32"/>
          <w:highlight w:val="none"/>
          <w14:textFill>
            <w14:solidFill>
              <w14:schemeClr w14:val="tx1"/>
            </w14:solidFill>
          </w14:textFill>
        </w:rPr>
        <w:t>年</w:t>
      </w:r>
      <w:r>
        <w:rPr>
          <w:rFonts w:hint="eastAsia" w:ascii="Times New Roman" w:hAnsi="Times New Roman" w:cs="Times New Roman"/>
          <w:color w:val="000000" w:themeColor="text1"/>
          <w:sz w:val="32"/>
          <w:szCs w:val="32"/>
          <w:highlight w:val="none"/>
          <w14:textFill>
            <w14:solidFill>
              <w14:schemeClr w14:val="tx1"/>
            </w14:solidFill>
          </w14:textFill>
        </w:rPr>
        <w:t>9</w:t>
      </w:r>
      <w:r>
        <w:rPr>
          <w:rFonts w:ascii="Times New Roman" w:hAnsi="Times New Roman" w:cs="Times New Roman"/>
          <w:color w:val="000000" w:themeColor="text1"/>
          <w:sz w:val="32"/>
          <w:szCs w:val="32"/>
          <w:highlight w:val="none"/>
          <w14:textFill>
            <w14:solidFill>
              <w14:schemeClr w14:val="tx1"/>
            </w14:solidFill>
          </w14:textFill>
        </w:rPr>
        <w:t>月</w:t>
      </w:r>
      <w:r>
        <w:rPr>
          <w:rFonts w:hint="eastAsia" w:ascii="Times New Roman" w:hAnsi="Times New Roman" w:cs="Times New Roman"/>
          <w:color w:val="000000" w:themeColor="text1"/>
          <w:sz w:val="32"/>
          <w:szCs w:val="32"/>
          <w:highlight w:val="none"/>
          <w:lang w:val="en-US" w:eastAsia="zh-CN"/>
          <w14:textFill>
            <w14:solidFill>
              <w14:schemeClr w14:val="tx1"/>
            </w14:solidFill>
          </w14:textFill>
        </w:rPr>
        <w:t>9</w:t>
      </w:r>
      <w:r>
        <w:rPr>
          <w:rFonts w:ascii="Times New Roman" w:hAnsi="Times New Roman" w:cs="Times New Roman"/>
          <w:color w:val="000000" w:themeColor="text1"/>
          <w:sz w:val="32"/>
          <w:szCs w:val="32"/>
          <w:highlight w:val="none"/>
          <w14:textFill>
            <w14:solidFill>
              <w14:schemeClr w14:val="tx1"/>
            </w14:solidFill>
          </w14:textFill>
        </w:rPr>
        <w:t>日</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附 录：</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1.专业论文发表者需提供期刊、论文的检索证明。</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2.专利发明者需提供专利授权书原件以及复印件。</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3.竞赛类项目需统一携带奖状原件以及复印件，或教务处公示材料（打印网页纸质版）</w:t>
      </w:r>
      <w:r>
        <w:rPr>
          <w:rFonts w:hint="eastAsia" w:ascii="Times New Roman" w:hAnsi="Times New Roman" w:cs="Times New Roman"/>
          <w:color w:val="000000" w:themeColor="text1"/>
          <w:sz w:val="32"/>
          <w:szCs w:val="32"/>
          <w14:textFill>
            <w14:solidFill>
              <w14:schemeClr w14:val="tx1"/>
            </w14:solidFill>
          </w14:textFill>
        </w:rPr>
        <w:t>。</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4.各单项科研成果加分值四舍五入至整数位。</w:t>
      </w:r>
    </w:p>
    <w:p>
      <w:pPr>
        <w:pStyle w:val="14"/>
        <w:autoSpaceDE w:val="0"/>
        <w:adjustRightInd w:val="0"/>
        <w:snapToGrid w:val="0"/>
        <w:spacing w:before="0" w:after="0" w:line="520" w:lineRule="exact"/>
        <w:ind w:firstLine="640" w:firstLineChars="200"/>
        <w:rPr>
          <w:rFonts w:hint="eastAsia" w:ascii="Times New Roman" w:hAnsi="Times New Roman" w:cs="Times New Roman"/>
          <w:color w:val="000000" w:themeColor="text1"/>
          <w:sz w:val="32"/>
          <w:szCs w:val="32"/>
          <w14:textFill>
            <w14:solidFill>
              <w14:schemeClr w14:val="tx1"/>
            </w14:solidFill>
          </w14:textFill>
        </w:rPr>
      </w:pPr>
      <w:r>
        <w:rPr>
          <w:rFonts w:hint="eastAsia" w:ascii="Times New Roman" w:hAnsi="Times New Roman" w:cs="Times New Roman"/>
          <w:color w:val="000000" w:themeColor="text1"/>
          <w:sz w:val="32"/>
          <w:szCs w:val="32"/>
          <w14:textFill>
            <w14:solidFill>
              <w14:schemeClr w14:val="tx1"/>
            </w14:solidFill>
          </w14:textFill>
        </w:rPr>
        <w:t>5.学生与其亲属或其他利益相关者合作的科研成果，原则上不纳入加分认定范围。对于与指导老师联合发表论文或参赛的，应由指导老师出具推荐信，客观陈述学生在联合成果中所做的实际贡献。有以上相关情况的学生应主动在提交材料时申明并提交相应佐证材料，否则按提交不实材料处理。</w:t>
      </w: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p>
    <w:p>
      <w:pPr>
        <w:pStyle w:val="14"/>
        <w:autoSpaceDE w:val="0"/>
        <w:adjustRightInd w:val="0"/>
        <w:snapToGrid w:val="0"/>
        <w:spacing w:before="0" w:after="0" w:line="520" w:lineRule="exact"/>
        <w:ind w:firstLine="640" w:firstLineChars="200"/>
        <w:rPr>
          <w:rFonts w:ascii="Times New Roman" w:hAnsi="Times New Roman" w:cs="Times New Roman"/>
          <w:color w:val="000000" w:themeColor="text1"/>
          <w:sz w:val="32"/>
          <w:szCs w:val="32"/>
          <w14:textFill>
            <w14:solidFill>
              <w14:schemeClr w14:val="tx1"/>
            </w14:solidFill>
          </w14:textFill>
        </w:rPr>
      </w:pPr>
      <w:r>
        <w:rPr>
          <w:rFonts w:ascii="Times New Roman" w:hAnsi="Times New Roman" w:cs="Times New Roman"/>
          <w:color w:val="000000" w:themeColor="text1"/>
          <w:sz w:val="32"/>
          <w:szCs w:val="32"/>
          <w14:textFill>
            <w14:solidFill>
              <w14:schemeClr w14:val="tx1"/>
            </w14:solidFill>
          </w14:textFill>
        </w:rPr>
        <w:t>注：以上材料原件用于核对，复印件均需上交留档。</w:t>
      </w:r>
    </w:p>
    <w:p>
      <w:pPr>
        <w:pStyle w:val="14"/>
        <w:autoSpaceDE w:val="0"/>
        <w:adjustRightInd w:val="0"/>
        <w:snapToGrid w:val="0"/>
        <w:spacing w:before="0" w:after="0" w:line="520" w:lineRule="exact"/>
        <w:rPr>
          <w:rFonts w:ascii="Times New Roman" w:hAnsi="Times New Roman" w:cs="Times New Roman"/>
          <w:color w:val="000000" w:themeColor="text1"/>
          <w:sz w:val="32"/>
          <w:szCs w:val="32"/>
          <w14:textFill>
            <w14:solidFill>
              <w14:schemeClr w14:val="tx1"/>
            </w14:solidFill>
          </w14:textFill>
        </w:rPr>
      </w:pPr>
    </w:p>
    <w:sectPr>
      <w:pgSz w:w="11906" w:h="16838"/>
      <w:pgMar w:top="1440" w:right="1800" w:bottom="1440" w:left="1800" w:header="851" w:footer="992" w:gutter="0"/>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trackRevisions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NmQzMGNhNDQzMTFlZDRhYjJmNWNhZWRlNzdiZDBmZWMifQ=="/>
  </w:docVars>
  <w:rsids>
    <w:rsidRoot w:val="001216AB"/>
    <w:rsid w:val="001216AB"/>
    <w:rsid w:val="0012522C"/>
    <w:rsid w:val="006B3FB7"/>
    <w:rsid w:val="00B002EB"/>
    <w:rsid w:val="00DD2034"/>
    <w:rsid w:val="00DF37B9"/>
    <w:rsid w:val="00E7032B"/>
    <w:rsid w:val="00EC535E"/>
    <w:rsid w:val="0B045ED5"/>
    <w:rsid w:val="0D0016F3"/>
    <w:rsid w:val="0FD2054F"/>
    <w:rsid w:val="114E60BC"/>
    <w:rsid w:val="197D0428"/>
    <w:rsid w:val="1B930804"/>
    <w:rsid w:val="1C5B7777"/>
    <w:rsid w:val="230213B5"/>
    <w:rsid w:val="25B54A2E"/>
    <w:rsid w:val="267A2B37"/>
    <w:rsid w:val="298775E5"/>
    <w:rsid w:val="29E2719F"/>
    <w:rsid w:val="2ABF2E57"/>
    <w:rsid w:val="331E7929"/>
    <w:rsid w:val="334601B1"/>
    <w:rsid w:val="364518C0"/>
    <w:rsid w:val="36E36908"/>
    <w:rsid w:val="3FB32E7C"/>
    <w:rsid w:val="3FDB3FDA"/>
    <w:rsid w:val="40B3402F"/>
    <w:rsid w:val="465E5A37"/>
    <w:rsid w:val="48382D20"/>
    <w:rsid w:val="4B162CBC"/>
    <w:rsid w:val="50227FD0"/>
    <w:rsid w:val="509251CF"/>
    <w:rsid w:val="52770DE4"/>
    <w:rsid w:val="5A9E38DF"/>
    <w:rsid w:val="5BB63883"/>
    <w:rsid w:val="5C9820E6"/>
    <w:rsid w:val="5FB2217E"/>
    <w:rsid w:val="608C7C59"/>
    <w:rsid w:val="618B06FA"/>
    <w:rsid w:val="61920423"/>
    <w:rsid w:val="6197634D"/>
    <w:rsid w:val="647311A0"/>
    <w:rsid w:val="65C93DC6"/>
    <w:rsid w:val="704B4AC8"/>
    <w:rsid w:val="76BF58C4"/>
    <w:rsid w:val="77192AED"/>
    <w:rsid w:val="77A1141C"/>
    <w:rsid w:val="77BE09B0"/>
    <w:rsid w:val="77C34582"/>
    <w:rsid w:val="7A3D7ADE"/>
    <w:rsid w:val="7B016137"/>
    <w:rsid w:val="7BB057C9"/>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Calibri" w:hAnsi="Calibri"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qFormat="1"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22"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qFormat="1"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qFormat/>
    <w:uiPriority w:val="0"/>
    <w:pPr>
      <w:spacing w:before="100" w:beforeAutospacing="1" w:after="100" w:afterAutospacing="1"/>
      <w:jc w:val="left"/>
      <w:outlineLvl w:val="0"/>
    </w:pPr>
    <w:rPr>
      <w:rFonts w:hint="eastAsia" w:ascii="宋体" w:hAnsi="宋体"/>
      <w:b/>
      <w:bCs/>
      <w:kern w:val="44"/>
      <w:sz w:val="48"/>
      <w:szCs w:val="48"/>
    </w:rPr>
  </w:style>
  <w:style w:type="paragraph" w:styleId="3">
    <w:name w:val="heading 3"/>
    <w:basedOn w:val="1"/>
    <w:next w:val="1"/>
    <w:unhideWhenUsed/>
    <w:qFormat/>
    <w:uiPriority w:val="0"/>
    <w:pPr>
      <w:spacing w:before="100" w:beforeAutospacing="1" w:after="100" w:afterAutospacing="1"/>
      <w:jc w:val="left"/>
      <w:outlineLvl w:val="2"/>
    </w:pPr>
    <w:rPr>
      <w:rFonts w:hint="eastAsia" w:ascii="宋体" w:hAnsi="宋体"/>
      <w:b/>
      <w:bCs/>
      <w:kern w:val="0"/>
      <w:sz w:val="27"/>
      <w:szCs w:val="27"/>
    </w:rPr>
  </w:style>
  <w:style w:type="character" w:default="1" w:styleId="11">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4">
    <w:name w:val="annotation text"/>
    <w:basedOn w:val="1"/>
    <w:link w:val="18"/>
    <w:qFormat/>
    <w:uiPriority w:val="0"/>
    <w:pPr>
      <w:jc w:val="left"/>
    </w:pPr>
  </w:style>
  <w:style w:type="paragraph" w:styleId="5">
    <w:name w:val="Balloon Text"/>
    <w:basedOn w:val="1"/>
    <w:link w:val="15"/>
    <w:qFormat/>
    <w:uiPriority w:val="0"/>
    <w:rPr>
      <w:sz w:val="18"/>
      <w:szCs w:val="18"/>
    </w:rPr>
  </w:style>
  <w:style w:type="paragraph" w:styleId="6">
    <w:name w:val="footer"/>
    <w:basedOn w:val="1"/>
    <w:link w:val="17"/>
    <w:qFormat/>
    <w:uiPriority w:val="0"/>
    <w:pPr>
      <w:tabs>
        <w:tab w:val="center" w:pos="4153"/>
        <w:tab w:val="right" w:pos="8306"/>
      </w:tabs>
      <w:snapToGrid w:val="0"/>
      <w:jc w:val="left"/>
    </w:pPr>
    <w:rPr>
      <w:sz w:val="18"/>
      <w:szCs w:val="18"/>
    </w:rPr>
  </w:style>
  <w:style w:type="paragraph" w:styleId="7">
    <w:name w:val="header"/>
    <w:basedOn w:val="1"/>
    <w:link w:val="16"/>
    <w:qFormat/>
    <w:uiPriority w:val="0"/>
    <w:pPr>
      <w:pBdr>
        <w:bottom w:val="single" w:color="auto" w:sz="6" w:space="1"/>
      </w:pBdr>
      <w:tabs>
        <w:tab w:val="center" w:pos="4153"/>
        <w:tab w:val="right" w:pos="8306"/>
      </w:tabs>
      <w:snapToGrid w:val="0"/>
      <w:jc w:val="center"/>
    </w:pPr>
    <w:rPr>
      <w:sz w:val="18"/>
      <w:szCs w:val="18"/>
    </w:rPr>
  </w:style>
  <w:style w:type="paragraph" w:styleId="8">
    <w:name w:val="Normal (Web)"/>
    <w:basedOn w:val="1"/>
    <w:qFormat/>
    <w:uiPriority w:val="0"/>
    <w:pPr>
      <w:spacing w:before="100" w:beforeAutospacing="1" w:after="100" w:afterAutospacing="1"/>
      <w:jc w:val="left"/>
    </w:pPr>
    <w:rPr>
      <w:kern w:val="0"/>
      <w:sz w:val="24"/>
    </w:rPr>
  </w:style>
  <w:style w:type="paragraph" w:styleId="9">
    <w:name w:val="annotation subject"/>
    <w:basedOn w:val="4"/>
    <w:next w:val="4"/>
    <w:link w:val="19"/>
    <w:qFormat/>
    <w:uiPriority w:val="0"/>
    <w:rPr>
      <w:b/>
      <w:bCs/>
    </w:rPr>
  </w:style>
  <w:style w:type="character" w:styleId="12">
    <w:name w:val="Strong"/>
    <w:basedOn w:val="11"/>
    <w:qFormat/>
    <w:uiPriority w:val="22"/>
    <w:rPr>
      <w:b/>
    </w:rPr>
  </w:style>
  <w:style w:type="character" w:styleId="13">
    <w:name w:val="annotation reference"/>
    <w:basedOn w:val="11"/>
    <w:qFormat/>
    <w:uiPriority w:val="0"/>
    <w:rPr>
      <w:sz w:val="21"/>
      <w:szCs w:val="21"/>
    </w:rPr>
  </w:style>
  <w:style w:type="paragraph" w:customStyle="1" w:styleId="14">
    <w:name w:val="p18"/>
    <w:basedOn w:val="1"/>
    <w:qFormat/>
    <w:uiPriority w:val="0"/>
    <w:pPr>
      <w:spacing w:before="100" w:after="100"/>
      <w:jc w:val="left"/>
    </w:pPr>
    <w:rPr>
      <w:rFonts w:ascii="宋体" w:hAnsi="宋体" w:cs="宋体"/>
      <w:kern w:val="0"/>
      <w:sz w:val="24"/>
    </w:rPr>
  </w:style>
  <w:style w:type="character" w:customStyle="1" w:styleId="15">
    <w:name w:val="批注框文本 字符"/>
    <w:basedOn w:val="11"/>
    <w:link w:val="5"/>
    <w:qFormat/>
    <w:uiPriority w:val="0"/>
    <w:rPr>
      <w:kern w:val="2"/>
      <w:sz w:val="18"/>
      <w:szCs w:val="18"/>
    </w:rPr>
  </w:style>
  <w:style w:type="character" w:customStyle="1" w:styleId="16">
    <w:name w:val="页眉 字符"/>
    <w:basedOn w:val="11"/>
    <w:link w:val="7"/>
    <w:qFormat/>
    <w:uiPriority w:val="0"/>
    <w:rPr>
      <w:kern w:val="2"/>
      <w:sz w:val="18"/>
      <w:szCs w:val="18"/>
    </w:rPr>
  </w:style>
  <w:style w:type="character" w:customStyle="1" w:styleId="17">
    <w:name w:val="页脚 字符"/>
    <w:basedOn w:val="11"/>
    <w:link w:val="6"/>
    <w:qFormat/>
    <w:uiPriority w:val="0"/>
    <w:rPr>
      <w:kern w:val="2"/>
      <w:sz w:val="18"/>
      <w:szCs w:val="18"/>
    </w:rPr>
  </w:style>
  <w:style w:type="character" w:customStyle="1" w:styleId="18">
    <w:name w:val="批注文字 字符"/>
    <w:basedOn w:val="11"/>
    <w:link w:val="4"/>
    <w:qFormat/>
    <w:uiPriority w:val="0"/>
    <w:rPr>
      <w:kern w:val="2"/>
      <w:sz w:val="21"/>
      <w:szCs w:val="24"/>
    </w:rPr>
  </w:style>
  <w:style w:type="character" w:customStyle="1" w:styleId="19">
    <w:name w:val="批注主题 字符"/>
    <w:basedOn w:val="18"/>
    <w:link w:val="9"/>
    <w:qFormat/>
    <w:uiPriority w:val="0"/>
    <w:rPr>
      <w:b/>
      <w:bCs/>
      <w:kern w:val="2"/>
      <w:sz w:val="21"/>
      <w:szCs w:val="24"/>
    </w:rPr>
  </w:style>
  <w:style w:type="paragraph" w:customStyle="1" w:styleId="20">
    <w:name w:val="Revision"/>
    <w:hidden/>
    <w:unhideWhenUsed/>
    <w:qFormat/>
    <w:uiPriority w:val="99"/>
    <w:rPr>
      <w:rFonts w:ascii="Calibri" w:hAnsi="Calibri"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1723</Words>
  <Characters>1806</Characters>
  <Lines>13</Lines>
  <Paragraphs>3</Paragraphs>
  <TotalTime>3</TotalTime>
  <ScaleCrop>false</ScaleCrop>
  <LinksUpToDate>false</LinksUpToDate>
  <CharactersWithSpaces>1844</CharactersWithSpaces>
  <Application>WPS Office_12.1.0.15990_F1E327BC-269C-435d-A152-05C5408002CA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2024-09-07T09:14:00Z</dcterms:created>
  <dc:creator>Administrator</dc:creator>
  <cp:lastModifiedBy>小玛锅</cp:lastModifiedBy>
  <cp:lastPrinted>2022-09-21T03:27:00Z</cp:lastPrinted>
  <dcterms:modified xsi:type="dcterms:W3CDTF">2024-09-09T01:28:12Z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2052-12.1.0.15990</vt:lpwstr>
  </property>
  <property fmtid="{D5CDD505-2E9C-101B-9397-08002B2CF9AE}" pid="3" name="ICV">
    <vt:lpwstr>91343B497BEF400AAE66AC5178442752_13</vt:lpwstr>
  </property>
</Properties>
</file>