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方正小标宋简体" w:hAnsi="黑体" w:eastAsia="方正小标宋简体" w:cs="黑体"/>
          <w:color w:val="auto"/>
          <w:sz w:val="24"/>
          <w:szCs w:val="24"/>
          <w:lang w:val="en-US" w:eastAsia="zh-CN"/>
        </w:rPr>
      </w:pPr>
      <w:r>
        <w:rPr>
          <w:rFonts w:hint="eastAsia" w:ascii="仿宋_GB2312" w:hAnsi="仿宋_GB2312" w:eastAsia="仿宋_GB2312" w:cs="仿宋_GB2312"/>
          <w:color w:val="auto"/>
          <w:sz w:val="32"/>
          <w:szCs w:val="32"/>
          <w:lang w:val="en-US" w:eastAsia="zh-CN"/>
        </w:rPr>
        <w:t>附件2：</w:t>
      </w:r>
    </w:p>
    <w:p>
      <w:pPr>
        <w:spacing w:line="360" w:lineRule="auto"/>
        <w:jc w:val="center"/>
        <w:rPr>
          <w:rStyle w:val="5"/>
          <w:rFonts w:hint="eastAsia" w:ascii="方正小标宋简体" w:hAnsi="方正小标宋简体" w:eastAsia="方正小标宋简体" w:cs="方正小标宋简体"/>
          <w:b/>
          <w:bCs/>
          <w:color w:val="auto"/>
          <w:sz w:val="36"/>
          <w:szCs w:val="36"/>
          <w:lang w:val="en-US" w:eastAsia="zh-CN"/>
        </w:rPr>
      </w:pPr>
      <w:r>
        <w:rPr>
          <w:rStyle w:val="5"/>
          <w:rFonts w:hint="eastAsia" w:ascii="仿宋_GB2312" w:hAnsi="仿宋_GB2312" w:eastAsia="仿宋_GB2312" w:cs="仿宋_GB2312"/>
          <w:b w:val="0"/>
          <w:bCs w:val="0"/>
          <w:color w:val="auto"/>
          <w:sz w:val="36"/>
          <w:szCs w:val="36"/>
          <w:lang w:val="en-US" w:eastAsia="zh-CN"/>
        </w:rPr>
        <w:t xml:space="preserve"> </w:t>
      </w:r>
      <w:r>
        <w:rPr>
          <w:rStyle w:val="5"/>
          <w:rFonts w:hint="eastAsia" w:ascii="方正小标宋简体" w:hAnsi="方正小标宋简体" w:eastAsia="方正小标宋简体" w:cs="方正小标宋简体"/>
          <w:b/>
          <w:bCs/>
          <w:color w:val="auto"/>
          <w:sz w:val="36"/>
          <w:szCs w:val="36"/>
          <w:lang w:val="en-US" w:eastAsia="zh-CN"/>
        </w:rPr>
        <w:t xml:space="preserve"> </w:t>
      </w:r>
    </w:p>
    <w:p>
      <w:pPr>
        <w:spacing w:line="360" w:lineRule="auto"/>
        <w:jc w:val="center"/>
        <w:rPr>
          <w:rFonts w:hint="eastAsia" w:ascii="方正小标宋简体" w:hAnsi="方正小标宋简体" w:eastAsia="方正小标宋简体" w:cs="方正小标宋简体"/>
          <w:b w:val="0"/>
          <w:bCs w:val="0"/>
          <w:color w:val="auto"/>
          <w:sz w:val="36"/>
          <w:szCs w:val="36"/>
        </w:rPr>
      </w:pPr>
      <w:r>
        <w:rPr>
          <w:rStyle w:val="5"/>
          <w:rFonts w:hint="eastAsia" w:ascii="方正小标宋简体" w:hAnsi="方正小标宋简体" w:eastAsia="方正小标宋简体" w:cs="方正小标宋简体"/>
          <w:b w:val="0"/>
          <w:bCs w:val="0"/>
          <w:color w:val="auto"/>
          <w:sz w:val="36"/>
          <w:szCs w:val="36"/>
          <w:lang w:val="en-US" w:eastAsia="zh-CN"/>
        </w:rPr>
        <w:t xml:space="preserve"> </w:t>
      </w:r>
      <w:r>
        <w:rPr>
          <w:rStyle w:val="5"/>
          <w:rFonts w:hint="eastAsia" w:ascii="方正小标宋简体" w:hAnsi="方正小标宋简体" w:eastAsia="方正小标宋简体" w:cs="方正小标宋简体"/>
          <w:b w:val="0"/>
          <w:bCs w:val="0"/>
          <w:color w:val="auto"/>
          <w:sz w:val="36"/>
          <w:szCs w:val="36"/>
        </w:rPr>
        <w:t>福州大学厦门工艺美术学院</w:t>
      </w:r>
      <w:r>
        <w:rPr>
          <w:rFonts w:hint="eastAsia" w:ascii="方正小标宋简体" w:hAnsi="方正小标宋简体" w:eastAsia="方正小标宋简体" w:cs="方正小标宋简体"/>
          <w:b w:val="0"/>
          <w:bCs w:val="0"/>
          <w:color w:val="auto"/>
          <w:sz w:val="36"/>
          <w:szCs w:val="36"/>
        </w:rPr>
        <w:t>推免生</w:t>
      </w:r>
      <w:r>
        <w:rPr>
          <w:rFonts w:hint="eastAsia" w:ascii="方正小标宋简体" w:hAnsi="方正小标宋简体" w:eastAsia="方正小标宋简体" w:cs="方正小标宋简体"/>
          <w:b w:val="0"/>
          <w:bCs w:val="0"/>
          <w:color w:val="auto"/>
          <w:sz w:val="36"/>
          <w:szCs w:val="36"/>
          <w:lang w:val="en-US" w:eastAsia="zh-CN"/>
        </w:rPr>
        <w:t>特殊</w:t>
      </w:r>
      <w:r>
        <w:rPr>
          <w:rFonts w:hint="eastAsia" w:ascii="方正小标宋简体" w:hAnsi="方正小标宋简体" w:eastAsia="方正小标宋简体" w:cs="方正小标宋简体"/>
          <w:b w:val="0"/>
          <w:bCs w:val="0"/>
          <w:color w:val="auto"/>
          <w:sz w:val="36"/>
          <w:szCs w:val="36"/>
        </w:rPr>
        <w:t>学术专长实施办法</w:t>
      </w:r>
    </w:p>
    <w:p>
      <w:pPr>
        <w:spacing w:line="360" w:lineRule="auto"/>
        <w:jc w:val="center"/>
        <w:rPr>
          <w:rStyle w:val="5"/>
          <w:rFonts w:hint="eastAsia" w:ascii="仿宋_GB2312" w:hAnsi="仿宋_GB2312" w:eastAsia="方正小标宋简体" w:cs="仿宋_GB2312"/>
          <w:b w:val="0"/>
          <w:bCs w:val="0"/>
          <w:color w:val="auto"/>
          <w:sz w:val="32"/>
          <w:szCs w:val="32"/>
          <w:lang w:eastAsia="zh-CN"/>
        </w:rPr>
      </w:pPr>
      <w:r>
        <w:rPr>
          <w:rFonts w:hint="eastAsia" w:ascii="方正小标宋简体" w:hAnsi="方正小标宋简体" w:eastAsia="方正小标宋简体" w:cs="方正小标宋简体"/>
          <w:b w:val="0"/>
          <w:bCs w:val="0"/>
          <w:color w:val="auto"/>
          <w:sz w:val="36"/>
          <w:szCs w:val="36"/>
          <w:lang w:eastAsia="zh-CN"/>
        </w:rPr>
        <w:t>（</w:t>
      </w:r>
      <w:r>
        <w:rPr>
          <w:rFonts w:hint="eastAsia" w:ascii="方正小标宋简体" w:hAnsi="方正小标宋简体" w:eastAsia="方正小标宋简体" w:cs="方正小标宋简体"/>
          <w:b w:val="0"/>
          <w:bCs w:val="0"/>
          <w:color w:val="auto"/>
          <w:sz w:val="36"/>
          <w:szCs w:val="36"/>
          <w:lang w:val="en-US" w:eastAsia="zh-CN"/>
        </w:rPr>
        <w:t>试行</w:t>
      </w:r>
      <w:r>
        <w:rPr>
          <w:rFonts w:hint="eastAsia" w:ascii="方正小标宋简体" w:hAnsi="方正小标宋简体" w:eastAsia="方正小标宋简体" w:cs="方正小标宋简体"/>
          <w:b w:val="0"/>
          <w:bCs w:val="0"/>
          <w:color w:val="auto"/>
          <w:sz w:val="36"/>
          <w:szCs w:val="36"/>
          <w:lang w:eastAsia="zh-CN"/>
        </w:rPr>
        <w:t>）</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Style w:val="5"/>
          <w:rFonts w:hint="eastAsia" w:ascii="仿宋_GB2312" w:hAnsi="仿宋_GB2312" w:eastAsia="仿宋_GB2312" w:cs="仿宋_GB2312"/>
          <w:b/>
          <w:bCs/>
          <w:color w:val="auto"/>
          <w:sz w:val="32"/>
          <w:szCs w:val="32"/>
          <w:lang w:eastAsia="zh-CN"/>
        </w:rPr>
      </w:pPr>
      <w:r>
        <w:rPr>
          <w:rStyle w:val="5"/>
          <w:rFonts w:hint="eastAsia" w:ascii="仿宋_GB2312" w:hAnsi="仿宋_GB2312" w:eastAsia="仿宋_GB2312" w:cs="仿宋_GB2312"/>
          <w:b w:val="0"/>
          <w:bCs w:val="0"/>
          <w:color w:val="auto"/>
          <w:sz w:val="32"/>
          <w:szCs w:val="32"/>
        </w:rPr>
        <w:t>根据《福州大学推荐优秀应届本科毕业生免试攻读研究生工作实施办法（2022年修订）》及《福州大学厦门工艺美术学院推荐优秀应届本科毕业生免试攻读研究生工作细则》</w:t>
      </w:r>
      <w:r>
        <w:rPr>
          <w:rStyle w:val="5"/>
          <w:rFonts w:hint="eastAsia" w:ascii="仿宋_GB2312" w:hAnsi="仿宋_GB2312" w:eastAsia="仿宋_GB2312" w:cs="仿宋_GB2312"/>
          <w:b/>
          <w:bCs/>
          <w:color w:val="auto"/>
          <w:sz w:val="32"/>
          <w:szCs w:val="32"/>
          <w:lang w:eastAsia="zh-CN"/>
        </w:rPr>
        <w:t>，</w:t>
      </w:r>
      <w:r>
        <w:rPr>
          <w:rStyle w:val="5"/>
          <w:rFonts w:hint="eastAsia" w:ascii="仿宋_GB2312" w:hAnsi="仿宋_GB2312" w:eastAsia="仿宋_GB2312" w:cs="仿宋_GB2312"/>
          <w:b w:val="0"/>
          <w:bCs w:val="0"/>
          <w:color w:val="auto"/>
          <w:sz w:val="32"/>
          <w:szCs w:val="32"/>
        </w:rPr>
        <w:t>特制定《福州大学厦门工艺美术学院推免生</w:t>
      </w:r>
      <w:r>
        <w:rPr>
          <w:rStyle w:val="5"/>
          <w:rFonts w:hint="eastAsia" w:ascii="仿宋_GB2312" w:hAnsi="仿宋_GB2312" w:eastAsia="仿宋_GB2312" w:cs="仿宋_GB2312"/>
          <w:b w:val="0"/>
          <w:bCs w:val="0"/>
          <w:color w:val="auto"/>
          <w:sz w:val="32"/>
          <w:szCs w:val="32"/>
          <w:lang w:val="en-US" w:eastAsia="zh-CN"/>
        </w:rPr>
        <w:t>特殊</w:t>
      </w:r>
      <w:r>
        <w:rPr>
          <w:rStyle w:val="5"/>
          <w:rFonts w:hint="eastAsia" w:ascii="仿宋_GB2312" w:hAnsi="仿宋_GB2312" w:eastAsia="仿宋_GB2312" w:cs="仿宋_GB2312"/>
          <w:b w:val="0"/>
          <w:bCs w:val="0"/>
          <w:color w:val="auto"/>
          <w:sz w:val="32"/>
          <w:szCs w:val="32"/>
        </w:rPr>
        <w:t>学术专长实施办法</w:t>
      </w:r>
      <w:r>
        <w:rPr>
          <w:rStyle w:val="5"/>
          <w:rFonts w:hint="eastAsia" w:ascii="仿宋_GB2312" w:hAnsi="仿宋_GB2312" w:eastAsia="仿宋_GB2312" w:cs="仿宋_GB2312"/>
          <w:b/>
          <w:bCs/>
          <w:color w:val="auto"/>
          <w:sz w:val="32"/>
          <w:szCs w:val="32"/>
          <w:lang w:eastAsia="zh-CN"/>
        </w:rPr>
        <w:t>（</w:t>
      </w:r>
      <w:r>
        <w:rPr>
          <w:rStyle w:val="5"/>
          <w:rFonts w:hint="eastAsia" w:ascii="仿宋_GB2312" w:hAnsi="仿宋_GB2312" w:eastAsia="仿宋_GB2312" w:cs="仿宋_GB2312"/>
          <w:b/>
          <w:bCs/>
          <w:color w:val="auto"/>
          <w:sz w:val="32"/>
          <w:szCs w:val="32"/>
          <w:lang w:val="en-US" w:eastAsia="zh-CN"/>
        </w:rPr>
        <w:t>试行</w:t>
      </w:r>
      <w:r>
        <w:rPr>
          <w:rStyle w:val="5"/>
          <w:rFonts w:hint="eastAsia" w:ascii="仿宋_GB2312" w:hAnsi="仿宋_GB2312" w:eastAsia="仿宋_GB2312" w:cs="仿宋_GB2312"/>
          <w:b/>
          <w:bCs/>
          <w:color w:val="auto"/>
          <w:sz w:val="32"/>
          <w:szCs w:val="32"/>
          <w:lang w:eastAsia="zh-CN"/>
        </w:rPr>
        <w:t>）</w:t>
      </w:r>
      <w:r>
        <w:rPr>
          <w:rStyle w:val="5"/>
          <w:rFonts w:hint="eastAsia" w:ascii="仿宋_GB2312" w:hAnsi="仿宋_GB2312" w:eastAsia="仿宋_GB2312" w:cs="仿宋_GB2312"/>
          <w:b/>
          <w:bCs/>
          <w:color w:val="auto"/>
          <w:sz w:val="32"/>
          <w:szCs w:val="32"/>
        </w:rPr>
        <w:t>》</w:t>
      </w:r>
      <w:r>
        <w:rPr>
          <w:rStyle w:val="5"/>
          <w:rFonts w:hint="eastAsia" w:ascii="仿宋_GB2312" w:hAnsi="仿宋_GB2312" w:eastAsia="仿宋_GB2312" w:cs="仿宋_GB2312"/>
          <w:b w:val="0"/>
          <w:bCs w:val="0"/>
          <w:color w:val="auto"/>
          <w:sz w:val="32"/>
          <w:szCs w:val="32"/>
        </w:rPr>
        <w:t>，</w:t>
      </w:r>
      <w:r>
        <w:rPr>
          <w:rStyle w:val="5"/>
          <w:rFonts w:hint="eastAsia" w:ascii="仿宋_GB2312" w:hAnsi="仿宋_GB2312" w:eastAsia="仿宋_GB2312" w:cs="仿宋_GB2312"/>
          <w:b/>
          <w:bCs/>
          <w:color w:val="auto"/>
          <w:sz w:val="32"/>
          <w:szCs w:val="32"/>
          <w:lang w:val="en-US" w:eastAsia="zh-CN"/>
        </w:rPr>
        <w:t>具体如下</w:t>
      </w:r>
      <w:r>
        <w:rPr>
          <w:rStyle w:val="5"/>
          <w:rFonts w:hint="eastAsia" w:ascii="仿宋_GB2312" w:hAnsi="仿宋_GB2312" w:eastAsia="仿宋_GB2312" w:cs="仿宋_GB2312"/>
          <w:b/>
          <w:bCs/>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Style w:val="5"/>
          <w:rFonts w:hint="eastAsia" w:ascii="仿宋_GB2312" w:hAnsi="仿宋_GB2312" w:eastAsia="仿宋_GB2312" w:cs="仿宋_GB2312"/>
          <w:b w:val="0"/>
          <w:bCs w:val="0"/>
          <w:color w:val="auto"/>
          <w:sz w:val="32"/>
          <w:szCs w:val="32"/>
        </w:rPr>
      </w:pPr>
      <w:r>
        <w:rPr>
          <w:rStyle w:val="5"/>
          <w:rFonts w:hint="eastAsia" w:ascii="仿宋_GB2312" w:hAnsi="仿宋_GB2312" w:eastAsia="仿宋_GB2312" w:cs="仿宋_GB2312"/>
          <w:b/>
          <w:bCs/>
          <w:color w:val="auto"/>
          <w:sz w:val="32"/>
          <w:szCs w:val="32"/>
          <w:lang w:val="en-US" w:eastAsia="zh-CN"/>
        </w:rPr>
        <w:t>一、</w:t>
      </w:r>
      <w:r>
        <w:rPr>
          <w:rStyle w:val="5"/>
          <w:rFonts w:hint="eastAsia" w:ascii="仿宋_GB2312" w:hAnsi="仿宋_GB2312" w:eastAsia="仿宋_GB2312" w:cs="仿宋_GB2312"/>
          <w:b w:val="0"/>
          <w:bCs w:val="0"/>
          <w:color w:val="auto"/>
          <w:sz w:val="32"/>
          <w:szCs w:val="32"/>
        </w:rPr>
        <w:t>推免生</w:t>
      </w:r>
      <w:r>
        <w:rPr>
          <w:rStyle w:val="5"/>
          <w:rFonts w:hint="eastAsia" w:ascii="仿宋_GB2312" w:hAnsi="仿宋_GB2312" w:eastAsia="仿宋_GB2312" w:cs="仿宋_GB2312"/>
          <w:b w:val="0"/>
          <w:bCs w:val="0"/>
          <w:color w:val="auto"/>
          <w:sz w:val="32"/>
          <w:szCs w:val="32"/>
          <w:lang w:val="en-US" w:eastAsia="zh-CN"/>
        </w:rPr>
        <w:t>特殊</w:t>
      </w:r>
      <w:r>
        <w:rPr>
          <w:rStyle w:val="5"/>
          <w:rFonts w:hint="eastAsia" w:ascii="仿宋_GB2312" w:hAnsi="仿宋_GB2312" w:eastAsia="仿宋_GB2312" w:cs="仿宋_GB2312"/>
          <w:b w:val="0"/>
          <w:bCs w:val="0"/>
          <w:color w:val="auto"/>
          <w:sz w:val="32"/>
          <w:szCs w:val="32"/>
        </w:rPr>
        <w:t>学术专长仅限学生本科阶段在核心期刊上以独立作者或第一作者发表的与学业相关的科研论文（论文以学校科研部门的认定为标准）不少于2篇;作为核心成员（排名第一）参加与学业相关的国内权威科研竞赛(福州大学大学生学科竞赛级别直接认定项目)获得二等奖以上</w:t>
      </w:r>
      <w:r>
        <w:rPr>
          <w:rStyle w:val="5"/>
          <w:rFonts w:hint="eastAsia" w:ascii="仿宋_GB2312" w:hAnsi="仿宋_GB2312" w:eastAsia="仿宋_GB2312" w:cs="仿宋_GB2312"/>
          <w:b w:val="0"/>
          <w:bCs w:val="0"/>
          <w:color w:val="auto"/>
          <w:sz w:val="32"/>
          <w:szCs w:val="32"/>
          <w:lang w:val="en-US" w:eastAsia="zh-CN"/>
        </w:rPr>
        <w:t>1</w:t>
      </w:r>
      <w:r>
        <w:rPr>
          <w:rStyle w:val="5"/>
          <w:rFonts w:hint="eastAsia" w:ascii="仿宋_GB2312" w:hAnsi="仿宋_GB2312" w:eastAsia="仿宋_GB2312" w:cs="仿宋_GB2312"/>
          <w:b w:val="0"/>
          <w:bCs w:val="0"/>
          <w:color w:val="auto"/>
          <w:sz w:val="32"/>
          <w:szCs w:val="32"/>
        </w:rPr>
        <w:t>次或三等奖</w:t>
      </w:r>
      <w:r>
        <w:rPr>
          <w:rStyle w:val="5"/>
          <w:rFonts w:hint="eastAsia" w:ascii="仿宋_GB2312" w:hAnsi="仿宋_GB2312" w:eastAsia="仿宋_GB2312" w:cs="仿宋_GB2312"/>
          <w:b w:val="0"/>
          <w:bCs w:val="0"/>
          <w:color w:val="auto"/>
          <w:sz w:val="32"/>
          <w:szCs w:val="32"/>
          <w:lang w:val="en-US" w:eastAsia="zh-CN"/>
        </w:rPr>
        <w:t>以上</w:t>
      </w:r>
      <w:r>
        <w:rPr>
          <w:rStyle w:val="5"/>
          <w:rFonts w:hint="eastAsia" w:ascii="仿宋_GB2312" w:hAnsi="仿宋_GB2312" w:eastAsia="仿宋_GB2312" w:cs="仿宋_GB2312"/>
          <w:b w:val="0"/>
          <w:bCs w:val="0"/>
          <w:color w:val="auto"/>
          <w:sz w:val="32"/>
          <w:szCs w:val="32"/>
        </w:rPr>
        <w:t>2次</w:t>
      </w:r>
      <w:r>
        <w:rPr>
          <w:rStyle w:val="5"/>
          <w:rFonts w:hint="eastAsia" w:ascii="仿宋_GB2312" w:hAnsi="仿宋_GB2312" w:eastAsia="仿宋_GB2312" w:cs="仿宋_GB2312"/>
          <w:b w:val="0"/>
          <w:bCs w:val="0"/>
          <w:color w:val="auto"/>
          <w:sz w:val="32"/>
          <w:szCs w:val="32"/>
          <w:lang w:val="en-US" w:eastAsia="zh-CN"/>
        </w:rPr>
        <w:t>且独立署名或团队排名第一</w:t>
      </w:r>
      <w:r>
        <w:rPr>
          <w:rStyle w:val="5"/>
          <w:rFonts w:hint="eastAsia" w:ascii="仿宋_GB2312" w:hAnsi="仿宋_GB2312" w:eastAsia="仿宋_GB2312" w:cs="仿宋_GB2312"/>
          <w:b w:val="0"/>
          <w:bCs w:val="0"/>
          <w:color w:val="auto"/>
          <w:sz w:val="32"/>
          <w:szCs w:val="32"/>
        </w:rPr>
        <w:t>(国际赛事参照执行,但不得低于国内赛事相关要求)。</w:t>
      </w:r>
    </w:p>
    <w:p>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Style w:val="5"/>
          <w:rFonts w:hint="eastAsia" w:ascii="仿宋_GB2312" w:hAnsi="仿宋_GB2312" w:eastAsia="仿宋_GB2312" w:cs="仿宋_GB2312"/>
          <w:b w:val="0"/>
          <w:bCs w:val="0"/>
          <w:color w:val="auto"/>
          <w:sz w:val="32"/>
          <w:szCs w:val="32"/>
        </w:rPr>
      </w:pPr>
      <w:r>
        <w:rPr>
          <w:rStyle w:val="5"/>
          <w:rFonts w:hint="eastAsia" w:ascii="仿宋_GB2312" w:hAnsi="仿宋_GB2312" w:eastAsia="仿宋_GB2312" w:cs="仿宋_GB2312"/>
          <w:b/>
          <w:bCs/>
          <w:color w:val="auto"/>
          <w:sz w:val="32"/>
          <w:szCs w:val="32"/>
          <w:lang w:val="en-US" w:eastAsia="zh-CN"/>
        </w:rPr>
        <w:t>二、</w:t>
      </w:r>
      <w:r>
        <w:rPr>
          <w:rStyle w:val="5"/>
          <w:rFonts w:hint="eastAsia" w:ascii="仿宋_GB2312" w:hAnsi="仿宋_GB2312" w:eastAsia="仿宋_GB2312" w:cs="仿宋_GB2312"/>
          <w:b w:val="0"/>
          <w:bCs w:val="0"/>
          <w:color w:val="auto"/>
          <w:sz w:val="32"/>
          <w:szCs w:val="32"/>
        </w:rPr>
        <w:t>有</w:t>
      </w:r>
      <w:r>
        <w:rPr>
          <w:rStyle w:val="5"/>
          <w:rFonts w:hint="eastAsia" w:ascii="仿宋_GB2312" w:hAnsi="仿宋_GB2312" w:eastAsia="仿宋_GB2312" w:cs="仿宋_GB2312"/>
          <w:b w:val="0"/>
          <w:bCs w:val="0"/>
          <w:color w:val="auto"/>
          <w:sz w:val="32"/>
          <w:szCs w:val="32"/>
          <w:lang w:val="en-US" w:eastAsia="zh-CN"/>
        </w:rPr>
        <w:t>特殊</w:t>
      </w:r>
      <w:r>
        <w:rPr>
          <w:rStyle w:val="5"/>
          <w:rFonts w:hint="eastAsia" w:ascii="仿宋_GB2312" w:hAnsi="仿宋_GB2312" w:eastAsia="仿宋_GB2312" w:cs="仿宋_GB2312"/>
          <w:b w:val="0"/>
          <w:bCs w:val="0"/>
          <w:color w:val="auto"/>
          <w:sz w:val="32"/>
          <w:szCs w:val="32"/>
        </w:rPr>
        <w:t>学术专长或具有突出培养潜质者，须经3名以上本校本专业领域正教授联名推荐。</w:t>
      </w:r>
    </w:p>
    <w:p>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Style w:val="5"/>
          <w:rFonts w:hint="eastAsia" w:ascii="仿宋_GB2312" w:hAnsi="仿宋_GB2312" w:eastAsia="仿宋_GB2312" w:cs="仿宋_GB2312"/>
          <w:b w:val="0"/>
          <w:bCs w:val="0"/>
          <w:color w:val="auto"/>
          <w:sz w:val="32"/>
          <w:szCs w:val="32"/>
        </w:rPr>
      </w:pPr>
      <w:r>
        <w:rPr>
          <w:rStyle w:val="5"/>
          <w:rFonts w:hint="eastAsia" w:ascii="仿宋_GB2312" w:hAnsi="仿宋_GB2312" w:eastAsia="仿宋_GB2312" w:cs="仿宋_GB2312"/>
          <w:b/>
          <w:bCs/>
          <w:color w:val="auto"/>
          <w:sz w:val="32"/>
          <w:szCs w:val="32"/>
          <w:lang w:val="en-US" w:eastAsia="zh-CN"/>
        </w:rPr>
        <w:t>三、</w:t>
      </w:r>
      <w:r>
        <w:rPr>
          <w:rStyle w:val="5"/>
          <w:rFonts w:hint="eastAsia" w:ascii="仿宋_GB2312" w:hAnsi="仿宋_GB2312" w:eastAsia="仿宋_GB2312" w:cs="仿宋_GB2312"/>
          <w:b w:val="0"/>
          <w:bCs w:val="0"/>
          <w:color w:val="auto"/>
          <w:sz w:val="32"/>
          <w:szCs w:val="32"/>
        </w:rPr>
        <w:t>专家审核小组（学院组织）对学生提交的特殊学术专长证明材料进行审核鉴定，对学生提交的多篇科研成果实行代表作评价，评价重点聚焦到创新质量和个人贡献。学生与直系亲属或学历、职称、职务明显高于本人的合作者科研成果、竞赛奖项等仅作为参考（以招生考试中心认定为准），不纳入学生本人推免遴选综合评价成绩计算体系。</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Style w:val="5"/>
          <w:rFonts w:hint="eastAsia" w:ascii="仿宋_GB2312" w:hAnsi="仿宋_GB2312" w:eastAsia="仿宋_GB2312" w:cs="仿宋_GB2312"/>
          <w:b w:val="0"/>
          <w:bCs w:val="0"/>
          <w:color w:val="auto"/>
          <w:sz w:val="32"/>
          <w:szCs w:val="32"/>
        </w:rPr>
      </w:pPr>
      <w:r>
        <w:rPr>
          <w:rStyle w:val="5"/>
          <w:rFonts w:hint="eastAsia" w:ascii="仿宋_GB2312" w:hAnsi="仿宋_GB2312" w:eastAsia="仿宋_GB2312" w:cs="仿宋_GB2312"/>
          <w:b w:val="0"/>
          <w:bCs w:val="0"/>
          <w:color w:val="auto"/>
          <w:sz w:val="32"/>
          <w:szCs w:val="32"/>
          <w:lang w:val="en-US" w:eastAsia="zh-CN"/>
        </w:rPr>
        <w:t>四、特殊</w:t>
      </w:r>
      <w:r>
        <w:rPr>
          <w:rStyle w:val="5"/>
          <w:rFonts w:hint="eastAsia" w:ascii="仿宋_GB2312" w:hAnsi="仿宋_GB2312" w:eastAsia="仿宋_GB2312" w:cs="仿宋_GB2312"/>
          <w:b w:val="0"/>
          <w:bCs w:val="0"/>
          <w:color w:val="auto"/>
          <w:sz w:val="32"/>
          <w:szCs w:val="32"/>
        </w:rPr>
        <w:t>学术专长或具有突出培养潜质者必须进行公开答辩，全程要录音录像，答辩结果要公开公示，审核鉴定意见要明确并经专家审核小组全体成员签字存档。</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Style w:val="5"/>
          <w:rFonts w:hint="eastAsia" w:ascii="仿宋_GB2312" w:hAnsi="仿宋_GB2312" w:eastAsia="仿宋_GB2312" w:cs="仿宋_GB2312"/>
          <w:b w:val="0"/>
          <w:bCs w:val="0"/>
          <w:color w:val="auto"/>
          <w:sz w:val="32"/>
          <w:szCs w:val="32"/>
        </w:rPr>
      </w:pPr>
      <w:r>
        <w:rPr>
          <w:rStyle w:val="5"/>
          <w:rFonts w:hint="eastAsia" w:ascii="仿宋_GB2312" w:hAnsi="仿宋_GB2312" w:eastAsia="仿宋_GB2312" w:cs="仿宋_GB2312"/>
          <w:b w:val="0"/>
          <w:bCs w:val="0"/>
          <w:color w:val="auto"/>
          <w:sz w:val="32"/>
          <w:szCs w:val="32"/>
          <w:lang w:val="en-US" w:eastAsia="zh-CN"/>
        </w:rPr>
        <w:t>五</w:t>
      </w:r>
      <w:r>
        <w:rPr>
          <w:rStyle w:val="5"/>
          <w:rFonts w:hint="eastAsia" w:ascii="仿宋_GB2312" w:hAnsi="仿宋_GB2312" w:eastAsia="仿宋_GB2312" w:cs="仿宋_GB2312"/>
          <w:b w:val="0"/>
          <w:bCs w:val="0"/>
          <w:color w:val="auto"/>
          <w:sz w:val="32"/>
          <w:szCs w:val="32"/>
        </w:rPr>
        <w:t>、参加中国“互联网+”创新创业大赛（含青年红色筑梦之旅赛道），获得全国金、银、铜奖项目的成员名单中排名前三（项目成员排序以最终获奖证书为准），且学业综合成绩在本专业同年级分别排名前35%（金奖）、前25%（</w:t>
      </w:r>
      <w:r>
        <w:rPr>
          <w:rStyle w:val="5"/>
          <w:rFonts w:hint="eastAsia" w:ascii="仿宋_GB2312" w:hAnsi="仿宋_GB2312" w:eastAsia="仿宋_GB2312" w:cs="仿宋_GB2312"/>
          <w:b w:val="0"/>
          <w:bCs w:val="0"/>
          <w:color w:val="auto"/>
          <w:sz w:val="32"/>
          <w:szCs w:val="32"/>
          <w:lang w:val="en-US" w:eastAsia="zh-CN"/>
        </w:rPr>
        <w:t>银奖</w:t>
      </w:r>
      <w:r>
        <w:rPr>
          <w:rStyle w:val="5"/>
          <w:rFonts w:hint="eastAsia" w:ascii="仿宋_GB2312" w:hAnsi="仿宋_GB2312" w:eastAsia="仿宋_GB2312" w:cs="仿宋_GB2312"/>
          <w:b w:val="0"/>
          <w:bCs w:val="0"/>
          <w:color w:val="auto"/>
          <w:sz w:val="32"/>
          <w:szCs w:val="32"/>
        </w:rPr>
        <w:t>）、前20%（铜奖）的本科生，可被认定具备“特殊学术专长或突出培养潜质”的基本条件，免答辩资格审查，但须参加学院组织的公开答辩。若排位已在学院推荐指标范围内，则不再预留指标。</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Style w:val="5"/>
          <w:rFonts w:hint="eastAsia" w:ascii="仿宋_GB2312" w:hAnsi="仿宋_GB2312" w:eastAsia="仿宋_GB2312" w:cs="仿宋_GB2312"/>
          <w:b w:val="0"/>
          <w:bCs w:val="0"/>
          <w:color w:val="auto"/>
          <w:sz w:val="32"/>
          <w:szCs w:val="32"/>
        </w:rPr>
      </w:pPr>
      <w:r>
        <w:rPr>
          <w:rStyle w:val="5"/>
          <w:rFonts w:hint="eastAsia" w:ascii="仿宋_GB2312" w:hAnsi="仿宋_GB2312" w:eastAsia="仿宋_GB2312" w:cs="仿宋_GB2312"/>
          <w:b w:val="0"/>
          <w:bCs w:val="0"/>
          <w:color w:val="auto"/>
          <w:sz w:val="32"/>
          <w:szCs w:val="32"/>
          <w:lang w:val="en-US" w:eastAsia="zh-CN"/>
        </w:rPr>
        <w:t>六</w:t>
      </w:r>
      <w:r>
        <w:rPr>
          <w:rStyle w:val="5"/>
          <w:rFonts w:hint="eastAsia" w:ascii="仿宋_GB2312" w:hAnsi="仿宋_GB2312" w:eastAsia="仿宋_GB2312" w:cs="仿宋_GB2312"/>
          <w:b w:val="0"/>
          <w:bCs w:val="0"/>
          <w:color w:val="auto"/>
          <w:sz w:val="32"/>
          <w:szCs w:val="32"/>
        </w:rPr>
        <w:t>、学生通过专家审核小组答辩后，由学院推免生遴选工作领导小组研究决定是否推荐。</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Style w:val="5"/>
          <w:rFonts w:hint="eastAsia" w:ascii="仿宋_GB2312" w:hAnsi="仿宋_GB2312" w:eastAsia="仿宋_GB2312" w:cs="仿宋_GB2312"/>
          <w:b w:val="0"/>
          <w:bCs w:val="0"/>
          <w:color w:val="auto"/>
          <w:sz w:val="32"/>
          <w:szCs w:val="32"/>
        </w:rPr>
      </w:pPr>
      <w:r>
        <w:rPr>
          <w:rStyle w:val="5"/>
          <w:rFonts w:hint="eastAsia" w:ascii="仿宋_GB2312" w:hAnsi="仿宋_GB2312" w:eastAsia="仿宋_GB2312" w:cs="仿宋_GB2312"/>
          <w:b w:val="0"/>
          <w:bCs w:val="0"/>
          <w:color w:val="auto"/>
          <w:sz w:val="32"/>
          <w:szCs w:val="32"/>
          <w:lang w:val="en-US" w:eastAsia="zh-CN"/>
        </w:rPr>
        <w:t>七、</w:t>
      </w:r>
      <w:r>
        <w:rPr>
          <w:rStyle w:val="5"/>
          <w:rFonts w:hint="eastAsia" w:ascii="仿宋_GB2312" w:hAnsi="仿宋_GB2312" w:eastAsia="仿宋_GB2312" w:cs="仿宋_GB2312"/>
          <w:b w:val="0"/>
          <w:bCs w:val="0"/>
          <w:color w:val="auto"/>
          <w:sz w:val="32"/>
          <w:szCs w:val="32"/>
        </w:rPr>
        <w:t>学院</w:t>
      </w:r>
      <w:r>
        <w:rPr>
          <w:rStyle w:val="5"/>
          <w:rFonts w:hint="eastAsia" w:ascii="仿宋_GB2312" w:hAnsi="仿宋_GB2312" w:eastAsia="仿宋_GB2312" w:cs="仿宋_GB2312"/>
          <w:b w:val="0"/>
          <w:bCs w:val="0"/>
          <w:color w:val="auto"/>
          <w:sz w:val="32"/>
          <w:szCs w:val="32"/>
          <w:lang w:val="en-US" w:eastAsia="zh-CN"/>
        </w:rPr>
        <w:t>2024</w:t>
      </w:r>
      <w:r>
        <w:rPr>
          <w:rStyle w:val="5"/>
          <w:rFonts w:hint="eastAsia" w:ascii="仿宋_GB2312" w:hAnsi="仿宋_GB2312" w:eastAsia="仿宋_GB2312" w:cs="仿宋_GB2312"/>
          <w:b w:val="0"/>
          <w:bCs w:val="0"/>
          <w:color w:val="auto"/>
          <w:sz w:val="32"/>
          <w:szCs w:val="32"/>
        </w:rPr>
        <w:t>年推荐有</w:t>
      </w:r>
      <w:r>
        <w:rPr>
          <w:rStyle w:val="5"/>
          <w:rFonts w:hint="eastAsia" w:ascii="仿宋_GB2312" w:hAnsi="仿宋_GB2312" w:eastAsia="仿宋_GB2312" w:cs="仿宋_GB2312"/>
          <w:b w:val="0"/>
          <w:bCs w:val="0"/>
          <w:color w:val="auto"/>
          <w:sz w:val="32"/>
          <w:szCs w:val="32"/>
          <w:lang w:val="en-US" w:eastAsia="zh-CN"/>
        </w:rPr>
        <w:t>特殊</w:t>
      </w:r>
      <w:r>
        <w:rPr>
          <w:rStyle w:val="5"/>
          <w:rFonts w:hint="eastAsia" w:ascii="仿宋_GB2312" w:hAnsi="仿宋_GB2312" w:eastAsia="仿宋_GB2312" w:cs="仿宋_GB2312"/>
          <w:b w:val="0"/>
          <w:bCs w:val="0"/>
          <w:color w:val="auto"/>
          <w:sz w:val="32"/>
          <w:szCs w:val="32"/>
        </w:rPr>
        <w:t>学术专长或具有突出培养潜质的数量不超过</w:t>
      </w:r>
      <w:r>
        <w:rPr>
          <w:rStyle w:val="5"/>
          <w:rFonts w:hint="eastAsia" w:ascii="仿宋_GB2312" w:hAnsi="仿宋_GB2312" w:eastAsia="仿宋_GB2312" w:cs="仿宋_GB2312"/>
          <w:b w:val="0"/>
          <w:bCs w:val="0"/>
          <w:color w:val="auto"/>
          <w:sz w:val="32"/>
          <w:szCs w:val="32"/>
          <w:lang w:eastAsia="zh-CN"/>
        </w:rPr>
        <w:t>1</w:t>
      </w:r>
      <w:r>
        <w:rPr>
          <w:rStyle w:val="5"/>
          <w:rFonts w:hint="eastAsia" w:ascii="仿宋_GB2312" w:hAnsi="仿宋_GB2312" w:eastAsia="仿宋_GB2312" w:cs="仿宋_GB2312"/>
          <w:b w:val="0"/>
          <w:bCs w:val="0"/>
          <w:color w:val="auto"/>
          <w:sz w:val="32"/>
          <w:szCs w:val="32"/>
        </w:rPr>
        <w:t>名。</w:t>
      </w:r>
    </w:p>
    <w:p>
      <w:pPr>
        <w:spacing w:line="360" w:lineRule="auto"/>
        <w:ind w:right="0" w:firstLine="6720" w:firstLineChars="2100"/>
        <w:jc w:val="left"/>
        <w:rPr>
          <w:rFonts w:hint="eastAsia" w:ascii="仿宋_GB2312" w:hAnsi="仿宋_GB2312" w:eastAsia="仿宋_GB2312" w:cs="仿宋_GB2312"/>
          <w:color w:val="auto"/>
          <w:sz w:val="32"/>
          <w:szCs w:val="32"/>
          <w:lang w:val="en-US" w:eastAsia="zh-CN"/>
        </w:rPr>
      </w:pPr>
      <w:bookmarkStart w:id="0" w:name="_GoBack"/>
      <w:bookmarkEnd w:id="0"/>
      <w:r>
        <w:rPr>
          <w:rStyle w:val="5"/>
          <w:rFonts w:hint="eastAsia" w:ascii="仿宋_GB2312" w:hAnsi="仿宋_GB2312" w:eastAsia="仿宋_GB2312" w:cs="仿宋_GB2312"/>
          <w:b w:val="0"/>
          <w:bCs w:val="0"/>
          <w:color w:val="auto"/>
          <w:sz w:val="32"/>
          <w:szCs w:val="32"/>
        </w:rPr>
        <w:t xml:space="preserve">      </w:t>
      </w:r>
      <w:r>
        <w:rPr>
          <w:rStyle w:val="5"/>
          <w:rFonts w:hint="eastAsia" w:ascii="仿宋_GB2312" w:hAnsi="仿宋_GB2312" w:eastAsia="仿宋_GB2312" w:cs="仿宋_GB2312"/>
          <w:b w:val="0"/>
          <w:bCs w:val="0"/>
          <w:color w:val="auto"/>
          <w:sz w:val="32"/>
          <w:szCs w:val="32"/>
          <w:lang w:val="en-US" w:eastAsia="zh-CN"/>
        </w:rPr>
        <w:t xml:space="preserve">       </w:t>
      </w:r>
      <w:r>
        <w:rPr>
          <w:rStyle w:val="5"/>
          <w:rFonts w:hint="eastAsia" w:ascii="仿宋_GB2312" w:hAnsi="仿宋_GB2312" w:eastAsia="仿宋_GB2312" w:cs="仿宋_GB2312"/>
          <w:b w:val="0"/>
          <w:bCs w:val="0"/>
          <w:color w:val="auto"/>
          <w:sz w:val="32"/>
          <w:szCs w:val="32"/>
        </w:rPr>
        <w:t xml:space="preserve">  </w:t>
      </w:r>
    </w:p>
    <w:p/>
    <w:sectPr>
      <w:headerReference r:id="rId3" w:type="default"/>
      <w:pgSz w:w="11906" w:h="16838"/>
      <w:pgMar w:top="1417" w:right="1417" w:bottom="1417" w:left="141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3000509000000000000"/>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I0NDU1M2E5NmJlMWQ1ZGRhNWM3MTgyZGRjYjliOTMifQ=="/>
  </w:docVars>
  <w:rsids>
    <w:rsidRoot w:val="3A490424"/>
    <w:rsid w:val="39EA6730"/>
    <w:rsid w:val="3A4904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5">
    <w:name w:val="Strong"/>
    <w:basedOn w:val="4"/>
    <w:qFormat/>
    <w:uiPriority w:val="22"/>
    <w:rPr>
      <w:rFonts w:cs="Times New Roman"/>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2023-09-17T01:24:00Z</dcterms:created>
  <dc:creator>老六</dc:creator>
  <cp:lastModifiedBy>Administrator</cp:lastModifiedBy>
  <dcterms:modified xsi:type="dcterms:W3CDTF">2023-09-17T13:47:39Z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DBC74B985A004D1E8925DB0B77E30768_11</vt:lpwstr>
  </property>
</Properties>
</file>