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黑体" w:eastAsia="方正小标宋简体" w:cs="黑体"/>
          <w:color w:val="auto"/>
          <w:sz w:val="32"/>
          <w:szCs w:val="32"/>
        </w:rPr>
      </w:pPr>
      <w:bookmarkStart w:id="4" w:name="_GoBack"/>
      <w:r>
        <w:rPr>
          <w:rFonts w:hint="eastAsia" w:ascii="方正小标宋简体" w:hAnsi="黑体" w:eastAsia="方正小标宋简体" w:cs="黑体"/>
          <w:color w:val="auto"/>
          <w:sz w:val="32"/>
          <w:szCs w:val="32"/>
        </w:rPr>
        <w:t>附</w:t>
      </w:r>
      <w:r>
        <w:rPr>
          <w:rFonts w:hint="eastAsia" w:ascii="方正小标宋简体" w:hAnsi="黑体" w:eastAsia="方正小标宋简体" w:cs="黑体"/>
          <w:color w:val="auto"/>
          <w:sz w:val="32"/>
          <w:szCs w:val="32"/>
          <w:lang w:val="en-US" w:eastAsia="zh-CN"/>
        </w:rPr>
        <w:t>件1</w:t>
      </w:r>
      <w:r>
        <w:rPr>
          <w:rFonts w:hint="eastAsia" w:ascii="方正小标宋简体" w:hAnsi="黑体" w:eastAsia="方正小标宋简体" w:cs="黑体"/>
          <w:color w:val="auto"/>
          <w:sz w:val="32"/>
          <w:szCs w:val="32"/>
        </w:rPr>
        <w:t>：</w:t>
      </w:r>
    </w:p>
    <w:p>
      <w:pPr>
        <w:rPr>
          <w:rFonts w:hint="eastAsia" w:ascii="方正小标宋简体" w:hAnsi="黑体" w:eastAsia="方正小标宋简体" w:cs="黑体"/>
          <w:color w:val="auto"/>
          <w:sz w:val="32"/>
          <w:szCs w:val="32"/>
        </w:rPr>
      </w:pPr>
    </w:p>
    <w:p>
      <w:pPr>
        <w:keepNext w:val="0"/>
        <w:keepLines w:val="0"/>
        <w:pageBreakBefore w:val="0"/>
        <w:kinsoku/>
        <w:wordWrap/>
        <w:overflowPunct/>
        <w:topLinePunct w:val="0"/>
        <w:autoSpaceDE/>
        <w:autoSpaceDN/>
        <w:bidi w:val="0"/>
        <w:spacing w:line="520" w:lineRule="exact"/>
        <w:ind w:firstLine="720" w:firstLineChars="200"/>
        <w:jc w:val="center"/>
        <w:textAlignment w:val="auto"/>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福州大学</w:t>
      </w:r>
      <w:r>
        <w:rPr>
          <w:rFonts w:hint="eastAsia" w:ascii="方正小标宋简体" w:hAnsi="方正小标宋简体" w:eastAsia="方正小标宋简体" w:cs="方正小标宋简体"/>
          <w:color w:val="auto"/>
          <w:sz w:val="36"/>
          <w:szCs w:val="36"/>
        </w:rPr>
        <w:t>厦门工艺美术学院推免综合素质测评细则</w:t>
      </w:r>
    </w:p>
    <w:bookmarkEnd w:id="4"/>
    <w:p>
      <w:pPr>
        <w:keepNext w:val="0"/>
        <w:keepLines w:val="0"/>
        <w:pageBreakBefore w:val="0"/>
        <w:widowControl w:val="0"/>
        <w:kinsoku/>
        <w:wordWrap/>
        <w:overflowPunct/>
        <w:topLinePunct w:val="0"/>
        <w:autoSpaceDE/>
        <w:autoSpaceDN/>
        <w:bidi w:val="0"/>
        <w:adjustRightInd/>
        <w:snapToGrid/>
        <w:spacing w:line="360" w:lineRule="exact"/>
        <w:ind w:firstLine="720" w:firstLineChars="200"/>
        <w:jc w:val="center"/>
        <w:textAlignment w:val="auto"/>
        <w:rPr>
          <w:rFonts w:hint="eastAsia" w:ascii="方正小标宋简体" w:hAnsi="方正小标宋简体" w:eastAsia="方正小标宋简体" w:cs="方正小标宋简体"/>
          <w:color w:val="auto"/>
          <w:sz w:val="36"/>
          <w:szCs w:val="36"/>
        </w:rPr>
      </w:pP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加强和规范推荐优秀应届本科毕业生免试攻读研究生（以下简称推免）工作，贯彻公开、公正、公平原则，激励本科学生勤奋学习、勇于创新、全面发展，根据《福州大学推荐优秀应届本科毕业生免试攻读研究生工作实施办法（2022年修订）》等系列文件规定，结合我院实际，制定综合素质测评</w:t>
      </w:r>
      <w:r>
        <w:rPr>
          <w:rFonts w:hint="eastAsia" w:ascii="仿宋_GB2312" w:hAnsi="仿宋_GB2312" w:eastAsia="仿宋_GB2312" w:cs="仿宋_GB2312"/>
          <w:color w:val="auto"/>
          <w:sz w:val="32"/>
          <w:szCs w:val="32"/>
          <w:lang w:val="en-US" w:eastAsia="zh-CN"/>
        </w:rPr>
        <w:t>细则</w:t>
      </w:r>
      <w:r>
        <w:rPr>
          <w:rFonts w:hint="eastAsia" w:ascii="仿宋_GB2312" w:hAnsi="仿宋_GB2312" w:eastAsia="仿宋_GB2312" w:cs="仿宋_GB2312"/>
          <w:color w:val="auto"/>
          <w:sz w:val="32"/>
          <w:szCs w:val="32"/>
        </w:rPr>
        <w:t>。</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综合素质测评占综合测评成绩的10%，以百分制表示，具体分配如下表所示：</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9"/>
        <w:gridCol w:w="4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单项综合能力</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学科竞赛获奖</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科研成果</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德育</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参加志愿服务</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参军入伍服兵役</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到国际组织实习</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r>
    </w:tbl>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注：参军入伍以学生工作部（处）公示为准；到国际组织学习参照《国家留学基金委与有关国际组织合作项目列表（实时更新）》。</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1.德育分=前6个学期操行评定平均分*0.15（该项最高得分</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分）。</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2.参加志愿服务单项综合能力认定标准如下（该项最高得分5分）：</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参加志愿服务以志愿汇APP认定的服务时长为准（荣誉时长不计算在内），每累计10小时换算为0.1分，不足10小时的不计分。</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3.学科竞赛获奖单项综合能力认定标准如下（该项最高得分40分）：</w:t>
      </w:r>
    </w:p>
    <w:tbl>
      <w:tblPr>
        <w:tblStyle w:val="2"/>
        <w:tblW w:w="10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7"/>
        <w:gridCol w:w="1500"/>
        <w:gridCol w:w="1578"/>
        <w:gridCol w:w="1622"/>
        <w:gridCol w:w="1408"/>
        <w:gridCol w:w="2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407" w:type="dxa"/>
            <w:vMerge w:val="restart"/>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级别</w:t>
            </w:r>
          </w:p>
        </w:tc>
        <w:tc>
          <w:tcPr>
            <w:tcW w:w="1500" w:type="dxa"/>
            <w:vMerge w:val="restart"/>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完成形式</w:t>
            </w:r>
          </w:p>
        </w:tc>
        <w:tc>
          <w:tcPr>
            <w:tcW w:w="7247" w:type="dxa"/>
            <w:gridSpan w:val="4"/>
            <w:noWrap w:val="0"/>
            <w:vAlign w:val="top"/>
          </w:tcPr>
          <w:p>
            <w:pPr>
              <w:keepNext w:val="0"/>
              <w:keepLines w:val="0"/>
              <w:pageBreakBefore w:val="0"/>
              <w:kinsoku/>
              <w:wordWrap/>
              <w:overflowPunct/>
              <w:topLinePunct w:val="0"/>
              <w:autoSpaceDE/>
              <w:autoSpaceDN/>
              <w:bidi w:val="0"/>
              <w:spacing w:line="520" w:lineRule="exact"/>
              <w:ind w:firstLine="2560" w:firstLineChars="8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加分分值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407" w:type="dxa"/>
            <w:vMerge w:val="continue"/>
            <w:noWrap w:val="0"/>
            <w:vAlign w:val="top"/>
          </w:tcPr>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p>
        </w:tc>
        <w:tc>
          <w:tcPr>
            <w:tcW w:w="1500" w:type="dxa"/>
            <w:vMerge w:val="continue"/>
            <w:noWrap w:val="0"/>
            <w:vAlign w:val="top"/>
          </w:tcPr>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p>
        </w:tc>
        <w:tc>
          <w:tcPr>
            <w:tcW w:w="1578" w:type="dxa"/>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一等奖（金奖）</w:t>
            </w:r>
          </w:p>
        </w:tc>
        <w:tc>
          <w:tcPr>
            <w:tcW w:w="1622" w:type="dxa"/>
            <w:noWrap w:val="0"/>
            <w:vAlign w:val="top"/>
          </w:tcPr>
          <w:p>
            <w:pPr>
              <w:keepNext w:val="0"/>
              <w:keepLines w:val="0"/>
              <w:pageBreakBefore w:val="0"/>
              <w:kinsoku/>
              <w:wordWrap/>
              <w:overflowPunct/>
              <w:topLinePunct w:val="0"/>
              <w:autoSpaceDE/>
              <w:autoSpaceDN/>
              <w:bidi w:val="0"/>
              <w:spacing w:line="520" w:lineRule="exact"/>
              <w:ind w:firstLine="320" w:firstLineChars="1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二等奖</w:t>
            </w:r>
          </w:p>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（银奖）</w:t>
            </w:r>
          </w:p>
        </w:tc>
        <w:tc>
          <w:tcPr>
            <w:tcW w:w="1408" w:type="dxa"/>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三等奖（铜奖）</w:t>
            </w:r>
          </w:p>
        </w:tc>
        <w:tc>
          <w:tcPr>
            <w:tcW w:w="2639" w:type="dxa"/>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入选奖</w:t>
            </w:r>
            <w:r>
              <w:rPr>
                <w:rFonts w:hint="eastAsia" w:ascii="仿宋_GB2312" w:hAnsi="仿宋_GB2312" w:eastAsia="仿宋_GB2312" w:cs="仿宋_GB2312"/>
                <w:color w:val="auto"/>
                <w:sz w:val="32"/>
                <w:szCs w:val="32"/>
                <w:lang w:val="en-US" w:eastAsia="zh-CN"/>
              </w:rPr>
              <w:t>/优秀奖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407" w:type="dxa"/>
            <w:vMerge w:val="restart"/>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国家级</w:t>
            </w:r>
          </w:p>
        </w:tc>
        <w:tc>
          <w:tcPr>
            <w:tcW w:w="1500"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独立完成</w:t>
            </w:r>
          </w:p>
        </w:tc>
        <w:tc>
          <w:tcPr>
            <w:tcW w:w="1578"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w:t>
            </w:r>
          </w:p>
        </w:tc>
        <w:tc>
          <w:tcPr>
            <w:tcW w:w="1622"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1408"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p>
        </w:tc>
        <w:tc>
          <w:tcPr>
            <w:tcW w:w="2639" w:type="dxa"/>
            <w:noWrap w:val="0"/>
            <w:vAlign w:val="center"/>
          </w:tcPr>
          <w:p>
            <w:pPr>
              <w:keepNext w:val="0"/>
              <w:keepLines w:val="0"/>
              <w:pageBreakBefore w:val="0"/>
              <w:kinsoku/>
              <w:wordWrap/>
              <w:overflowPunct/>
              <w:topLinePunct w:val="0"/>
              <w:autoSpaceDE/>
              <w:autoSpaceDN/>
              <w:bidi w:val="0"/>
              <w:spacing w:line="520" w:lineRule="exact"/>
              <w:ind w:firstLine="960" w:firstLineChars="3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00"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团体完成</w:t>
            </w:r>
          </w:p>
        </w:tc>
        <w:tc>
          <w:tcPr>
            <w:tcW w:w="7247" w:type="dxa"/>
            <w:gridSpan w:val="4"/>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团队合作竞赛、获奖按比例分配总分值（二人6：4分配；三人5：3：2分配；四人4：2：2：2分配；超过四人的团队第一名计总分值的三分之一，其余排名均分剩余分值）。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407" w:type="dxa"/>
            <w:vMerge w:val="restart"/>
            <w:noWrap w:val="0"/>
            <w:vAlign w:val="center"/>
          </w:tcPr>
          <w:p>
            <w:pPr>
              <w:keepNext w:val="0"/>
              <w:keepLines w:val="0"/>
              <w:pageBreakBefore w:val="0"/>
              <w:kinsoku/>
              <w:wordWrap/>
              <w:overflowPunct/>
              <w:topLinePunct w:val="0"/>
              <w:autoSpaceDE/>
              <w:autoSpaceDN/>
              <w:bidi w:val="0"/>
              <w:spacing w:line="520" w:lineRule="exact"/>
              <w:ind w:firstLine="320" w:firstLine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省级</w:t>
            </w:r>
          </w:p>
        </w:tc>
        <w:tc>
          <w:tcPr>
            <w:tcW w:w="1500"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独立完成</w:t>
            </w:r>
          </w:p>
        </w:tc>
        <w:tc>
          <w:tcPr>
            <w:tcW w:w="1578"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w:t>
            </w:r>
          </w:p>
        </w:tc>
        <w:tc>
          <w:tcPr>
            <w:tcW w:w="1622"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w:t>
            </w:r>
          </w:p>
        </w:tc>
        <w:tc>
          <w:tcPr>
            <w:tcW w:w="1408"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w:t>
            </w:r>
          </w:p>
        </w:tc>
        <w:tc>
          <w:tcPr>
            <w:tcW w:w="2639" w:type="dxa"/>
            <w:noWrap w:val="0"/>
            <w:vAlign w:val="center"/>
          </w:tcPr>
          <w:p>
            <w:pPr>
              <w:keepNext w:val="0"/>
              <w:keepLines w:val="0"/>
              <w:pageBreakBefore w:val="0"/>
              <w:kinsoku/>
              <w:wordWrap/>
              <w:overflowPunct/>
              <w:topLinePunct w:val="0"/>
              <w:autoSpaceDE/>
              <w:autoSpaceDN/>
              <w:bidi w:val="0"/>
              <w:spacing w:line="520" w:lineRule="exact"/>
              <w:ind w:firstLine="960" w:firstLineChars="3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7" w:type="dxa"/>
            <w:vMerge w:val="continue"/>
            <w:noWrap w:val="0"/>
            <w:vAlign w:val="top"/>
          </w:tcPr>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p>
        </w:tc>
        <w:tc>
          <w:tcPr>
            <w:tcW w:w="1500" w:type="dxa"/>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团体完成</w:t>
            </w:r>
          </w:p>
        </w:tc>
        <w:tc>
          <w:tcPr>
            <w:tcW w:w="7247" w:type="dxa"/>
            <w:gridSpan w:val="4"/>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团队合作竞赛、获奖按比例分配总分值（二人6：4分配；三人5：3：2分配；四人4：2：2：2分配；超过四人的团队第一名计总分值的三分之一，其余排名均分剩余分值）。</w:t>
            </w:r>
          </w:p>
        </w:tc>
      </w:tr>
    </w:tbl>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4.科研成果单项综合能力认定标准如下（该项最高得分30分）：</w:t>
      </w:r>
    </w:p>
    <w:tbl>
      <w:tblPr>
        <w:tblStyle w:val="2"/>
        <w:tblW w:w="10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1588"/>
        <w:gridCol w:w="3470"/>
        <w:gridCol w:w="934"/>
        <w:gridCol w:w="2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697"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成果形式</w:t>
            </w:r>
          </w:p>
        </w:tc>
        <w:tc>
          <w:tcPr>
            <w:tcW w:w="5058" w:type="dxa"/>
            <w:gridSpan w:val="2"/>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级别</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加分</w:t>
            </w:r>
          </w:p>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分值</w:t>
            </w:r>
          </w:p>
        </w:tc>
        <w:tc>
          <w:tcPr>
            <w:tcW w:w="2621"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7" w:type="dxa"/>
            <w:vMerge w:val="restart"/>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论文/作品</w:t>
            </w:r>
          </w:p>
        </w:tc>
        <w:tc>
          <w:tcPr>
            <w:tcW w:w="1588"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权威核心</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学校认定的一类及以上期刊</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w:t>
            </w:r>
          </w:p>
        </w:tc>
        <w:tc>
          <w:tcPr>
            <w:tcW w:w="2621" w:type="dxa"/>
            <w:vMerge w:val="restart"/>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Calibri" w:eastAsia="仿宋_GB2312" w:cs="Times New Roman"/>
                <w:color w:val="auto"/>
                <w:spacing w:val="-6"/>
                <w:sz w:val="32"/>
                <w:szCs w:val="32"/>
              </w:rPr>
              <w:t>福州大学须为第一署名单位；导师第一作者、学生第二作者的等同第一作者分值；作品发表必须是独立完整版面，与他人拼版不记分值。团队合作分值按比例分配（二人7：3；三人 6：3：1；四人5：2：2：1；超过四人的团队第一名计总分值的二分之一，其余排名均分总分值的二分之一）。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88"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一般核心</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学校认定的核心期刊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不含一类及以上</w:t>
            </w:r>
            <w:r>
              <w:rPr>
                <w:rFonts w:hint="eastAsia" w:ascii="仿宋_GB2312" w:hAnsi="仿宋_GB2312" w:eastAsia="仿宋_GB2312" w:cs="仿宋_GB2312"/>
                <w:color w:val="auto"/>
                <w:sz w:val="32"/>
                <w:szCs w:val="32"/>
                <w:lang w:eastAsia="zh-CN"/>
              </w:rPr>
              <w:t>）</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4" w:hRule="atLeast"/>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88"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一般刊物</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具有CN刊号的一般学术刊物</w:t>
            </w:r>
            <w:r>
              <w:rPr>
                <w:rFonts w:hint="eastAsia" w:ascii="仿宋_GB2312" w:hAnsi="仿宋_GB2312" w:eastAsia="仿宋_GB2312" w:cs="仿宋_GB2312"/>
                <w:color w:val="auto"/>
                <w:sz w:val="32"/>
                <w:szCs w:val="32"/>
                <w:lang w:eastAsia="zh-CN"/>
              </w:rPr>
              <w:t>。</w:t>
            </w:r>
          </w:p>
        </w:tc>
        <w:tc>
          <w:tcPr>
            <w:tcW w:w="934"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697" w:type="dxa"/>
            <w:vMerge w:val="restart"/>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科研课题</w:t>
            </w:r>
          </w:p>
        </w:tc>
        <w:tc>
          <w:tcPr>
            <w:tcW w:w="1588" w:type="dxa"/>
            <w:noWrap w:val="0"/>
            <w:vAlign w:val="center"/>
          </w:tcPr>
          <w:p>
            <w:pPr>
              <w:keepNext w:val="0"/>
              <w:keepLines w:val="0"/>
              <w:pageBreakBefore w:val="0"/>
              <w:kinsoku/>
              <w:wordWrap/>
              <w:overflowPunct/>
              <w:topLinePunct w:val="0"/>
              <w:autoSpaceDE/>
              <w:autoSpaceDN/>
              <w:bidi w:val="0"/>
              <w:spacing w:line="520" w:lineRule="exact"/>
              <w:ind w:firstLine="320" w:firstLine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国家级</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国家级大学生创新创业训练计划项目、学校认定的其他国家级科研项目。</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w:t>
            </w:r>
          </w:p>
        </w:tc>
        <w:tc>
          <w:tcPr>
            <w:tcW w:w="2621" w:type="dxa"/>
            <w:vMerge w:val="restart"/>
            <w:noWrap w:val="0"/>
            <w:vAlign w:val="center"/>
          </w:tcPr>
          <w:p>
            <w:pPr>
              <w:keepNext w:val="0"/>
              <w:keepLines w:val="0"/>
              <w:pageBreakBefore w:val="0"/>
              <w:kinsoku/>
              <w:wordWrap/>
              <w:overflowPunct/>
              <w:topLinePunct w:val="0"/>
              <w:autoSpaceDE/>
              <w:autoSpaceDN/>
              <w:bidi w:val="0"/>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课题组负责人与课题组成员按比例分配（二人6：4；三人 5：3：2；四人4：2：2：2；超过四人的团队第一名计总分值的三分之一，其余排名均分剩余分值）。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88" w:type="dxa"/>
            <w:noWrap w:val="0"/>
            <w:vAlign w:val="center"/>
          </w:tcPr>
          <w:p>
            <w:pPr>
              <w:keepNext w:val="0"/>
              <w:keepLines w:val="0"/>
              <w:pageBreakBefore w:val="0"/>
              <w:kinsoku/>
              <w:wordWrap/>
              <w:overflowPunct/>
              <w:topLinePunct w:val="0"/>
              <w:autoSpaceDE/>
              <w:autoSpaceDN/>
              <w:bidi w:val="0"/>
              <w:spacing w:line="520" w:lineRule="exact"/>
              <w:ind w:firstLine="320" w:firstLine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省部级</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省级大学生创新创业训练计划项目、学校认定的其他省部级科研项目。</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6" w:hRule="atLeast"/>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88" w:type="dxa"/>
            <w:noWrap w:val="0"/>
            <w:vAlign w:val="center"/>
          </w:tcPr>
          <w:p>
            <w:pPr>
              <w:keepNext w:val="0"/>
              <w:keepLines w:val="0"/>
              <w:pageBreakBefore w:val="0"/>
              <w:kinsoku/>
              <w:wordWrap/>
              <w:overflowPunct/>
              <w:topLinePunct w:val="0"/>
              <w:autoSpaceDE/>
              <w:autoSpaceDN/>
              <w:bidi w:val="0"/>
              <w:spacing w:line="520" w:lineRule="exact"/>
              <w:ind w:left="320" w:hanging="320" w:hangingChars="1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市厅级</w:t>
            </w:r>
          </w:p>
          <w:p>
            <w:pPr>
              <w:keepNext w:val="0"/>
              <w:keepLines w:val="0"/>
              <w:pageBreakBefore w:val="0"/>
              <w:kinsoku/>
              <w:wordWrap/>
              <w:overflowPunct/>
              <w:topLinePunct w:val="0"/>
              <w:autoSpaceDE/>
              <w:autoSpaceDN/>
              <w:bidi w:val="0"/>
              <w:spacing w:line="520" w:lineRule="exact"/>
              <w:ind w:left="320" w:hanging="320" w:hangingChars="1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或</w:t>
            </w:r>
            <w:r>
              <w:rPr>
                <w:rFonts w:hint="eastAsia" w:ascii="仿宋_GB2312" w:hAnsi="仿宋_GB2312" w:eastAsia="仿宋_GB2312" w:cs="仿宋_GB2312"/>
                <w:color w:val="auto"/>
                <w:sz w:val="32"/>
                <w:szCs w:val="32"/>
              </w:rPr>
              <w:t>校级</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校级大学生创新创业训练计划项目、学校认定的其他市厅级和校级科研项目。</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697" w:type="dxa"/>
            <w:vMerge w:val="restart"/>
            <w:noWrap w:val="0"/>
            <w:vAlign w:val="center"/>
          </w:tcPr>
          <w:p>
            <w:pPr>
              <w:keepNext w:val="0"/>
              <w:keepLines w:val="0"/>
              <w:pageBreakBefore w:val="0"/>
              <w:kinsoku/>
              <w:wordWrap/>
              <w:overflowPunct/>
              <w:topLinePunct w:val="0"/>
              <w:autoSpaceDE/>
              <w:autoSpaceDN/>
              <w:bidi w:val="0"/>
              <w:spacing w:line="520" w:lineRule="exact"/>
              <w:ind w:firstLine="320" w:firstLine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专利</w:t>
            </w:r>
          </w:p>
        </w:tc>
        <w:tc>
          <w:tcPr>
            <w:tcW w:w="5058" w:type="dxa"/>
            <w:gridSpan w:val="2"/>
            <w:noWrap w:val="0"/>
            <w:vAlign w:val="center"/>
          </w:tcPr>
          <w:p>
            <w:pPr>
              <w:keepNext w:val="0"/>
              <w:keepLines w:val="0"/>
              <w:pageBreakBefore w:val="0"/>
              <w:kinsoku/>
              <w:wordWrap/>
              <w:overflowPunct/>
              <w:topLinePunct w:val="0"/>
              <w:autoSpaceDE/>
              <w:autoSpaceDN/>
              <w:bidi w:val="0"/>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国际发明专利、国家发明专利</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w:t>
            </w:r>
          </w:p>
        </w:tc>
        <w:tc>
          <w:tcPr>
            <w:tcW w:w="2621" w:type="dxa"/>
            <w:vMerge w:val="restart"/>
            <w:noWrap w:val="0"/>
            <w:vAlign w:val="center"/>
          </w:tcPr>
          <w:p>
            <w:pPr>
              <w:keepNext w:val="0"/>
              <w:keepLines w:val="0"/>
              <w:pageBreakBefore w:val="0"/>
              <w:kinsoku/>
              <w:wordWrap/>
              <w:overflowPunct/>
              <w:topLinePunct w:val="0"/>
              <w:autoSpaceDE/>
              <w:autoSpaceDN/>
              <w:bidi w:val="0"/>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专利权人或发明人为福州大学；若为独立发明人计总分值，导师第一发明人、学生第二发明人的等同第一发明人；团队合作发明按比例分配总分值（二人7：3分配；三人6：3：1分配；四人5：2：2：1分配；超过四人的团队</w:t>
            </w:r>
            <w:bookmarkStart w:id="0" w:name="_Hlk104283479"/>
            <w:r>
              <w:rPr>
                <w:rFonts w:hint="eastAsia" w:ascii="仿宋_GB2312" w:hAnsi="仿宋_GB2312" w:eastAsia="仿宋_GB2312" w:cs="仿宋_GB2312"/>
                <w:color w:val="auto"/>
                <w:sz w:val="32"/>
                <w:szCs w:val="32"/>
              </w:rPr>
              <w:t>第一名计总分值的二分之一，其余排名均分总分值</w:t>
            </w:r>
            <w:bookmarkEnd w:id="0"/>
            <w:r>
              <w:rPr>
                <w:rFonts w:hint="eastAsia" w:ascii="仿宋_GB2312" w:hAnsi="仿宋_GB2312" w:eastAsia="仿宋_GB2312" w:cs="仿宋_GB2312"/>
                <w:color w:val="auto"/>
                <w:sz w:val="32"/>
                <w:szCs w:val="32"/>
              </w:rPr>
              <w:t>的二分之一）。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5058" w:type="dxa"/>
            <w:gridSpan w:val="2"/>
            <w:noWrap w:val="0"/>
            <w:vAlign w:val="center"/>
          </w:tcPr>
          <w:p>
            <w:pPr>
              <w:keepNext w:val="0"/>
              <w:keepLines w:val="0"/>
              <w:pageBreakBefore w:val="0"/>
              <w:kinsoku/>
              <w:wordWrap/>
              <w:overflowPunct/>
              <w:topLinePunct w:val="0"/>
              <w:autoSpaceDE/>
              <w:autoSpaceDN/>
              <w:bidi w:val="0"/>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国家实用新型专利、软件著作权</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5058" w:type="dxa"/>
            <w:gridSpan w:val="2"/>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国家外观专利</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bl>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注：</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1.论文/作品、学科竞赛、科研课题的等级以福州大学最新公布的认定标准为准；</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b/>
          <w:bCs/>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2.同一成果按</w:t>
      </w:r>
      <w:r>
        <w:rPr>
          <w:rFonts w:hint="eastAsia" w:ascii="仿宋_GB2312" w:hAnsi="仿宋_GB2312" w:eastAsia="仿宋_GB2312" w:cs="仿宋_GB2312"/>
          <w:b/>
          <w:bCs/>
          <w:color w:val="auto"/>
          <w:kern w:val="0"/>
          <w:sz w:val="32"/>
          <w:szCs w:val="32"/>
          <w:shd w:val="clear" w:color="auto" w:fill="FFFFFF"/>
          <w:lang w:val="en-US" w:eastAsia="zh-CN"/>
        </w:rPr>
        <w:t>就高不重复原则计分</w:t>
      </w:r>
      <w:r>
        <w:rPr>
          <w:rFonts w:hint="eastAsia" w:ascii="仿宋_GB2312" w:hAnsi="仿宋_GB2312" w:eastAsia="仿宋_GB2312" w:cs="仿宋_GB2312"/>
          <w:b/>
          <w:bCs/>
          <w:color w:val="auto"/>
          <w:kern w:val="0"/>
          <w:sz w:val="32"/>
          <w:szCs w:val="32"/>
          <w:shd w:val="clear" w:color="auto" w:fill="FFFFFF"/>
        </w:rPr>
        <w:t>；</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3.非常规名称类型的奖项、成果、课题及有争议的问题需报学院推免遴选工作领导小组，以遴选工作领导小组决议为准；</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default"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lang w:val="en-US" w:eastAsia="zh-CN"/>
        </w:rPr>
        <w:t>4</w:t>
      </w:r>
      <w:r>
        <w:rPr>
          <w:rFonts w:hint="eastAsia" w:ascii="仿宋_GB2312" w:hAnsi="仿宋_GB2312" w:eastAsia="仿宋_GB2312" w:cs="仿宋_GB2312"/>
          <w:color w:val="auto"/>
          <w:kern w:val="0"/>
          <w:sz w:val="32"/>
          <w:szCs w:val="32"/>
          <w:shd w:val="clear" w:color="auto" w:fill="FFFFFF"/>
        </w:rPr>
        <w:t>.申报人参加的学科竞赛、获奖、科研课题、论文作品需提供证书或批文、期刊等官方佐证材料</w:t>
      </w:r>
      <w:r>
        <w:rPr>
          <w:rFonts w:hint="eastAsia" w:ascii="仿宋_GB2312" w:hAnsi="仿宋_GB2312" w:eastAsia="仿宋_GB2312" w:cs="仿宋_GB2312"/>
          <w:color w:val="auto"/>
          <w:kern w:val="0"/>
          <w:sz w:val="32"/>
          <w:szCs w:val="32"/>
          <w:shd w:val="clear" w:color="auto" w:fill="FFFFFF"/>
          <w:lang w:eastAsia="zh-CN"/>
        </w:rPr>
        <w:t>（</w:t>
      </w:r>
      <w:r>
        <w:rPr>
          <w:rFonts w:hint="eastAsia" w:ascii="仿宋_GB2312" w:hAnsi="仿宋_GB2312" w:eastAsia="仿宋_GB2312" w:cs="仿宋_GB2312"/>
          <w:color w:val="auto"/>
          <w:kern w:val="0"/>
          <w:sz w:val="32"/>
          <w:szCs w:val="32"/>
          <w:shd w:val="clear" w:color="auto" w:fill="FFFFFF"/>
          <w:lang w:val="en-US" w:eastAsia="zh-CN"/>
        </w:rPr>
        <w:t>外文版本需提供中文翻译版本</w:t>
      </w:r>
      <w:r>
        <w:rPr>
          <w:rFonts w:hint="eastAsia" w:ascii="仿宋_GB2312" w:hAnsi="仿宋_GB2312" w:eastAsia="仿宋_GB2312" w:cs="仿宋_GB2312"/>
          <w:color w:val="auto"/>
          <w:kern w:val="0"/>
          <w:sz w:val="32"/>
          <w:szCs w:val="32"/>
          <w:shd w:val="clear" w:color="auto" w:fill="FFFFFF"/>
          <w:lang w:eastAsia="zh-CN"/>
        </w:rPr>
        <w:t>）</w:t>
      </w:r>
      <w:r>
        <w:rPr>
          <w:rFonts w:hint="eastAsia" w:ascii="仿宋_GB2312" w:hAnsi="仿宋_GB2312" w:eastAsia="仿宋_GB2312" w:cs="仿宋_GB2312"/>
          <w:color w:val="auto"/>
          <w:kern w:val="0"/>
          <w:sz w:val="32"/>
          <w:szCs w:val="32"/>
          <w:shd w:val="clear" w:color="auto" w:fill="FFFFFF"/>
        </w:rPr>
        <w:t>，并注明是单独完成还是</w:t>
      </w:r>
      <w:bookmarkStart w:id="1" w:name="_Hlk104283305"/>
      <w:r>
        <w:rPr>
          <w:rFonts w:hint="eastAsia" w:ascii="仿宋_GB2312" w:hAnsi="仿宋_GB2312" w:eastAsia="仿宋_GB2312" w:cs="仿宋_GB2312"/>
          <w:color w:val="auto"/>
          <w:kern w:val="0"/>
          <w:sz w:val="32"/>
          <w:szCs w:val="32"/>
          <w:shd w:val="clear" w:color="auto" w:fill="FFFFFF"/>
        </w:rPr>
        <w:t>团队合作完成</w:t>
      </w:r>
      <w:bookmarkStart w:id="2" w:name="_Hlk104283102"/>
      <w:r>
        <w:rPr>
          <w:rFonts w:hint="eastAsia" w:ascii="仿宋_GB2312" w:hAnsi="仿宋_GB2312" w:eastAsia="仿宋_GB2312" w:cs="仿宋_GB2312"/>
          <w:color w:val="auto"/>
          <w:kern w:val="0"/>
          <w:sz w:val="32"/>
          <w:szCs w:val="32"/>
          <w:shd w:val="clear" w:color="auto" w:fill="FFFFFF"/>
        </w:rPr>
        <w:t>，若是团队</w:t>
      </w:r>
      <w:bookmarkEnd w:id="2"/>
      <w:r>
        <w:rPr>
          <w:rFonts w:hint="eastAsia" w:ascii="仿宋_GB2312" w:hAnsi="仿宋_GB2312" w:eastAsia="仿宋_GB2312" w:cs="仿宋_GB2312"/>
          <w:color w:val="auto"/>
          <w:kern w:val="0"/>
          <w:sz w:val="32"/>
          <w:szCs w:val="32"/>
          <w:shd w:val="clear" w:color="auto" w:fill="FFFFFF"/>
        </w:rPr>
        <w:t>合作完成</w:t>
      </w:r>
      <w:bookmarkEnd w:id="1"/>
      <w:r>
        <w:rPr>
          <w:rFonts w:hint="eastAsia" w:ascii="仿宋_GB2312" w:hAnsi="仿宋_GB2312" w:eastAsia="仿宋_GB2312" w:cs="仿宋_GB2312"/>
          <w:color w:val="auto"/>
          <w:kern w:val="0"/>
          <w:sz w:val="32"/>
          <w:szCs w:val="32"/>
          <w:shd w:val="clear" w:color="auto" w:fill="FFFFFF"/>
        </w:rPr>
        <w:t>的，必须如实准确注明团队合作排序（若团队成员均获得独立署名证书，无法明确排序的，按人数均分总分值），若申报时未</w:t>
      </w:r>
      <w:bookmarkStart w:id="3" w:name="_Hlk104283602"/>
      <w:r>
        <w:rPr>
          <w:rFonts w:hint="eastAsia" w:ascii="仿宋_GB2312" w:hAnsi="仿宋_GB2312" w:eastAsia="仿宋_GB2312" w:cs="仿宋_GB2312"/>
          <w:color w:val="auto"/>
          <w:kern w:val="0"/>
          <w:sz w:val="32"/>
          <w:szCs w:val="32"/>
          <w:shd w:val="clear" w:color="auto" w:fill="FFFFFF"/>
        </w:rPr>
        <w:t>注明</w:t>
      </w:r>
      <w:bookmarkEnd w:id="3"/>
      <w:r>
        <w:rPr>
          <w:rFonts w:hint="eastAsia" w:ascii="仿宋_GB2312" w:hAnsi="仿宋_GB2312" w:eastAsia="仿宋_GB2312" w:cs="仿宋_GB2312"/>
          <w:color w:val="auto"/>
          <w:kern w:val="0"/>
          <w:sz w:val="32"/>
          <w:szCs w:val="32"/>
          <w:shd w:val="clear" w:color="auto" w:fill="FFFFFF"/>
        </w:rPr>
        <w:t>是团队合作或准确注明团队排序，经查实后将取消该项加分。所有成果以最终发表版本和所获得证书的排名为准</w:t>
      </w:r>
      <w:r>
        <w:rPr>
          <w:rFonts w:hint="eastAsia" w:ascii="仿宋_GB2312" w:hAnsi="仿宋_GB2312" w:eastAsia="仿宋_GB2312" w:cs="仿宋_GB2312"/>
          <w:color w:val="auto"/>
          <w:kern w:val="0"/>
          <w:sz w:val="32"/>
          <w:szCs w:val="32"/>
          <w:shd w:val="clear" w:color="auto" w:fill="FFFFFF"/>
          <w:lang w:eastAsia="zh-CN"/>
        </w:rPr>
        <w:t>，</w:t>
      </w:r>
      <w:r>
        <w:rPr>
          <w:rFonts w:hint="eastAsia" w:ascii="仿宋_GB2312" w:hAnsi="仿宋_GB2312" w:eastAsia="仿宋_GB2312" w:cs="仿宋_GB2312"/>
          <w:color w:val="auto"/>
          <w:kern w:val="0"/>
          <w:sz w:val="32"/>
          <w:szCs w:val="32"/>
          <w:shd w:val="clear" w:color="auto" w:fill="FFFFFF"/>
          <w:lang w:val="en-US" w:eastAsia="zh-CN"/>
        </w:rPr>
        <w:t>学科竞赛类获奖须同时提供获奖证书、参赛作品文件，确因特殊原因不能提供获奖证书的，以比赛组织官方公布的获奖名单作为证明材料，由</w:t>
      </w:r>
      <w:r>
        <w:rPr>
          <w:rFonts w:hint="eastAsia" w:ascii="仿宋_GB2312" w:hAnsi="仿宋_GB2312" w:eastAsia="仿宋_GB2312" w:cs="仿宋_GB2312"/>
          <w:color w:val="auto"/>
          <w:kern w:val="0"/>
          <w:sz w:val="32"/>
          <w:szCs w:val="32"/>
          <w:shd w:val="clear" w:color="auto" w:fill="FFFFFF"/>
        </w:rPr>
        <w:t>学院推免遴选工作领导小组</w:t>
      </w:r>
      <w:r>
        <w:rPr>
          <w:rFonts w:hint="eastAsia" w:ascii="仿宋_GB2312" w:hAnsi="仿宋_GB2312" w:eastAsia="仿宋_GB2312" w:cs="仿宋_GB2312"/>
          <w:color w:val="auto"/>
          <w:kern w:val="0"/>
          <w:sz w:val="32"/>
          <w:szCs w:val="32"/>
          <w:shd w:val="clear" w:color="auto" w:fill="FFFFFF"/>
          <w:lang w:val="en-US" w:eastAsia="zh-CN"/>
        </w:rPr>
        <w:t>决定是否采纳</w:t>
      </w:r>
      <w:r>
        <w:rPr>
          <w:rFonts w:hint="eastAsia" w:ascii="仿宋_GB2312" w:hAnsi="仿宋_GB2312" w:eastAsia="仿宋_GB2312" w:cs="仿宋_GB2312"/>
          <w:color w:val="auto"/>
          <w:kern w:val="0"/>
          <w:sz w:val="32"/>
          <w:szCs w:val="32"/>
          <w:shd w:val="clear" w:color="auto" w:fill="FFFFFF"/>
        </w:rPr>
        <w:t>；</w:t>
      </w:r>
      <w:r>
        <w:rPr>
          <w:rFonts w:hint="eastAsia" w:ascii="仿宋_GB2312" w:hAnsi="仿宋_GB2312" w:eastAsia="仿宋_GB2312" w:cs="仿宋_GB2312"/>
          <w:color w:val="auto"/>
          <w:kern w:val="0"/>
          <w:sz w:val="32"/>
          <w:szCs w:val="32"/>
          <w:shd w:val="clear" w:color="auto" w:fill="FFFFFF"/>
          <w:lang w:val="en-US" w:eastAsia="zh-CN"/>
        </w:rPr>
        <w:t>未正式出版的论文作品不予加分；课题项目以立项文件为准，已经终止的课题不予加分。</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lang w:val="en-US" w:eastAsia="zh-CN"/>
        </w:rPr>
        <w:t>5</w:t>
      </w:r>
      <w:r>
        <w:rPr>
          <w:rFonts w:hint="eastAsia" w:ascii="仿宋_GB2312" w:hAnsi="仿宋_GB2312" w:eastAsia="仿宋_GB2312" w:cs="仿宋_GB2312"/>
          <w:color w:val="auto"/>
          <w:kern w:val="0"/>
          <w:sz w:val="32"/>
          <w:szCs w:val="32"/>
          <w:shd w:val="clear" w:color="auto" w:fill="FFFFFF"/>
        </w:rPr>
        <w:t>.所有材料必须诚信提交，若虚假申报，经查实的取消该项加分；</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lang w:val="en-US" w:eastAsia="zh-CN"/>
        </w:rPr>
        <w:t>6</w:t>
      </w:r>
      <w:r>
        <w:rPr>
          <w:rFonts w:hint="eastAsia" w:ascii="仿宋_GB2312" w:hAnsi="仿宋_GB2312" w:eastAsia="仿宋_GB2312" w:cs="仿宋_GB2312"/>
          <w:color w:val="auto"/>
          <w:kern w:val="0"/>
          <w:sz w:val="32"/>
          <w:szCs w:val="32"/>
          <w:shd w:val="clear" w:color="auto" w:fill="FFFFFF"/>
        </w:rPr>
        <w:t>.所有分值四舍五入保留</w:t>
      </w:r>
      <w:r>
        <w:rPr>
          <w:rFonts w:hint="eastAsia" w:ascii="仿宋_GB2312" w:hAnsi="仿宋_GB2312" w:eastAsia="仿宋_GB2312" w:cs="仿宋_GB2312"/>
          <w:color w:val="auto"/>
          <w:kern w:val="0"/>
          <w:sz w:val="32"/>
          <w:szCs w:val="32"/>
          <w:shd w:val="clear" w:color="auto" w:fill="FFFFFF"/>
          <w:lang w:val="en-US" w:eastAsia="zh-CN"/>
        </w:rPr>
        <w:t>4</w:t>
      </w:r>
      <w:r>
        <w:rPr>
          <w:rFonts w:hint="eastAsia" w:ascii="仿宋_GB2312" w:hAnsi="仿宋_GB2312" w:eastAsia="仿宋_GB2312" w:cs="仿宋_GB2312"/>
          <w:color w:val="auto"/>
          <w:kern w:val="0"/>
          <w:sz w:val="32"/>
          <w:szCs w:val="32"/>
          <w:shd w:val="clear" w:color="auto" w:fill="FFFFFF"/>
        </w:rPr>
        <w:t>位小数；</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lang w:val="en-US" w:eastAsia="zh-CN"/>
        </w:rPr>
        <w:t>7</w:t>
      </w:r>
      <w:r>
        <w:rPr>
          <w:rFonts w:hint="eastAsia" w:ascii="仿宋_GB2312" w:hAnsi="仿宋_GB2312" w:eastAsia="仿宋_GB2312" w:cs="仿宋_GB2312"/>
          <w:color w:val="auto"/>
          <w:kern w:val="0"/>
          <w:sz w:val="32"/>
          <w:szCs w:val="32"/>
          <w:shd w:val="clear" w:color="auto" w:fill="FFFFFF"/>
        </w:rPr>
        <w:t>.本文件所有解释权归福州大学厦门工艺美术学院推荐优秀应届本科毕业生免试攻读研究生遴选工作领导小组。</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2YWY0YTY0ZjUwZmNmOTBkZDJjZmFjNWZjNmE4ZjgifQ=="/>
  </w:docVars>
  <w:rsids>
    <w:rsidRoot w:val="55577012"/>
    <w:rsid w:val="55577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2023-09-17T01:21:00Z</dcterms:created>
  <dc:creator>老六</dc:creator>
  <cp:lastModifiedBy>老六</cp:lastModifiedBy>
  <dcterms:modified xsi:type="dcterms:W3CDTF">2023-09-17T01:23:16Z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B41E7A904CCB426880725BF64574B809_11</vt:lpwstr>
  </property>
</Properties>
</file>