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7F1B806">
      <w:pPr>
        <w:spacing w:line="360" w:lineRule="auto"/>
        <w:jc w:val="center"/>
        <w:rPr>
          <w:rFonts w:hint="default" w:ascii="宋体"/>
          <w:b/>
          <w:bCs/>
          <w:color w:val="000000"/>
          <w:sz w:val="30"/>
        </w:rPr>
      </w:pPr>
      <w:r>
        <w:rPr>
          <w:rFonts w:ascii="宋体" w:hAnsi="宋体"/>
          <w:b/>
          <w:bCs/>
          <w:color w:val="000000"/>
          <w:sz w:val="30"/>
        </w:rPr>
        <w:t>厦门大学化学学科拔尖计划2.0实施方案（试行）</w:t>
      </w:r>
    </w:p>
    <w:p w14:paraId="3F2DB252">
      <w:pPr>
        <w:rPr>
          <w:rFonts w:hint="default"/>
        </w:rPr>
      </w:pPr>
    </w:p>
    <w:p w14:paraId="571EBC18">
      <w:pPr>
        <w:adjustRightInd w:val="0"/>
        <w:snapToGrid w:val="0"/>
        <w:spacing w:line="360" w:lineRule="auto"/>
        <w:ind w:firstLine="482" w:firstLineChars="200"/>
        <w:rPr>
          <w:rFonts w:hint="default" w:ascii="宋体" w:eastAsia="Times New Roman"/>
          <w:b/>
          <w:color w:val="000000"/>
          <w:sz w:val="24"/>
        </w:rPr>
      </w:pPr>
      <w:r>
        <w:rPr>
          <w:rFonts w:ascii="宋体" w:hAnsi="宋体"/>
          <w:b/>
          <w:color w:val="000000"/>
          <w:sz w:val="24"/>
        </w:rPr>
        <w:t>一、项目意义</w:t>
      </w:r>
    </w:p>
    <w:p w14:paraId="5122C96C">
      <w:pPr>
        <w:pStyle w:val="6"/>
        <w:shd w:val="clear" w:color="auto" w:fill="FFFFFF"/>
        <w:adjustRightInd w:val="0"/>
        <w:snapToGrid w:val="0"/>
        <w:spacing w:line="360" w:lineRule="auto"/>
        <w:ind w:firstLine="480" w:firstLineChars="200"/>
        <w:jc w:val="both"/>
        <w:rPr>
          <w:rFonts w:hint="default"/>
          <w:color w:val="000000"/>
        </w:rPr>
      </w:pPr>
      <w:r>
        <w:rPr>
          <w:color w:val="000000"/>
        </w:rPr>
        <w:t>“化学拔尖计划2.0”旨在贯彻实施人才强国战略，立足遵循拔尖人才成长规律，发挥我校化学学科的优势，充分利用国内外优质教育资源，以一流的资源配置实现优质的个性化培养，着力使受支持的学生成长为热爱祖国、崇尚科学、具有高度社会责任感和勇于创新的化学及相关学科领军人物。以“化学拔尖计划2.0”的实施，大力推进研究型大学拔尖创新人才生源选拔、培养方式及其管理机制的全方位改革与创新，以促进我国高层次人才培养质量的全面提高。</w:t>
      </w:r>
    </w:p>
    <w:p w14:paraId="3E9612DF">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napToGrid w:val="0"/>
        <w:spacing w:line="360" w:lineRule="auto"/>
        <w:ind w:firstLine="482" w:firstLineChars="200"/>
        <w:rPr>
          <w:rFonts w:hint="default" w:ascii="宋体" w:hAnsi="宋体"/>
          <w:b/>
          <w:color w:val="000000"/>
          <w:sz w:val="24"/>
        </w:rPr>
      </w:pPr>
      <w:r>
        <w:rPr>
          <w:rFonts w:ascii="宋体" w:hAnsi="宋体"/>
          <w:b/>
          <w:color w:val="000000"/>
          <w:sz w:val="24"/>
        </w:rPr>
        <w:t>二、生源遴选</w:t>
      </w:r>
    </w:p>
    <w:p w14:paraId="1E5EB84D">
      <w:pPr>
        <w:widowControl/>
        <w:shd w:val="clear" w:color="auto" w:fill="FFFFFF"/>
        <w:tabs>
          <w:tab w:val="left" w:pos="42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napToGrid w:val="0"/>
        <w:spacing w:line="360" w:lineRule="auto"/>
        <w:ind w:firstLine="480" w:firstLineChars="200"/>
        <w:rPr>
          <w:rFonts w:hint="default" w:ascii="宋体" w:hAnsi="宋体"/>
          <w:color w:val="000000"/>
          <w:sz w:val="24"/>
        </w:rPr>
      </w:pPr>
      <w:r>
        <w:rPr>
          <w:rFonts w:ascii="宋体" w:hAnsi="宋体"/>
          <w:color w:val="000000"/>
          <w:sz w:val="24"/>
        </w:rPr>
        <w:t>“化学拔尖计划2.0”以“开放+个性培养+</w:t>
      </w:r>
      <w:r>
        <w:rPr>
          <w:rFonts w:ascii="宋体" w:hAnsi="宋体"/>
          <w:color w:val="000000"/>
          <w:sz w:val="24"/>
          <w:lang w:val="zh-CN"/>
        </w:rPr>
        <w:t>荣誉称号</w:t>
      </w:r>
      <w:r>
        <w:rPr>
          <w:rFonts w:ascii="宋体" w:hAnsi="宋体"/>
          <w:color w:val="000000"/>
          <w:sz w:val="24"/>
        </w:rPr>
        <w:t>”为特色，全方位培养学生，满足培养要求的所有化学类专业本科生均可在</w:t>
      </w:r>
      <w:r>
        <w:rPr>
          <w:rFonts w:ascii="宋体" w:hAnsi="宋体"/>
          <w:color w:val="000000"/>
          <w:sz w:val="24"/>
          <w:lang w:val="zh-CN"/>
        </w:rPr>
        <w:t>毕业前自主申请，</w:t>
      </w:r>
      <w:r>
        <w:rPr>
          <w:rFonts w:ascii="宋体" w:hAnsi="宋体"/>
          <w:color w:val="000000"/>
          <w:sz w:val="24"/>
        </w:rPr>
        <w:t>经</w:t>
      </w:r>
      <w:r>
        <w:rPr>
          <w:rFonts w:ascii="宋体" w:hAnsi="宋体"/>
          <w:color w:val="000000"/>
          <w:sz w:val="24"/>
          <w:lang w:val="zh-CN"/>
        </w:rPr>
        <w:t>学院组织</w:t>
      </w:r>
      <w:r>
        <w:rPr>
          <w:rFonts w:ascii="宋体" w:hAnsi="宋体"/>
          <w:color w:val="000000"/>
          <w:sz w:val="24"/>
        </w:rPr>
        <w:t>的</w:t>
      </w:r>
      <w:r>
        <w:rPr>
          <w:rFonts w:ascii="宋体" w:hAnsi="宋体"/>
          <w:color w:val="000000"/>
          <w:sz w:val="24"/>
          <w:lang w:val="zh-CN"/>
        </w:rPr>
        <w:t>评审专家组考核，根据考核结果授予国家级、校级拔尖计划荣誉学员称号</w:t>
      </w:r>
      <w:r>
        <w:rPr>
          <w:rFonts w:ascii="宋体" w:hAnsi="宋体"/>
          <w:color w:val="000000"/>
          <w:sz w:val="24"/>
        </w:rPr>
        <w:t>。</w:t>
      </w:r>
    </w:p>
    <w:p w14:paraId="32D119CC">
      <w:pPr>
        <w:widowControl/>
        <w:shd w:val="clear" w:color="auto" w:fill="FFFFFF"/>
        <w:tabs>
          <w:tab w:val="left" w:pos="42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napToGrid w:val="0"/>
        <w:spacing w:line="360" w:lineRule="auto"/>
        <w:ind w:firstLine="480" w:firstLineChars="200"/>
        <w:rPr>
          <w:rFonts w:hint="default" w:ascii="宋体" w:hAnsi="宋体"/>
          <w:b/>
          <w:color w:val="000000"/>
          <w:sz w:val="24"/>
        </w:rPr>
      </w:pPr>
      <w:r>
        <w:rPr>
          <w:rFonts w:ascii="宋体" w:hAnsi="宋体"/>
          <w:color w:val="000000"/>
          <w:sz w:val="24"/>
        </w:rPr>
        <w:t>除原本化学化工学院化学类本科生外，学院每学年面向全校非化学类专业进行2次拔尖计划生源遴选。第一次是秋季学期开学初面</w:t>
      </w:r>
      <w:r>
        <w:rPr>
          <w:rFonts w:ascii="宋体" w:hAnsi="宋体"/>
          <w:color w:val="000000" w:themeColor="text1"/>
          <w:sz w:val="24"/>
          <w14:textFill>
            <w14:solidFill>
              <w14:schemeClr w14:val="tx1"/>
            </w14:solidFill>
          </w14:textFill>
        </w:rPr>
        <w:t>向</w:t>
      </w:r>
      <w:r>
        <w:rPr>
          <w:rFonts w:ascii="宋体" w:hAnsi="宋体" w:cs="宋体"/>
          <w:color w:val="333333"/>
          <w:kern w:val="0"/>
          <w:sz w:val="24"/>
          <w:szCs w:val="24"/>
        </w:rPr>
        <w:t>一年级本科新生</w:t>
      </w:r>
      <w:r>
        <w:rPr>
          <w:rFonts w:ascii="宋体" w:hAnsi="宋体"/>
          <w:color w:val="000000"/>
          <w:sz w:val="24"/>
        </w:rPr>
        <w:t>进行遴选</w:t>
      </w:r>
      <w:r>
        <w:rPr>
          <w:rFonts w:ascii="宋体" w:hAnsi="宋体" w:cs="宋体"/>
          <w:color w:val="000000" w:themeColor="text1"/>
          <w:kern w:val="0"/>
          <w:sz w:val="24"/>
          <w:szCs w:val="24"/>
          <w14:textFill>
            <w14:solidFill>
              <w14:schemeClr w14:val="tx1"/>
            </w14:solidFill>
          </w14:textFill>
        </w:rPr>
        <w:t>(招生时约定不允许转专业的除外)</w:t>
      </w:r>
      <w:r>
        <w:rPr>
          <w:rFonts w:ascii="宋体" w:hAnsi="宋体"/>
          <w:color w:val="000000"/>
          <w:sz w:val="24"/>
        </w:rPr>
        <w:t>，以申请与考核结合的方式进行，遴选名额视当年具体情况而定。第二次是春季学期通过转专业考核进入化学类专业的学生也纳入拔尖计划培养体系。</w:t>
      </w:r>
    </w:p>
    <w:p w14:paraId="1AD766F3">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napToGrid w:val="0"/>
        <w:spacing w:line="360" w:lineRule="auto"/>
        <w:ind w:firstLine="482" w:firstLineChars="200"/>
        <w:rPr>
          <w:rFonts w:hint="default" w:ascii="宋体" w:eastAsia="Times New Roman"/>
          <w:b/>
          <w:color w:val="000000"/>
          <w:sz w:val="24"/>
        </w:rPr>
      </w:pPr>
      <w:r>
        <w:rPr>
          <w:rFonts w:ascii="宋体" w:hAnsi="宋体"/>
          <w:b/>
          <w:color w:val="000000"/>
          <w:sz w:val="24"/>
        </w:rPr>
        <w:t>三、培养方式</w:t>
      </w:r>
    </w:p>
    <w:p w14:paraId="549548D3">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napToGrid w:val="0"/>
        <w:spacing w:line="360" w:lineRule="auto"/>
        <w:ind w:firstLine="482" w:firstLineChars="200"/>
        <w:jc w:val="left"/>
        <w:rPr>
          <w:rFonts w:hint="default" w:ascii="宋体"/>
          <w:b/>
          <w:bCs/>
          <w:color w:val="000000"/>
          <w:sz w:val="24"/>
        </w:rPr>
      </w:pPr>
      <w:r>
        <w:rPr>
          <w:rFonts w:ascii="宋体" w:hAnsi="宋体"/>
          <w:b/>
          <w:bCs/>
          <w:color w:val="000000"/>
          <w:sz w:val="24"/>
        </w:rPr>
        <w:t>1．配备学术导师</w:t>
      </w:r>
    </w:p>
    <w:p w14:paraId="7E17AA9A">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napToGrid w:val="0"/>
        <w:spacing w:line="360" w:lineRule="auto"/>
        <w:ind w:firstLine="480" w:firstLineChars="200"/>
        <w:rPr>
          <w:rFonts w:hint="default" w:ascii="宋体" w:hAnsi="宋体"/>
          <w:color w:val="000000"/>
          <w:sz w:val="24"/>
        </w:rPr>
      </w:pPr>
      <w:r>
        <w:rPr>
          <w:rFonts w:ascii="宋体" w:hAnsi="宋体"/>
          <w:color w:val="000000"/>
          <w:sz w:val="24"/>
        </w:rPr>
        <w:t>全员配备育人学术导师。学生需至少与2位导师进行交流，并参加不少于2个课题组的活动。要求学员在交流与课题组活动中加深对学科、对拔尖计划、对自己的研究兴趣与人生目标的认识。教师为学员交流与参加课题组活动提供方便，并给予指导。导师的选择以</w:t>
      </w:r>
      <w:r>
        <w:rPr>
          <w:rFonts w:ascii="宋体" w:hAnsi="宋体" w:cs="宋体"/>
          <w:color w:val="000000"/>
          <w:sz w:val="24"/>
          <w:szCs w:val="24"/>
        </w:rPr>
        <w:t>双向选择为原则</w:t>
      </w:r>
      <w:r>
        <w:rPr>
          <w:rFonts w:ascii="宋体" w:hAnsi="宋体"/>
          <w:color w:val="000000"/>
          <w:sz w:val="24"/>
        </w:rPr>
        <w:t>。</w:t>
      </w:r>
    </w:p>
    <w:p w14:paraId="6CF8E1FC">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napToGrid w:val="0"/>
        <w:spacing w:line="360" w:lineRule="auto"/>
        <w:ind w:firstLine="480" w:firstLineChars="200"/>
        <w:jc w:val="left"/>
        <w:rPr>
          <w:rFonts w:hint="default" w:ascii="宋体" w:hAnsi="宋体"/>
          <w:color w:val="000000"/>
          <w:sz w:val="24"/>
        </w:rPr>
      </w:pPr>
      <w:bookmarkStart w:id="0" w:name="OLE_LINK1"/>
      <w:r>
        <w:rPr>
          <w:rFonts w:ascii="宋体" w:hAnsi="宋体"/>
          <w:color w:val="000000"/>
          <w:sz w:val="24"/>
        </w:rPr>
        <w:t>导师由院士、长江学者、杰出青年基金获得者、全国教学名师奖获得者、闽江学者等一流专家学者担任。</w:t>
      </w:r>
      <w:bookmarkEnd w:id="0"/>
      <w:r>
        <w:rPr>
          <w:rFonts w:ascii="宋体" w:hAnsi="宋体"/>
          <w:color w:val="000000"/>
          <w:sz w:val="24"/>
        </w:rPr>
        <w:t>导师的主要职责有：在思想上、学业上、生活上关心学生并给予指导，为拔尖学生成长提供国内外学术资源，培养学生基本学术素养。</w:t>
      </w:r>
    </w:p>
    <w:p w14:paraId="23026D1F">
      <w:pPr>
        <w:widowControl/>
        <w:numPr>
          <w:ilvl w:val="0"/>
          <w:numId w:val="1"/>
        </w:num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napToGrid w:val="0"/>
        <w:spacing w:line="360" w:lineRule="auto"/>
        <w:ind w:firstLine="482" w:firstLineChars="200"/>
        <w:jc w:val="left"/>
        <w:rPr>
          <w:rFonts w:hint="default" w:ascii="宋体" w:hAnsi="宋体"/>
          <w:b/>
          <w:bCs/>
          <w:color w:val="000000"/>
          <w:sz w:val="24"/>
        </w:rPr>
      </w:pPr>
      <w:r>
        <w:rPr>
          <w:rFonts w:ascii="宋体" w:hAnsi="宋体"/>
          <w:b/>
          <w:bCs/>
          <w:color w:val="000000"/>
          <w:sz w:val="24"/>
        </w:rPr>
        <w:t>个性化培养方案</w:t>
      </w:r>
    </w:p>
    <w:p w14:paraId="2F20F962">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napToGrid w:val="0"/>
        <w:spacing w:line="360" w:lineRule="auto"/>
        <w:ind w:firstLine="480" w:firstLineChars="200"/>
        <w:rPr>
          <w:rFonts w:hint="default" w:ascii="宋体"/>
          <w:color w:val="000000"/>
          <w:sz w:val="24"/>
          <w:szCs w:val="24"/>
        </w:rPr>
      </w:pPr>
      <w:r>
        <w:rPr>
          <w:rFonts w:ascii="宋体" w:hAnsi="宋体" w:cs="宋体"/>
          <w:color w:val="000000"/>
          <w:sz w:val="24"/>
          <w:szCs w:val="24"/>
        </w:rPr>
        <w:t>实行个性化培养方案。个性化培养方案应体现共性与个性，由学生在导师的指导下，根据培养发展目标，制定包含满足化学学科核心课程、自主跨学科、跨年级、跨层次选修课程，科学研究，国外名校访学、国内外学术活动等的培养方案。</w:t>
      </w:r>
    </w:p>
    <w:p w14:paraId="1F0BE425">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napToGrid w:val="0"/>
        <w:spacing w:line="360" w:lineRule="auto"/>
        <w:ind w:firstLine="482" w:firstLineChars="200"/>
        <w:rPr>
          <w:rFonts w:hint="default" w:ascii="宋体" w:hAnsi="宋体"/>
          <w:b/>
          <w:bCs/>
          <w:color w:val="000000"/>
          <w:sz w:val="24"/>
        </w:rPr>
      </w:pPr>
      <w:r>
        <w:rPr>
          <w:rFonts w:ascii="宋体" w:hAnsi="宋体"/>
          <w:b/>
          <w:bCs/>
          <w:color w:val="000000"/>
          <w:sz w:val="24"/>
        </w:rPr>
        <w:t>3．课程学习与科研训练</w:t>
      </w:r>
    </w:p>
    <w:p w14:paraId="263C141E">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napToGrid w:val="0"/>
        <w:spacing w:line="360" w:lineRule="auto"/>
        <w:ind w:firstLine="480" w:firstLineChars="200"/>
        <w:jc w:val="left"/>
        <w:rPr>
          <w:rFonts w:hint="default" w:ascii="宋体" w:hAnsi="宋体"/>
          <w:color w:val="000000"/>
          <w:sz w:val="24"/>
        </w:rPr>
      </w:pPr>
      <w:r>
        <w:rPr>
          <w:rFonts w:ascii="宋体" w:hAnsi="宋体"/>
          <w:color w:val="000000"/>
          <w:sz w:val="24"/>
        </w:rPr>
        <w:t>开设各类研讨课以引导学生拓展研讨式学习；开设高级学术讲座系列课程，为学生提供与国际优秀学术大师面对面的交流机会；下沉部分研究生核心课程，为学有余力的高年级学生提供本研打通通道；</w:t>
      </w:r>
      <w:r>
        <w:rPr>
          <w:rFonts w:ascii="宋体" w:hAnsi="宋体"/>
          <w:color w:val="000000" w:themeColor="text1"/>
          <w:sz w:val="24"/>
          <w14:textFill>
            <w14:solidFill>
              <w14:schemeClr w14:val="tx1"/>
            </w14:solidFill>
          </w14:textFill>
        </w:rPr>
        <w:t>设立拔尖计划创新科研基金项目，鼓励学生积极参与各类科研训练项目。</w:t>
      </w:r>
    </w:p>
    <w:p w14:paraId="69DC90F9">
      <w:pPr>
        <w:widowControl/>
        <w:shd w:val="clear" w:color="auto" w:fill="FFFFFF"/>
        <w:tabs>
          <w:tab w:val="left" w:pos="42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napToGrid w:val="0"/>
        <w:spacing w:line="360" w:lineRule="auto"/>
        <w:ind w:firstLine="482" w:firstLineChars="200"/>
        <w:rPr>
          <w:rFonts w:hint="default" w:ascii="宋体"/>
          <w:b/>
          <w:bCs/>
          <w:color w:val="000000"/>
          <w:sz w:val="24"/>
        </w:rPr>
      </w:pPr>
      <w:r>
        <w:rPr>
          <w:rFonts w:ascii="宋体" w:hAnsi="宋体"/>
          <w:b/>
          <w:bCs/>
          <w:color w:val="000000"/>
          <w:sz w:val="24"/>
        </w:rPr>
        <w:t>4．过程管理与资格认定</w:t>
      </w:r>
    </w:p>
    <w:p w14:paraId="4DB284A3">
      <w:pPr>
        <w:widowControl/>
        <w:shd w:val="clear" w:color="auto" w:fill="FFFFFF"/>
        <w:autoSpaceDE w:val="0"/>
        <w:autoSpaceDN w:val="0"/>
        <w:adjustRightInd w:val="0"/>
        <w:snapToGrid w:val="0"/>
        <w:spacing w:line="360" w:lineRule="auto"/>
        <w:ind w:firstLine="480" w:firstLineChars="200"/>
        <w:jc w:val="left"/>
        <w:rPr>
          <w:rFonts w:ascii="宋体" w:hAnsi="宋体"/>
          <w:color w:val="000000"/>
          <w:sz w:val="24"/>
          <w:highlight w:val="none"/>
        </w:rPr>
      </w:pPr>
      <w:r>
        <w:rPr>
          <w:rFonts w:ascii="宋体" w:hAnsi="宋体"/>
          <w:color w:val="000000"/>
          <w:sz w:val="24"/>
        </w:rPr>
        <w:t>（1）学生每学年提交一份学业报表（一至三年级小学期前后，四年级5月前后）</w:t>
      </w:r>
      <w:bookmarkStart w:id="2" w:name="_GoBack"/>
      <w:r>
        <w:rPr>
          <w:rFonts w:ascii="宋体" w:hAnsi="宋体"/>
          <w:color w:val="000000"/>
          <w:sz w:val="24"/>
          <w:highlight w:val="none"/>
        </w:rPr>
        <w:t>，每次均要总结入学至提交时的情况。</w:t>
      </w:r>
    </w:p>
    <w:p w14:paraId="02A48D9A">
      <w:pPr>
        <w:widowControl/>
        <w:shd w:val="clear" w:color="auto" w:fill="FFFFFF"/>
        <w:autoSpaceDE w:val="0"/>
        <w:autoSpaceDN w:val="0"/>
        <w:adjustRightInd w:val="0"/>
        <w:snapToGrid w:val="0"/>
        <w:spacing w:line="360" w:lineRule="auto"/>
        <w:ind w:firstLine="480" w:firstLineChars="200"/>
        <w:jc w:val="left"/>
        <w:rPr>
          <w:rFonts w:hint="eastAsia" w:ascii="宋体" w:hAnsi="宋体" w:eastAsia="宋体"/>
          <w:color w:val="000000"/>
          <w:sz w:val="24"/>
          <w:highlight w:val="none"/>
          <w:lang w:eastAsia="zh-CN"/>
        </w:rPr>
      </w:pPr>
      <w:r>
        <w:rPr>
          <w:rFonts w:hint="eastAsia" w:ascii="宋体" w:hAnsi="宋体"/>
          <w:color w:val="000000"/>
          <w:sz w:val="24"/>
          <w:highlight w:val="none"/>
          <w:lang w:eastAsia="zh-CN"/>
        </w:rPr>
        <w:t>（</w:t>
      </w:r>
      <w:r>
        <w:rPr>
          <w:rFonts w:hint="eastAsia" w:ascii="宋体" w:hAnsi="宋体"/>
          <w:color w:val="000000"/>
          <w:sz w:val="24"/>
          <w:highlight w:val="none"/>
          <w:lang w:val="en-US" w:eastAsia="zh-CN"/>
        </w:rPr>
        <w:t>2</w:t>
      </w:r>
      <w:r>
        <w:rPr>
          <w:rFonts w:hint="eastAsia" w:ascii="宋体" w:hAnsi="宋体"/>
          <w:color w:val="000000"/>
          <w:sz w:val="24"/>
          <w:highlight w:val="none"/>
          <w:lang w:eastAsia="zh-CN"/>
        </w:rPr>
        <w:t>）</w:t>
      </w:r>
      <w:r>
        <w:rPr>
          <w:rFonts w:ascii="宋体" w:hAnsi="宋体"/>
          <w:sz w:val="24"/>
          <w:highlight w:val="none"/>
        </w:rPr>
        <w:t>截至</w:t>
      </w:r>
      <w:r>
        <w:rPr>
          <w:rFonts w:hint="eastAsia" w:ascii="宋体" w:hAnsi="宋体"/>
          <w:sz w:val="24"/>
          <w:highlight w:val="none"/>
          <w:lang w:val="en-US" w:eastAsia="zh-CN"/>
        </w:rPr>
        <w:t>一年级</w:t>
      </w:r>
      <w:r>
        <w:rPr>
          <w:rFonts w:ascii="宋体" w:hAnsi="宋体"/>
          <w:color w:val="000000"/>
          <w:sz w:val="24"/>
          <w:highlight w:val="none"/>
        </w:rPr>
        <w:t>春季学期末</w:t>
      </w:r>
      <w:r>
        <w:rPr>
          <w:rFonts w:ascii="宋体" w:hAnsi="宋体"/>
          <w:sz w:val="24"/>
          <w:highlight w:val="none"/>
        </w:rPr>
        <w:t>，</w:t>
      </w:r>
      <w:r>
        <w:rPr>
          <w:rFonts w:ascii="宋体" w:hAnsi="宋体"/>
          <w:color w:val="000000" w:themeColor="text1"/>
          <w:sz w:val="24"/>
          <w:highlight w:val="none"/>
          <w14:textFill>
            <w14:solidFill>
              <w14:schemeClr w14:val="tx1"/>
            </w14:solidFill>
          </w14:textFill>
        </w:rPr>
        <w:t>应修课程全部合格</w:t>
      </w:r>
      <w:r>
        <w:rPr>
          <w:rFonts w:ascii="宋体" w:hAnsi="宋体"/>
          <w:color w:val="000000"/>
          <w:sz w:val="24"/>
          <w:highlight w:val="none"/>
        </w:rPr>
        <w:t>，</w:t>
      </w:r>
      <w:r>
        <w:rPr>
          <w:rFonts w:ascii="宋体" w:hAnsi="宋体"/>
          <w:sz w:val="24"/>
          <w:highlight w:val="none"/>
        </w:rPr>
        <w:t>非中心科学实验班学生不含校选课GPA排名</w:t>
      </w:r>
      <w:r>
        <w:rPr>
          <w:rFonts w:hint="eastAsia" w:ascii="宋体" w:hAnsi="宋体"/>
          <w:sz w:val="24"/>
          <w:highlight w:val="none"/>
          <w:lang w:val="en-US" w:eastAsia="zh-CN"/>
        </w:rPr>
        <w:t>不</w:t>
      </w:r>
      <w:r>
        <w:rPr>
          <w:rFonts w:ascii="宋体" w:hAnsi="宋体"/>
          <w:sz w:val="24"/>
          <w:highlight w:val="none"/>
        </w:rPr>
        <w:t>低于年级前</w:t>
      </w:r>
      <w:r>
        <w:rPr>
          <w:rFonts w:hint="eastAsia" w:ascii="宋体" w:hAnsi="宋体"/>
          <w:color w:val="000000" w:themeColor="text1"/>
          <w:sz w:val="24"/>
          <w:highlight w:val="none"/>
          <w:lang w:val="en-US" w:eastAsia="zh-CN"/>
          <w14:textFill>
            <w14:solidFill>
              <w14:schemeClr w14:val="tx1"/>
            </w14:solidFill>
          </w14:textFill>
        </w:rPr>
        <w:t>3</w:t>
      </w:r>
      <w:r>
        <w:rPr>
          <w:rFonts w:hint="default" w:ascii="宋体" w:hAnsi="宋体"/>
          <w:color w:val="000000" w:themeColor="text1"/>
          <w:sz w:val="24"/>
          <w:highlight w:val="none"/>
          <w14:textFill>
            <w14:solidFill>
              <w14:schemeClr w14:val="tx1"/>
            </w14:solidFill>
          </w14:textFill>
        </w:rPr>
        <w:t>0</w:t>
      </w:r>
      <w:r>
        <w:rPr>
          <w:rFonts w:ascii="宋体" w:hAnsi="宋体"/>
          <w:sz w:val="24"/>
          <w:highlight w:val="none"/>
        </w:rPr>
        <w:t>%者（非中心科学实验班中的排名），中心科学实验班学生不含校选课GPA</w:t>
      </w:r>
      <w:r>
        <w:rPr>
          <w:rFonts w:hint="eastAsia" w:ascii="宋体" w:hAnsi="宋体"/>
          <w:sz w:val="24"/>
          <w:highlight w:val="none"/>
          <w:lang w:val="en-US" w:eastAsia="zh-CN"/>
        </w:rPr>
        <w:t>不</w:t>
      </w:r>
      <w:r>
        <w:rPr>
          <w:rFonts w:ascii="宋体" w:hAnsi="宋体"/>
          <w:sz w:val="24"/>
          <w:highlight w:val="none"/>
        </w:rPr>
        <w:t>低于3.0；</w:t>
      </w:r>
    </w:p>
    <w:p w14:paraId="5497356F">
      <w:pPr>
        <w:widowControl/>
        <w:shd w:val="clear" w:color="auto" w:fill="FFFFFF"/>
        <w:autoSpaceDE w:val="0"/>
        <w:autoSpaceDN w:val="0"/>
        <w:adjustRightInd w:val="0"/>
        <w:snapToGrid w:val="0"/>
        <w:spacing w:line="360" w:lineRule="auto"/>
        <w:ind w:firstLine="480" w:firstLineChars="200"/>
        <w:jc w:val="left"/>
        <w:rPr>
          <w:rFonts w:hint="default" w:ascii="宋体" w:hAnsi="宋体"/>
          <w:color w:val="000000"/>
          <w:sz w:val="24"/>
          <w:highlight w:val="none"/>
        </w:rPr>
      </w:pPr>
      <w:r>
        <w:rPr>
          <w:rFonts w:ascii="宋体" w:hAnsi="宋体"/>
          <w:color w:val="000000"/>
          <w:sz w:val="24"/>
          <w:highlight w:val="none"/>
        </w:rPr>
        <w:t>（</w:t>
      </w:r>
      <w:r>
        <w:rPr>
          <w:rFonts w:hint="eastAsia" w:ascii="宋体" w:hAnsi="宋体"/>
          <w:color w:val="000000"/>
          <w:sz w:val="24"/>
          <w:highlight w:val="none"/>
          <w:lang w:val="en-US" w:eastAsia="zh-CN"/>
        </w:rPr>
        <w:t>3</w:t>
      </w:r>
      <w:r>
        <w:rPr>
          <w:rFonts w:ascii="宋体" w:hAnsi="宋体"/>
          <w:color w:val="000000"/>
          <w:sz w:val="24"/>
          <w:highlight w:val="none"/>
        </w:rPr>
        <w:t>）截止至三年级春季学期末，</w:t>
      </w:r>
      <w:r>
        <w:rPr>
          <w:rFonts w:ascii="宋体" w:hAnsi="宋体"/>
          <w:color w:val="000000" w:themeColor="text1"/>
          <w:sz w:val="24"/>
          <w:highlight w:val="none"/>
          <w14:textFill>
            <w14:solidFill>
              <w14:schemeClr w14:val="tx1"/>
            </w14:solidFill>
          </w14:textFill>
        </w:rPr>
        <w:t>应修课程全部合格</w:t>
      </w:r>
      <w:r>
        <w:rPr>
          <w:rFonts w:ascii="宋体" w:hAnsi="宋体"/>
          <w:color w:val="000000"/>
          <w:sz w:val="24"/>
          <w:highlight w:val="none"/>
        </w:rPr>
        <w:t>，非中心科学实验班学生不含校选课GPA排名不低于年级专业前</w:t>
      </w:r>
      <w:r>
        <w:rPr>
          <w:rFonts w:hint="eastAsia" w:ascii="宋体" w:hAnsi="宋体"/>
          <w:color w:val="000000"/>
          <w:sz w:val="24"/>
          <w:highlight w:val="none"/>
          <w:lang w:val="en-US" w:eastAsia="zh-CN"/>
        </w:rPr>
        <w:t>3</w:t>
      </w:r>
      <w:r>
        <w:rPr>
          <w:rFonts w:hint="default" w:ascii="宋体" w:hAnsi="宋体"/>
          <w:color w:val="000000"/>
          <w:sz w:val="24"/>
          <w:highlight w:val="none"/>
        </w:rPr>
        <w:t>0</w:t>
      </w:r>
      <w:r>
        <w:rPr>
          <w:rFonts w:ascii="宋体" w:hAnsi="宋体"/>
          <w:color w:val="000000"/>
          <w:sz w:val="24"/>
          <w:highlight w:val="none"/>
        </w:rPr>
        <w:t>%（非中心科学实验班中的排名），中心科学实验班学生不含校选课GPA不低于3.0。</w:t>
      </w:r>
    </w:p>
    <w:p w14:paraId="6466FF93">
      <w:pPr>
        <w:widowControl/>
        <w:shd w:val="clear" w:color="auto" w:fill="FFFFFF"/>
        <w:autoSpaceDE w:val="0"/>
        <w:autoSpaceDN w:val="0"/>
        <w:adjustRightInd w:val="0"/>
        <w:snapToGrid w:val="0"/>
        <w:spacing w:line="360" w:lineRule="auto"/>
        <w:ind w:firstLine="480" w:firstLineChars="200"/>
        <w:jc w:val="left"/>
        <w:rPr>
          <w:rFonts w:hint="default" w:ascii="宋体" w:hAnsi="宋体"/>
          <w:color w:val="000000"/>
          <w:sz w:val="24"/>
          <w:highlight w:val="none"/>
        </w:rPr>
      </w:pPr>
      <w:r>
        <w:rPr>
          <w:rFonts w:ascii="宋体" w:hAnsi="宋体"/>
          <w:color w:val="000000"/>
          <w:sz w:val="24"/>
          <w:highlight w:val="none"/>
        </w:rPr>
        <w:t>（</w:t>
      </w:r>
      <w:r>
        <w:rPr>
          <w:rFonts w:hint="eastAsia" w:ascii="宋体" w:hAnsi="宋体"/>
          <w:color w:val="000000"/>
          <w:sz w:val="24"/>
          <w:highlight w:val="none"/>
          <w:lang w:val="en-US" w:eastAsia="zh-CN"/>
        </w:rPr>
        <w:t>4</w:t>
      </w:r>
      <w:r>
        <w:rPr>
          <w:rFonts w:ascii="宋体" w:hAnsi="宋体"/>
          <w:color w:val="000000"/>
          <w:sz w:val="24"/>
          <w:highlight w:val="none"/>
        </w:rPr>
        <w:t>）</w:t>
      </w:r>
      <w:bookmarkStart w:id="1" w:name="OLE_LINK2"/>
      <w:r>
        <w:rPr>
          <w:rFonts w:ascii="宋体" w:hAnsi="宋体"/>
          <w:color w:val="000000"/>
          <w:sz w:val="24"/>
          <w:highlight w:val="none"/>
        </w:rPr>
        <w:t>截止至三年级春季学期末，</w:t>
      </w:r>
      <w:bookmarkEnd w:id="1"/>
      <w:r>
        <w:rPr>
          <w:rFonts w:ascii="宋体" w:hAnsi="宋体"/>
          <w:color w:val="000000"/>
          <w:sz w:val="24"/>
          <w:highlight w:val="none"/>
        </w:rPr>
        <w:t>学生修满至少10学分学院挑战性课程清单内课程，其中含至少</w:t>
      </w:r>
      <w:r>
        <w:rPr>
          <w:rFonts w:hint="default" w:ascii="宋体" w:hAnsi="宋体"/>
          <w:color w:val="000000"/>
          <w:sz w:val="24"/>
          <w:highlight w:val="none"/>
        </w:rPr>
        <w:t>3</w:t>
      </w:r>
      <w:r>
        <w:rPr>
          <w:rFonts w:ascii="宋体" w:hAnsi="宋体"/>
          <w:color w:val="000000"/>
          <w:sz w:val="24"/>
          <w:highlight w:val="none"/>
        </w:rPr>
        <w:t>学分研讨课。</w:t>
      </w:r>
    </w:p>
    <w:p w14:paraId="502F0E87">
      <w:pPr>
        <w:widowControl/>
        <w:shd w:val="clear" w:color="auto" w:fill="FFFFFF"/>
        <w:autoSpaceDE w:val="0"/>
        <w:autoSpaceDN w:val="0"/>
        <w:adjustRightInd w:val="0"/>
        <w:snapToGrid w:val="0"/>
        <w:spacing w:line="360" w:lineRule="auto"/>
        <w:ind w:firstLine="480" w:firstLineChars="200"/>
        <w:jc w:val="left"/>
        <w:rPr>
          <w:rFonts w:hint="default" w:ascii="宋体" w:hAnsi="宋体"/>
          <w:color w:val="000000"/>
          <w:sz w:val="24"/>
          <w:highlight w:val="none"/>
        </w:rPr>
      </w:pPr>
      <w:r>
        <w:rPr>
          <w:rFonts w:ascii="宋体" w:hAnsi="宋体"/>
          <w:color w:val="000000"/>
          <w:sz w:val="24"/>
          <w:highlight w:val="none"/>
        </w:rPr>
        <w:t>（</w:t>
      </w:r>
      <w:r>
        <w:rPr>
          <w:rFonts w:hint="eastAsia" w:ascii="宋体" w:hAnsi="宋体"/>
          <w:color w:val="000000"/>
          <w:sz w:val="24"/>
          <w:highlight w:val="none"/>
          <w:lang w:val="en-US" w:eastAsia="zh-CN"/>
        </w:rPr>
        <w:t>5</w:t>
      </w:r>
      <w:r>
        <w:rPr>
          <w:rFonts w:ascii="宋体" w:hAnsi="宋体"/>
          <w:color w:val="000000"/>
          <w:sz w:val="24"/>
          <w:highlight w:val="none"/>
        </w:rPr>
        <w:t>）截止至三年级春季学期末，外语水平达到学校推免政策要求</w:t>
      </w:r>
    </w:p>
    <w:p w14:paraId="384D2EDB">
      <w:pPr>
        <w:widowControl/>
        <w:shd w:val="clear" w:color="auto" w:fill="FFFFFF"/>
        <w:autoSpaceDE w:val="0"/>
        <w:autoSpaceDN w:val="0"/>
        <w:adjustRightInd w:val="0"/>
        <w:snapToGrid w:val="0"/>
        <w:spacing w:line="360" w:lineRule="auto"/>
        <w:ind w:firstLine="480" w:firstLineChars="200"/>
        <w:jc w:val="left"/>
        <w:rPr>
          <w:rFonts w:hint="default" w:ascii="宋体" w:hAnsi="宋体"/>
          <w:color w:val="000000"/>
          <w:sz w:val="24"/>
          <w:highlight w:val="none"/>
        </w:rPr>
      </w:pPr>
      <w:r>
        <w:rPr>
          <w:rFonts w:ascii="宋体" w:hAnsi="宋体"/>
          <w:color w:val="000000"/>
          <w:sz w:val="24"/>
          <w:highlight w:val="none"/>
        </w:rPr>
        <w:t>（</w:t>
      </w:r>
      <w:r>
        <w:rPr>
          <w:rFonts w:hint="eastAsia" w:ascii="宋体" w:hAnsi="宋体"/>
          <w:color w:val="000000"/>
          <w:sz w:val="24"/>
          <w:highlight w:val="none"/>
          <w:lang w:val="en-US" w:eastAsia="zh-CN"/>
        </w:rPr>
        <w:t>6</w:t>
      </w:r>
      <w:r>
        <w:rPr>
          <w:rFonts w:ascii="宋体" w:hAnsi="宋体"/>
          <w:color w:val="000000"/>
          <w:sz w:val="24"/>
          <w:highlight w:val="none"/>
        </w:rPr>
        <w:t>）截止至三年级春季学期末，学生须以排名前二位的身份开展至少一项院级或以上科研训练项目且进展良好（拔尖创新基金、育苗、大创等院级或以上科研训练项目均可），且</w:t>
      </w:r>
      <w:r>
        <w:rPr>
          <w:rFonts w:ascii="宋体" w:hAnsi="宋体"/>
          <w:color w:val="000000" w:themeColor="text1"/>
          <w:sz w:val="24"/>
          <w:highlight w:val="none"/>
          <w14:textFill>
            <w14:solidFill>
              <w14:schemeClr w14:val="tx1"/>
            </w14:solidFill>
          </w14:textFill>
        </w:rPr>
        <w:t>科研能力积分达到</w:t>
      </w:r>
      <w:r>
        <w:rPr>
          <w:rFonts w:hint="default" w:ascii="宋体" w:hAnsi="宋体"/>
          <w:color w:val="000000" w:themeColor="text1"/>
          <w:sz w:val="24"/>
          <w:highlight w:val="none"/>
          <w14:textFill>
            <w14:solidFill>
              <w14:schemeClr w14:val="tx1"/>
            </w14:solidFill>
          </w14:textFill>
        </w:rPr>
        <w:t>1.5</w:t>
      </w:r>
      <w:r>
        <w:rPr>
          <w:sz w:val="24"/>
          <w:szCs w:val="22"/>
          <w:highlight w:val="none"/>
        </w:rPr>
        <w:t>（科研能力积分计算方式参照该年级学生对应的《化学化工学院推荐优秀应届本科生免试攻读研究生工作暂行办法》）</w:t>
      </w:r>
      <w:r>
        <w:rPr>
          <w:rFonts w:ascii="宋体" w:hAnsi="宋体"/>
          <w:color w:val="000000"/>
          <w:sz w:val="24"/>
          <w:highlight w:val="none"/>
        </w:rPr>
        <w:t>。</w:t>
      </w:r>
    </w:p>
    <w:p w14:paraId="41FDCABD">
      <w:pPr>
        <w:widowControl/>
        <w:shd w:val="clear" w:color="auto" w:fill="FFFFFF"/>
        <w:autoSpaceDE w:val="0"/>
        <w:autoSpaceDN w:val="0"/>
        <w:adjustRightInd w:val="0"/>
        <w:snapToGrid w:val="0"/>
        <w:spacing w:line="360" w:lineRule="auto"/>
        <w:ind w:firstLine="480" w:firstLineChars="200"/>
        <w:jc w:val="left"/>
        <w:rPr>
          <w:rFonts w:hint="default" w:ascii="宋体" w:hAnsi="宋体"/>
          <w:sz w:val="24"/>
        </w:rPr>
      </w:pPr>
      <w:r>
        <w:rPr>
          <w:rFonts w:ascii="宋体" w:hAnsi="宋体"/>
          <w:color w:val="000000"/>
          <w:sz w:val="24"/>
          <w:highlight w:val="none"/>
        </w:rPr>
        <w:t>（</w:t>
      </w:r>
      <w:r>
        <w:rPr>
          <w:rFonts w:hint="eastAsia" w:ascii="宋体" w:hAnsi="宋体"/>
          <w:color w:val="000000"/>
          <w:sz w:val="24"/>
          <w:highlight w:val="none"/>
          <w:lang w:val="en-US" w:eastAsia="zh-CN"/>
        </w:rPr>
        <w:t>7</w:t>
      </w:r>
      <w:r>
        <w:rPr>
          <w:rFonts w:ascii="宋体" w:hAnsi="宋体"/>
          <w:color w:val="000000"/>
          <w:sz w:val="24"/>
          <w:highlight w:val="none"/>
        </w:rPr>
        <w:t>）</w:t>
      </w:r>
      <w:r>
        <w:rPr>
          <w:rFonts w:hint="eastAsia" w:ascii="宋体" w:hAnsi="宋体"/>
          <w:color w:val="000000"/>
          <w:sz w:val="24"/>
          <w:highlight w:val="none"/>
          <w:lang w:val="en-US" w:eastAsia="zh-CN"/>
        </w:rPr>
        <w:t>截止</w:t>
      </w:r>
      <w:r>
        <w:rPr>
          <w:rFonts w:hint="eastAsia" w:ascii="宋体" w:hAnsi="宋体"/>
          <w:sz w:val="24"/>
          <w:highlight w:val="none"/>
          <w:lang w:val="en-US" w:eastAsia="zh-CN"/>
        </w:rPr>
        <w:t>二年级</w:t>
      </w:r>
      <w:r>
        <w:rPr>
          <w:rFonts w:ascii="宋体" w:hAnsi="宋体"/>
          <w:color w:val="000000"/>
          <w:sz w:val="24"/>
          <w:highlight w:val="none"/>
        </w:rPr>
        <w:t>春季学期末</w:t>
      </w:r>
      <w:r>
        <w:rPr>
          <w:rFonts w:hint="eastAsia" w:ascii="宋体" w:hAnsi="宋体"/>
          <w:color w:val="000000"/>
          <w:sz w:val="24"/>
          <w:highlight w:val="none"/>
          <w:lang w:eastAsia="zh-CN"/>
        </w:rPr>
        <w:t>，</w:t>
      </w:r>
      <w:r>
        <w:rPr>
          <w:rFonts w:hint="eastAsia" w:ascii="宋体" w:hAnsi="宋体"/>
          <w:sz w:val="24"/>
          <w:highlight w:val="none"/>
          <w:lang w:val="en-US" w:eastAsia="zh-CN"/>
        </w:rPr>
        <w:t>学生达到拔尖计划认定要求的，可继续申请拔尖计划资格认定。</w:t>
      </w:r>
      <w:r>
        <w:rPr>
          <w:rFonts w:ascii="宋体" w:hAnsi="宋体"/>
          <w:sz w:val="24"/>
          <w:highlight w:val="none"/>
        </w:rPr>
        <w:t>从二年级开始，参加每学年的拔尖计划年度汇报，且考核结果为合格或以上。有下列情况之一者，不得参加该学年拔尖计划年度汇报：截至该学年末，非中心科学实验班学生不含校选课GPA排名低于年级前</w:t>
      </w:r>
      <w:r>
        <w:rPr>
          <w:rFonts w:hint="eastAsia" w:ascii="宋体" w:hAnsi="宋体"/>
          <w:color w:val="000000" w:themeColor="text1"/>
          <w:sz w:val="24"/>
          <w:highlight w:val="none"/>
          <w:lang w:val="en-US" w:eastAsia="zh-CN"/>
          <w14:textFill>
            <w14:solidFill>
              <w14:schemeClr w14:val="tx1"/>
            </w14:solidFill>
          </w14:textFill>
        </w:rPr>
        <w:t>3</w:t>
      </w:r>
      <w:r>
        <w:rPr>
          <w:rFonts w:hint="default" w:ascii="宋体" w:hAnsi="宋体"/>
          <w:color w:val="000000" w:themeColor="text1"/>
          <w:sz w:val="24"/>
          <w:highlight w:val="none"/>
          <w14:textFill>
            <w14:solidFill>
              <w14:schemeClr w14:val="tx1"/>
            </w14:solidFill>
          </w14:textFill>
        </w:rPr>
        <w:t>0</w:t>
      </w:r>
      <w:r>
        <w:rPr>
          <w:rFonts w:ascii="宋体" w:hAnsi="宋体"/>
          <w:sz w:val="24"/>
          <w:highlight w:val="none"/>
        </w:rPr>
        <w:t>%者（非中心</w:t>
      </w:r>
      <w:bookmarkEnd w:id="2"/>
      <w:r>
        <w:rPr>
          <w:rFonts w:ascii="宋体" w:hAnsi="宋体"/>
          <w:sz w:val="24"/>
        </w:rPr>
        <w:t>科学实验班中的排名），中心科学实验班学生不含校选课GPA低于3.0者；该学年有应修课程不及格者；该学年因违反校规校纪受处分且未解除者；该学年因违反社会公德造成不良影响者。</w:t>
      </w:r>
    </w:p>
    <w:p w14:paraId="78BDC4C8">
      <w:pPr>
        <w:widowControl/>
        <w:shd w:val="clear" w:color="auto" w:fill="FFFFFF"/>
        <w:autoSpaceDE w:val="0"/>
        <w:autoSpaceDN w:val="0"/>
        <w:adjustRightInd w:val="0"/>
        <w:snapToGrid w:val="0"/>
        <w:spacing w:line="360" w:lineRule="auto"/>
        <w:ind w:firstLine="480" w:firstLineChars="200"/>
        <w:jc w:val="left"/>
        <w:rPr>
          <w:rFonts w:hint="default" w:ascii="宋体" w:hAnsi="宋体"/>
          <w:sz w:val="24"/>
        </w:rPr>
      </w:pPr>
      <w:r>
        <w:rPr>
          <w:rFonts w:ascii="宋体" w:hAnsi="宋体"/>
          <w:sz w:val="24"/>
        </w:rPr>
        <w:t>在三年级结束时满足上述条件者，经学生本人申请，给予校级拔尖计划荣誉称号，</w:t>
      </w:r>
      <w:r>
        <w:rPr>
          <w:rFonts w:ascii="宋体" w:hAnsi="宋体"/>
          <w:sz w:val="24"/>
          <w:highlight w:val="none"/>
        </w:rPr>
        <w:t>并优先</w:t>
      </w:r>
      <w:r>
        <w:rPr>
          <w:rFonts w:ascii="宋体" w:hAnsi="宋体"/>
          <w:color w:val="000000" w:themeColor="text1"/>
          <w:sz w:val="24"/>
          <w:highlight w:val="none"/>
          <w14:textFill>
            <w14:solidFill>
              <w14:schemeClr w14:val="tx1"/>
            </w14:solidFill>
          </w14:textFill>
        </w:rPr>
        <w:t>推荐免试攻读研究生资格</w:t>
      </w:r>
      <w:r>
        <w:rPr>
          <w:rFonts w:ascii="宋体" w:hAnsi="宋体"/>
          <w:sz w:val="24"/>
          <w:highlight w:val="none"/>
        </w:rPr>
        <w:t>（强基计划学生除外，参加另外的转段考核流程）</w:t>
      </w:r>
      <w:r>
        <w:rPr>
          <w:rFonts w:ascii="宋体" w:hAnsi="宋体"/>
          <w:sz w:val="24"/>
        </w:rPr>
        <w:t>；在四年级年度汇报中表现优异者，给予国家级拔尖计划荣誉称号。</w:t>
      </w:r>
    </w:p>
    <w:p w14:paraId="233331BB">
      <w:pPr>
        <w:widowControl/>
        <w:shd w:val="clear" w:color="auto" w:fill="FFFFFF"/>
        <w:autoSpaceDE w:val="0"/>
        <w:autoSpaceDN w:val="0"/>
        <w:adjustRightInd w:val="0"/>
        <w:snapToGrid w:val="0"/>
        <w:spacing w:line="360" w:lineRule="auto"/>
        <w:ind w:firstLine="480" w:firstLineChars="200"/>
        <w:jc w:val="left"/>
        <w:rPr>
          <w:rFonts w:hint="default" w:ascii="宋体" w:hAnsi="宋体"/>
          <w:sz w:val="24"/>
        </w:rPr>
      </w:pPr>
      <w:r>
        <w:rPr>
          <w:rFonts w:ascii="宋体" w:hAnsi="宋体"/>
          <w:sz w:val="24"/>
        </w:rPr>
        <w:t>不满足上述要求之一的特别优秀学生可经本人申请、拔尖计划领导小组及</w:t>
      </w:r>
      <w:r>
        <w:rPr>
          <w:rFonts w:ascii="宋体" w:hAnsi="宋体"/>
          <w:sz w:val="24"/>
          <w:lang w:bidi="ar"/>
        </w:rPr>
        <w:t>学院推免工作领导小组</w:t>
      </w:r>
      <w:r>
        <w:rPr>
          <w:rFonts w:ascii="宋体" w:hAnsi="宋体"/>
          <w:sz w:val="24"/>
        </w:rPr>
        <w:t>审议通过，给予相应荣誉称号或资格认定。</w:t>
      </w:r>
    </w:p>
    <w:p w14:paraId="7E079D2F">
      <w:pPr>
        <w:autoSpaceDE w:val="0"/>
        <w:autoSpaceDN w:val="0"/>
        <w:adjustRightInd w:val="0"/>
        <w:snapToGrid w:val="0"/>
        <w:spacing w:line="360" w:lineRule="auto"/>
        <w:ind w:firstLine="482" w:firstLineChars="200"/>
        <w:jc w:val="left"/>
        <w:rPr>
          <w:rFonts w:hint="default" w:ascii="宋体" w:eastAsia="Times New Roman"/>
          <w:b/>
          <w:bCs/>
          <w:sz w:val="24"/>
        </w:rPr>
      </w:pPr>
      <w:r>
        <w:rPr>
          <w:rFonts w:ascii="宋体" w:hAnsi="宋体"/>
          <w:b/>
          <w:bCs/>
          <w:sz w:val="24"/>
        </w:rPr>
        <w:t>5．奖学金与专项资助计划</w:t>
      </w:r>
    </w:p>
    <w:p w14:paraId="05261481">
      <w:pPr>
        <w:widowControl/>
        <w:adjustRightInd w:val="0"/>
        <w:snapToGrid w:val="0"/>
        <w:spacing w:line="360" w:lineRule="auto"/>
        <w:ind w:firstLine="480" w:firstLineChars="200"/>
        <w:jc w:val="left"/>
        <w:rPr>
          <w:rFonts w:hint="default" w:ascii="宋体" w:hAnsi="宋体"/>
          <w:sz w:val="24"/>
        </w:rPr>
      </w:pPr>
      <w:r>
        <w:rPr>
          <w:rFonts w:ascii="宋体" w:hAnsi="宋体"/>
          <w:sz w:val="24"/>
        </w:rPr>
        <w:t>设立</w:t>
      </w:r>
      <w:r>
        <w:rPr>
          <w:rFonts w:hint="default" w:ascii="宋体" w:hAnsi="宋体"/>
          <w:sz w:val="24"/>
        </w:rPr>
        <w:t>拔尖计划专项奖学金</w:t>
      </w:r>
      <w:r>
        <w:rPr>
          <w:rFonts w:ascii="宋体" w:hAnsi="宋体"/>
          <w:sz w:val="24"/>
        </w:rPr>
        <w:t>、</w:t>
      </w:r>
      <w:r>
        <w:rPr>
          <w:rFonts w:hint="default" w:ascii="宋体" w:hAnsi="宋体"/>
          <w:sz w:val="24"/>
        </w:rPr>
        <w:t>学生学术活动资助基金</w:t>
      </w:r>
      <w:r>
        <w:rPr>
          <w:rFonts w:ascii="宋体" w:hAnsi="宋体"/>
          <w:sz w:val="24"/>
        </w:rPr>
        <w:t>、创新科研基金等，</w:t>
      </w:r>
      <w:r>
        <w:rPr>
          <w:rFonts w:hint="default" w:ascii="宋体" w:hAnsi="宋体"/>
          <w:sz w:val="24"/>
        </w:rPr>
        <w:t>资助学生</w:t>
      </w:r>
      <w:r>
        <w:rPr>
          <w:rFonts w:ascii="宋体" w:hAnsi="宋体"/>
          <w:sz w:val="24"/>
        </w:rPr>
        <w:t>开展</w:t>
      </w:r>
      <w:r>
        <w:rPr>
          <w:rFonts w:hint="default" w:ascii="宋体" w:hAnsi="宋体"/>
          <w:sz w:val="24"/>
        </w:rPr>
        <w:t>国外访学、科学研究、学术交流等</w:t>
      </w:r>
      <w:r>
        <w:rPr>
          <w:rFonts w:ascii="宋体" w:hAnsi="宋体"/>
          <w:sz w:val="24"/>
        </w:rPr>
        <w:t>活动。其中，学术活动资助事宜详见《厦门大学化学学科拔尖学生培养计划学生学术活动资助计划管理办法（试行）》《“化学学科拔尖学生培养计划”学生参加国（境）外学术活动资助标准办法》。</w:t>
      </w:r>
    </w:p>
    <w:p w14:paraId="20ED593B">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napToGrid w:val="0"/>
        <w:spacing w:line="360" w:lineRule="auto"/>
        <w:ind w:firstLine="482" w:firstLineChars="200"/>
        <w:rPr>
          <w:rFonts w:hint="default" w:ascii="宋体"/>
          <w:b/>
          <w:color w:val="000000"/>
          <w:sz w:val="24"/>
          <w:szCs w:val="24"/>
        </w:rPr>
      </w:pPr>
      <w:r>
        <w:rPr>
          <w:rFonts w:ascii="宋体" w:hAnsi="宋体"/>
          <w:b/>
          <w:color w:val="000000"/>
          <w:sz w:val="24"/>
          <w:szCs w:val="24"/>
        </w:rPr>
        <w:t>四、项目管理</w:t>
      </w:r>
    </w:p>
    <w:p w14:paraId="4C84E108">
      <w:pPr>
        <w:widowControl/>
        <w:adjustRightInd w:val="0"/>
        <w:snapToGrid w:val="0"/>
        <w:spacing w:line="360" w:lineRule="auto"/>
        <w:ind w:firstLine="480" w:firstLineChars="200"/>
        <w:jc w:val="left"/>
        <w:rPr>
          <w:rFonts w:hint="default" w:ascii="宋体" w:hAnsi="宋体"/>
          <w:color w:val="000000" w:themeColor="text1"/>
          <w:sz w:val="24"/>
          <w14:textFill>
            <w14:solidFill>
              <w14:schemeClr w14:val="tx1"/>
            </w14:solidFill>
          </w14:textFill>
        </w:rPr>
      </w:pPr>
      <w:r>
        <w:rPr>
          <w:rFonts w:ascii="宋体" w:hAnsi="宋体"/>
          <w:color w:val="000000" w:themeColor="text1"/>
          <w:sz w:val="24"/>
          <w14:textFill>
            <w14:solidFill>
              <w14:schemeClr w14:val="tx1"/>
            </w14:solidFill>
          </w14:textFill>
        </w:rPr>
        <w:t>设项目领导小组。项目领导小组由项目主任、院主管教学副院长、化学系领导、教研骨干教师等组成。项目领导小组的主要任务为制定实施方案、根据项目实施方案组织项目的实施、审议批准过程管理中重要事项等。设项目行政秘书1名。</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900B610E"/>
    <w:multiLevelType w:val="singleLevel"/>
    <w:tmpl w:val="900B610E"/>
    <w:lvl w:ilvl="0" w:tentative="0">
      <w:start w:val="2"/>
      <w:numFmt w:val="decimal"/>
      <w:suff w:val="space"/>
      <w:lvlText w:val="%1."/>
      <w:lvlJc w:val="left"/>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70"/>
  <w:embedSystemFonts/>
  <w:bordersDoNotSurroundHeader w:val="1"/>
  <w:bordersDoNotSurroundFooter w:val="1"/>
  <w:documentProtection w:enforcement="0"/>
  <w:defaultTabStop w:val="420"/>
  <w:drawingGridVerticalSpacing w:val="156"/>
  <w:noPunctuationKerning w:val="1"/>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TdiNjczOWZmY2E3ODE0OTM1MjAxNTlhOTYyOTBlNDIifQ=="/>
  </w:docVars>
  <w:rsids>
    <w:rsidRoot w:val="7790738A"/>
    <w:rsid w:val="00040939"/>
    <w:rsid w:val="00073BFF"/>
    <w:rsid w:val="00075E82"/>
    <w:rsid w:val="000969AD"/>
    <w:rsid w:val="001E3FC2"/>
    <w:rsid w:val="00255B56"/>
    <w:rsid w:val="002727AE"/>
    <w:rsid w:val="00282612"/>
    <w:rsid w:val="00285BD1"/>
    <w:rsid w:val="002C24DB"/>
    <w:rsid w:val="002F618C"/>
    <w:rsid w:val="003050EB"/>
    <w:rsid w:val="00307EC2"/>
    <w:rsid w:val="003221B7"/>
    <w:rsid w:val="00341280"/>
    <w:rsid w:val="005819DD"/>
    <w:rsid w:val="005A0CF2"/>
    <w:rsid w:val="005D18E1"/>
    <w:rsid w:val="00642FD6"/>
    <w:rsid w:val="00667857"/>
    <w:rsid w:val="006758FA"/>
    <w:rsid w:val="006F30D0"/>
    <w:rsid w:val="00702119"/>
    <w:rsid w:val="00725FC6"/>
    <w:rsid w:val="00757AA7"/>
    <w:rsid w:val="00811E7C"/>
    <w:rsid w:val="008467E3"/>
    <w:rsid w:val="00974844"/>
    <w:rsid w:val="009839F3"/>
    <w:rsid w:val="009E685A"/>
    <w:rsid w:val="00A17545"/>
    <w:rsid w:val="00A32D95"/>
    <w:rsid w:val="00A658E9"/>
    <w:rsid w:val="00A9224C"/>
    <w:rsid w:val="00A94E55"/>
    <w:rsid w:val="00AD2ED5"/>
    <w:rsid w:val="00B13486"/>
    <w:rsid w:val="00B140F0"/>
    <w:rsid w:val="00B30D09"/>
    <w:rsid w:val="00B3471D"/>
    <w:rsid w:val="00B6185C"/>
    <w:rsid w:val="00B82C9A"/>
    <w:rsid w:val="00B9156E"/>
    <w:rsid w:val="00BE4599"/>
    <w:rsid w:val="00C3598B"/>
    <w:rsid w:val="00D514DB"/>
    <w:rsid w:val="00D832C3"/>
    <w:rsid w:val="00DA0E1F"/>
    <w:rsid w:val="00E54B34"/>
    <w:rsid w:val="00E77E06"/>
    <w:rsid w:val="00E91004"/>
    <w:rsid w:val="00EC0E05"/>
    <w:rsid w:val="00ED28ED"/>
    <w:rsid w:val="00EE36E1"/>
    <w:rsid w:val="00F31563"/>
    <w:rsid w:val="00FA02F5"/>
    <w:rsid w:val="00FB3C1E"/>
    <w:rsid w:val="02B50726"/>
    <w:rsid w:val="066F31FA"/>
    <w:rsid w:val="077F51EB"/>
    <w:rsid w:val="08167EB9"/>
    <w:rsid w:val="08634780"/>
    <w:rsid w:val="0ECD0B23"/>
    <w:rsid w:val="11360C84"/>
    <w:rsid w:val="11CC4C31"/>
    <w:rsid w:val="12241424"/>
    <w:rsid w:val="14AD3953"/>
    <w:rsid w:val="15512989"/>
    <w:rsid w:val="17E46C81"/>
    <w:rsid w:val="18351B7F"/>
    <w:rsid w:val="1E943E05"/>
    <w:rsid w:val="1F16618C"/>
    <w:rsid w:val="1F1C23C2"/>
    <w:rsid w:val="1F7E1A5B"/>
    <w:rsid w:val="21313B45"/>
    <w:rsid w:val="24D6205F"/>
    <w:rsid w:val="2C7D0C8C"/>
    <w:rsid w:val="2F000DF7"/>
    <w:rsid w:val="30DA7426"/>
    <w:rsid w:val="31476969"/>
    <w:rsid w:val="32F32A21"/>
    <w:rsid w:val="33257A5C"/>
    <w:rsid w:val="338B5C7C"/>
    <w:rsid w:val="356C00F9"/>
    <w:rsid w:val="36A97EF0"/>
    <w:rsid w:val="38E726E0"/>
    <w:rsid w:val="3D193E45"/>
    <w:rsid w:val="3E0D5998"/>
    <w:rsid w:val="3F88629F"/>
    <w:rsid w:val="40224945"/>
    <w:rsid w:val="40AB0497"/>
    <w:rsid w:val="4269060A"/>
    <w:rsid w:val="42BE4EAF"/>
    <w:rsid w:val="456A5A3C"/>
    <w:rsid w:val="45DB537A"/>
    <w:rsid w:val="468E27CD"/>
    <w:rsid w:val="48D0579F"/>
    <w:rsid w:val="49A07007"/>
    <w:rsid w:val="4A6343F9"/>
    <w:rsid w:val="4AB36817"/>
    <w:rsid w:val="4CF907DC"/>
    <w:rsid w:val="4F1A33B7"/>
    <w:rsid w:val="50AA076B"/>
    <w:rsid w:val="518E3BE9"/>
    <w:rsid w:val="538A03E0"/>
    <w:rsid w:val="53E43F94"/>
    <w:rsid w:val="53E75832"/>
    <w:rsid w:val="55F34962"/>
    <w:rsid w:val="56AF57FB"/>
    <w:rsid w:val="56E12A0D"/>
    <w:rsid w:val="58535244"/>
    <w:rsid w:val="58BC728D"/>
    <w:rsid w:val="5A026F22"/>
    <w:rsid w:val="5C935B7D"/>
    <w:rsid w:val="60BB42CE"/>
    <w:rsid w:val="62086206"/>
    <w:rsid w:val="65231C13"/>
    <w:rsid w:val="68944EA2"/>
    <w:rsid w:val="692757B4"/>
    <w:rsid w:val="6A38073E"/>
    <w:rsid w:val="6A436C48"/>
    <w:rsid w:val="6DBE53FE"/>
    <w:rsid w:val="6E4F6056"/>
    <w:rsid w:val="72121874"/>
    <w:rsid w:val="723F4D5F"/>
    <w:rsid w:val="755A5A0C"/>
    <w:rsid w:val="762E6A4A"/>
    <w:rsid w:val="7790738A"/>
    <w:rsid w:val="77B40075"/>
    <w:rsid w:val="77FF34D3"/>
    <w:rsid w:val="7A4D3D91"/>
    <w:rsid w:val="7C3017A4"/>
    <w:rsid w:val="7C743857"/>
    <w:rsid w:val="7D921A2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99"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qFormat="1"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iPriority="99"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qFormat="1"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unhideWhenUsed/>
    <w:qFormat/>
    <w:uiPriority w:val="0"/>
    <w:pPr>
      <w:widowControl w:val="0"/>
      <w:jc w:val="both"/>
    </w:pPr>
    <w:rPr>
      <w:rFonts w:hint="eastAsia" w:ascii="Calibri" w:hAnsi="Calibri" w:eastAsia="宋体" w:cs="Times New Roman"/>
      <w:kern w:val="2"/>
      <w:sz w:val="21"/>
      <w:lang w:val="en-US" w:eastAsia="zh-CN" w:bidi="ar-SA"/>
    </w:rPr>
  </w:style>
  <w:style w:type="character" w:default="1" w:styleId="9">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2">
    <w:name w:val="annotation text"/>
    <w:basedOn w:val="1"/>
    <w:link w:val="14"/>
    <w:qFormat/>
    <w:uiPriority w:val="99"/>
    <w:pPr>
      <w:jc w:val="left"/>
    </w:pPr>
  </w:style>
  <w:style w:type="paragraph" w:styleId="3">
    <w:name w:val="Balloon Text"/>
    <w:basedOn w:val="1"/>
    <w:link w:val="13"/>
    <w:qFormat/>
    <w:uiPriority w:val="0"/>
    <w:rPr>
      <w:sz w:val="18"/>
      <w:szCs w:val="18"/>
    </w:rPr>
  </w:style>
  <w:style w:type="paragraph" w:styleId="4">
    <w:name w:val="footer"/>
    <w:basedOn w:val="1"/>
    <w:link w:val="12"/>
    <w:qFormat/>
    <w:uiPriority w:val="0"/>
    <w:pPr>
      <w:tabs>
        <w:tab w:val="center" w:pos="4153"/>
        <w:tab w:val="right" w:pos="8306"/>
      </w:tabs>
      <w:snapToGrid w:val="0"/>
      <w:jc w:val="left"/>
    </w:pPr>
    <w:rPr>
      <w:sz w:val="18"/>
      <w:szCs w:val="18"/>
    </w:rPr>
  </w:style>
  <w:style w:type="paragraph" w:styleId="5">
    <w:name w:val="header"/>
    <w:basedOn w:val="1"/>
    <w:link w:val="11"/>
    <w:qFormat/>
    <w:uiPriority w:val="0"/>
    <w:pPr>
      <w:tabs>
        <w:tab w:val="center" w:pos="4153"/>
        <w:tab w:val="right" w:pos="8306"/>
      </w:tabs>
      <w:snapToGrid w:val="0"/>
      <w:jc w:val="center"/>
    </w:pPr>
    <w:rPr>
      <w:sz w:val="18"/>
      <w:szCs w:val="18"/>
    </w:rPr>
  </w:style>
  <w:style w:type="paragraph" w:styleId="6">
    <w:name w:val="HTML Preformatted"/>
    <w:basedOn w:val="1"/>
    <w:unhideWhenUsed/>
    <w:qFormat/>
    <w:uiPriority w:val="9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宋体" w:hAnsi="宋体"/>
      <w:sz w:val="24"/>
    </w:rPr>
  </w:style>
  <w:style w:type="paragraph" w:styleId="7">
    <w:name w:val="annotation subject"/>
    <w:basedOn w:val="2"/>
    <w:next w:val="2"/>
    <w:link w:val="15"/>
    <w:qFormat/>
    <w:uiPriority w:val="0"/>
    <w:rPr>
      <w:b/>
      <w:bCs/>
    </w:rPr>
  </w:style>
  <w:style w:type="character" w:styleId="10">
    <w:name w:val="annotation reference"/>
    <w:basedOn w:val="9"/>
    <w:qFormat/>
    <w:uiPriority w:val="0"/>
    <w:rPr>
      <w:sz w:val="21"/>
      <w:szCs w:val="21"/>
    </w:rPr>
  </w:style>
  <w:style w:type="character" w:customStyle="1" w:styleId="11">
    <w:name w:val="页眉 字符"/>
    <w:basedOn w:val="9"/>
    <w:link w:val="5"/>
    <w:qFormat/>
    <w:uiPriority w:val="0"/>
    <w:rPr>
      <w:rFonts w:ascii="Calibri" w:hAnsi="Calibri" w:eastAsia="宋体" w:cs="Times New Roman"/>
      <w:kern w:val="2"/>
      <w:sz w:val="18"/>
      <w:szCs w:val="18"/>
    </w:rPr>
  </w:style>
  <w:style w:type="character" w:customStyle="1" w:styleId="12">
    <w:name w:val="页脚 字符"/>
    <w:basedOn w:val="9"/>
    <w:link w:val="4"/>
    <w:qFormat/>
    <w:uiPriority w:val="0"/>
    <w:rPr>
      <w:rFonts w:ascii="Calibri" w:hAnsi="Calibri" w:eastAsia="宋体" w:cs="Times New Roman"/>
      <w:kern w:val="2"/>
      <w:sz w:val="18"/>
      <w:szCs w:val="18"/>
    </w:rPr>
  </w:style>
  <w:style w:type="character" w:customStyle="1" w:styleId="13">
    <w:name w:val="批注框文本 字符"/>
    <w:basedOn w:val="9"/>
    <w:link w:val="3"/>
    <w:qFormat/>
    <w:uiPriority w:val="0"/>
    <w:rPr>
      <w:rFonts w:ascii="Calibri" w:hAnsi="Calibri"/>
      <w:kern w:val="2"/>
      <w:sz w:val="18"/>
      <w:szCs w:val="18"/>
    </w:rPr>
  </w:style>
  <w:style w:type="character" w:customStyle="1" w:styleId="14">
    <w:name w:val="批注文字 字符"/>
    <w:basedOn w:val="9"/>
    <w:link w:val="2"/>
    <w:qFormat/>
    <w:uiPriority w:val="99"/>
    <w:rPr>
      <w:rFonts w:ascii="Calibri" w:hAnsi="Calibri"/>
      <w:kern w:val="2"/>
      <w:sz w:val="21"/>
    </w:rPr>
  </w:style>
  <w:style w:type="character" w:customStyle="1" w:styleId="15">
    <w:name w:val="批注主题 字符"/>
    <w:basedOn w:val="14"/>
    <w:link w:val="7"/>
    <w:qFormat/>
    <w:uiPriority w:val="0"/>
    <w:rPr>
      <w:rFonts w:ascii="Calibri" w:hAnsi="Calibri"/>
      <w:b/>
      <w:bCs/>
      <w:kern w:val="2"/>
      <w:sz w:val="21"/>
    </w:rPr>
  </w:style>
  <w:style w:type="paragraph" w:styleId="16">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3</Pages>
  <Words>2073</Words>
  <Characters>2108</Characters>
  <Lines>1</Lines>
  <Paragraphs>4</Paragraphs>
  <TotalTime>83</TotalTime>
  <ScaleCrop>false</ScaleCrop>
  <LinksUpToDate>false</LinksUpToDate>
  <CharactersWithSpaces>2108</CharactersWithSpaces>
  <Application>WPS Office_12.1.0.22483_F1E327BC-269C-435d-A152-05C5408002CA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2024-09-19T08:10:00Z</dcterms:created>
  <dc:creator>Yue LEI</dc:creator>
  <cp:lastModifiedBy>呼呼</cp:lastModifiedBy>
  <dcterms:modified xsi:type="dcterms:W3CDTF">2025-08-08T03:36:21Z</dcterms:modified>
  <cp:revision>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2052-12.1.0.22483</vt:lpwstr>
  </property>
  <property fmtid="{D5CDD505-2E9C-101B-9397-08002B2CF9AE}" pid="3" name="ICV">
    <vt:lpwstr>3531358461314B9DA94DAB57BBCFC1D1_13</vt:lpwstr>
  </property>
  <property fmtid="{D5CDD505-2E9C-101B-9397-08002B2CF9AE}" pid="4" name="KSOTemplateDocerSaveRecord">
    <vt:lpwstr>eyJoZGlkIjoiMDk3MjNmMzIxNjczYjdmMmI0NzEwZWM0YzZiZmRlODYiLCJ1c2VySWQiOiI0NjQ5ODc5MDcifQ==</vt:lpwstr>
  </property>
</Properties>
</file>