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88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atLeast"/>
          <w:jc w:val="center"/>
        </w:trPr>
        <w:tc>
          <w:tcPr>
            <w:tcW w:w="8844" w:type="dxa"/>
            <w:tcBorders>
              <w:top w:val="nil"/>
              <w:left w:val="nil"/>
              <w:bottom w:val="nil"/>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eastAsia" w:ascii="方正小标宋简体" w:hAnsi="Bookman Old Style" w:eastAsia="方正小标宋简体"/>
                <w:color w:val="FF0000"/>
                <w:spacing w:val="40"/>
                <w:w w:val="9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134" w:hRule="atLeast"/>
          <w:jc w:val="center"/>
        </w:trPr>
        <w:tc>
          <w:tcPr>
            <w:tcW w:w="8844" w:type="dxa"/>
            <w:tcBorders>
              <w:top w:val="nil"/>
              <w:left w:val="nil"/>
              <w:bottom w:val="nil"/>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eastAsia" w:ascii="方正小标宋简体" w:hAnsi="Bookman Old Style" w:eastAsia="方正小标宋简体"/>
                <w:color w:val="FF0000"/>
                <w:spacing w:val="40"/>
                <w:sz w:val="84"/>
                <w:szCs w:val="84"/>
              </w:rPr>
            </w:pPr>
            <w:r>
              <w:rPr>
                <w:rFonts w:hint="eastAsia" w:ascii="方正小标宋简体" w:hAnsi="Bookman Old Style" w:eastAsia="方正小标宋简体"/>
                <w:color w:val="FF0000"/>
                <w:spacing w:val="300"/>
                <w:kern w:val="0"/>
                <w:sz w:val="84"/>
                <w:szCs w:val="84"/>
              </w:rPr>
              <w:t>厦门大学文</w:t>
            </w:r>
            <w:r>
              <w:rPr>
                <w:rFonts w:hint="eastAsia" w:ascii="方正小标宋简体" w:hAnsi="Bookman Old Style" w:eastAsia="方正小标宋简体"/>
                <w:color w:val="FF0000"/>
                <w:kern w:val="0"/>
                <w:sz w:val="84"/>
                <w:szCs w:val="84"/>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jc w:val="center"/>
        </w:trPr>
        <w:tc>
          <w:tcPr>
            <w:tcW w:w="8844" w:type="dxa"/>
            <w:tcBorders>
              <w:top w:val="nil"/>
              <w:left w:val="nil"/>
              <w:bottom w:val="nil"/>
              <w:right w:val="nil"/>
            </w:tcBorders>
            <w:shd w:val="clear" w:color="auto" w:fill="auto"/>
            <w:vAlign w:val="bottom"/>
          </w:tcPr>
          <w:p>
            <w:pPr>
              <w:keepNext w:val="0"/>
              <w:keepLines w:val="0"/>
              <w:suppressLineNumbers w:val="0"/>
              <w:spacing w:before="0" w:beforeAutospacing="0" w:after="0" w:afterAutospacing="0" w:line="560" w:lineRule="exact"/>
              <w:ind w:left="0" w:right="0"/>
              <w:contextualSpacing/>
              <w:jc w:val="center"/>
              <w:rPr>
                <w:rFonts w:hint="eastAsia" w:ascii="仿宋" w:hAnsi="仿宋" w:eastAsia="仿宋"/>
                <w:b/>
                <w:color w:val="FF0000"/>
                <w:spacing w:val="50"/>
                <w:w w:val="90"/>
                <w:sz w:val="44"/>
                <w:lang w:eastAsia="zh-CN"/>
              </w:rPr>
            </w:pPr>
            <w:bookmarkStart w:id="0" w:name="docnum"/>
            <w:r>
              <w:rPr>
                <w:rFonts w:hint="default" w:ascii="Times New Roman" w:hAnsi="Times New Roman" w:eastAsia="仿宋"/>
                <w:sz w:val="32"/>
                <w:lang w:eastAsia="zh-CN"/>
              </w:rPr>
              <w:t>厦大教〔2024〕62号</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844" w:type="dxa"/>
            <w:tcBorders>
              <w:top w:val="nil"/>
              <w:left w:val="nil"/>
              <w:bottom w:val="nil"/>
              <w:right w:val="nil"/>
            </w:tcBorders>
            <w:shd w:val="clear" w:color="auto" w:fill="auto"/>
            <w:vAlign w:val="bottom"/>
          </w:tcPr>
          <w:p>
            <w:pPr>
              <w:keepNext w:val="0"/>
              <w:keepLines w:val="0"/>
              <w:suppressLineNumbers w:val="0"/>
              <w:snapToGrid w:val="0"/>
              <w:spacing w:before="0" w:beforeAutospacing="0" w:after="0" w:afterAutospacing="0" w:line="560" w:lineRule="exact"/>
              <w:ind w:left="0" w:right="0"/>
              <w:jc w:val="center"/>
              <w:rPr>
                <w:rFonts w:hint="eastAsia" w:ascii="仿宋" w:hAnsi="仿宋" w:eastAsia="仿宋"/>
                <w:szCs w:val="21"/>
              </w:rPr>
            </w:pPr>
            <w:bookmarkStart w:id="3" w:name="_GoBack"/>
            <w:r>
              <w:rPr>
                <w:rFonts w:hint="eastAsia" w:ascii="仿宋" w:hAnsi="仿宋" w:eastAsia="仿宋"/>
                <w:sz w:val="44"/>
                <w:szCs w:val="44"/>
              </w:rPr>
              <mc:AlternateContent>
                <mc:Choice Requires="wps">
                  <w:drawing>
                    <wp:anchor distT="0" distB="0" distL="114300" distR="114300" simplePos="0" relativeHeight="251660288" behindDoc="0" locked="0" layoutInCell="1" allowOverlap="1">
                      <wp:simplePos x="0" y="0"/>
                      <wp:positionH relativeFrom="column">
                        <wp:posOffset>-64770</wp:posOffset>
                      </wp:positionH>
                      <wp:positionV relativeFrom="paragraph">
                        <wp:posOffset>165100</wp:posOffset>
                      </wp:positionV>
                      <wp:extent cx="5615940" cy="0"/>
                      <wp:effectExtent l="12065" t="10160" r="10795" b="18415"/>
                      <wp:wrapNone/>
                      <wp:docPr id="2" name="AutoShape 1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19050">
                                <a:solidFill>
                                  <a:srgbClr val="FF0000"/>
                                </a:solidFill>
                                <a:round/>
                              </a:ln>
                            </wps:spPr>
                            <wps:bodyPr/>
                          </wps:wsp>
                        </a:graphicData>
                      </a:graphic>
                    </wp:anchor>
                  </w:drawing>
                </mc:Choice>
                <mc:Fallback>
                  <w:pict>
                    <v:shape id="AutoShape 12" o:spid="_x0000_s1026" o:spt="32" type="#_x0000_t32" style="position:absolute;left:0pt;margin-left:-5.1pt;margin-top:13pt;height:0pt;width:442.2pt;z-index:251660288;mso-width-relative:page;mso-height-relative:page;" filled="f" stroked="t" coordsize="21600,21600" o:gfxdata="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cOWMhNYAAAAJAQAADwAAAAAAAAABACAAAAA4&#10;AAAAZHJzL2Rvd25yZXYueG1sUEsBAhQAFAAAAAgAh07iQAn1Kta9AQAAZgMAAA4AAAAAAAAAAQAg&#10;AAAAOwEAAGRycy9lMm9Eb2MueG1sUEsFBgAAAAAGAAYAWQEAAGoFAAAAAA==&#10;">
                      <v:fill on="f" focussize="0,0"/>
                      <v:stroke weight="1.5pt" color="#FF0000" joinstyle="round"/>
                      <v:imagedata o:title=""/>
                      <o:lock v:ext="edit" aspectratio="f"/>
                    </v:shape>
                  </w:pict>
                </mc:Fallback>
              </mc:AlternateContent>
            </w:r>
            <w:bookmarkEnd w:id="3"/>
          </w:p>
        </w:tc>
      </w:tr>
    </w:tbl>
    <w:p>
      <w:pPr>
        <w:widowControl/>
        <w:adjustRightInd w:val="0"/>
        <w:spacing w:line="560" w:lineRule="exact"/>
        <w:contextualSpacing/>
        <w:rPr>
          <w:rFonts w:hint="default" w:ascii="Times New Roman" w:hAnsi="Times New Roman" w:eastAsia="仿宋"/>
          <w:sz w:val="32"/>
          <w:szCs w:val="30"/>
        </w:rPr>
      </w:pPr>
    </w:p>
    <w:p>
      <w:pPr>
        <w:spacing w:line="560" w:lineRule="exact"/>
        <w:jc w:val="center"/>
        <w:rPr>
          <w:rFonts w:hint="eastAsia" w:ascii="方正小标宋简体" w:hAnsi="方正小标宋简体" w:eastAsia="方正小标宋简体" w:cs="方正小标宋简体"/>
          <w:sz w:val="44"/>
          <w:szCs w:val="44"/>
          <w:lang w:bidi="ar"/>
        </w:rPr>
      </w:pPr>
      <w:bookmarkStart w:id="1" w:name="redhead"/>
      <w:r>
        <w:rPr>
          <w:rFonts w:hint="eastAsia" w:ascii="方正小标宋简体" w:hAnsi="方正小标宋简体" w:eastAsia="方正小标宋简体" w:cs="方正小标宋简体"/>
          <w:sz w:val="44"/>
          <w:szCs w:val="44"/>
          <w:lang w:bidi="ar"/>
        </w:rPr>
        <w:t>关于做好2025年推荐优秀应届本科</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bidi="ar"/>
        </w:rPr>
        <w:t>毕业生免试攻读研究生工作的通知</w:t>
      </w:r>
    </w:p>
    <w:p>
      <w:pPr>
        <w:spacing w:line="560" w:lineRule="exact"/>
        <w:rPr>
          <w:rFonts w:eastAsia="黑体"/>
          <w:sz w:val="44"/>
          <w:szCs w:val="44"/>
        </w:rPr>
      </w:pPr>
    </w:p>
    <w:p>
      <w:pPr>
        <w:spacing w:line="560" w:lineRule="exact"/>
        <w:rPr>
          <w:rFonts w:eastAsia="仿宋_GB2312"/>
          <w:sz w:val="32"/>
          <w:szCs w:val="32"/>
        </w:rPr>
      </w:pPr>
      <w:r>
        <w:rPr>
          <w:rFonts w:eastAsia="仿宋_GB2312"/>
          <w:sz w:val="32"/>
          <w:szCs w:val="32"/>
          <w:lang w:bidi="ar"/>
        </w:rPr>
        <w:t>各单位:</w:t>
      </w:r>
    </w:p>
    <w:p>
      <w:pPr>
        <w:spacing w:line="560" w:lineRule="exact"/>
        <w:ind w:firstLine="640" w:firstLineChars="200"/>
        <w:rPr>
          <w:rFonts w:eastAsia="仿宋_GB2312"/>
          <w:sz w:val="32"/>
          <w:szCs w:val="32"/>
        </w:rPr>
      </w:pPr>
      <w:r>
        <w:rPr>
          <w:rFonts w:eastAsia="仿宋_GB2312"/>
          <w:sz w:val="32"/>
          <w:szCs w:val="32"/>
          <w:lang w:bidi="ar"/>
        </w:rPr>
        <w:t>推荐优秀应届本科毕业生免试攻读研究生（以下简称推免），是国家选拔拔尖创新人才的一项重要措施，是促进学院提升教学质量，激励在校本科生勤奋学习、勇于创新、全面发展的有效手段。为做好2025年推免工作，根据教育部《全国普通高等学校推荐优秀应届本科毕业生免试攻读硕士学位研究生工作管理办法（试行）》《教育部办公厅关于进一步加强推荐优秀应届本科毕业生免试攻读研究生工作的通知》《教育部办公厅关于进一步完善推荐优秀应届本科毕业生免试攻读研究生工作办法的通知》《教育部办公厅关于进一步规范和加强推荐优秀应届本科毕业生免试攻读研究生工作的通知》《厦门大学推荐优秀应届本科毕业生免试攻读研究生工作实施办法》（以下简称实施办法）等文件精神，结合我校实际情况，现将我校2025年推免工作有关事宜通知如下。</w:t>
      </w:r>
    </w:p>
    <w:p>
      <w:pPr>
        <w:spacing w:line="560" w:lineRule="exact"/>
        <w:ind w:firstLine="640" w:firstLineChars="200"/>
        <w:rPr>
          <w:rFonts w:eastAsia="黑体"/>
          <w:sz w:val="32"/>
          <w:szCs w:val="32"/>
        </w:rPr>
      </w:pPr>
      <w:r>
        <w:rPr>
          <w:rFonts w:eastAsia="黑体"/>
          <w:sz w:val="32"/>
          <w:szCs w:val="32"/>
          <w:lang w:bidi="ar"/>
        </w:rPr>
        <w:t>一、推免工作总体要求</w:t>
      </w:r>
    </w:p>
    <w:p>
      <w:pPr>
        <w:spacing w:line="560" w:lineRule="exact"/>
        <w:ind w:firstLine="480" w:firstLineChars="150"/>
        <w:rPr>
          <w:rFonts w:eastAsia="仿宋_GB2312"/>
          <w:sz w:val="32"/>
          <w:szCs w:val="32"/>
          <w:lang w:bidi="ar"/>
        </w:rPr>
      </w:pPr>
      <w:r>
        <w:rPr>
          <w:rFonts w:eastAsia="仿宋_GB2312"/>
          <w:sz w:val="32"/>
          <w:szCs w:val="32"/>
          <w:lang w:bidi="ar"/>
        </w:rPr>
        <w:t>（一）推免要求。推免工作要以习近平新时代中国特色社会主义思想为指导，紧紧围绕立德树人根本任务，牢固树立质量意识，全力服务学校双一流建设和发展。坚持德智体美劳全面衡量，以德为先，把学生思想品德考核作为推免生遴选的重要内容。各学院应认真贯彻落实国家和学校的推免文件精神，根据学校的工作进度和要求开展工作。</w:t>
      </w:r>
    </w:p>
    <w:p>
      <w:pPr>
        <w:spacing w:line="560" w:lineRule="exact"/>
        <w:ind w:firstLine="566" w:firstLineChars="177"/>
        <w:rPr>
          <w:rFonts w:eastAsia="仿宋_GB2312"/>
          <w:sz w:val="32"/>
          <w:szCs w:val="32"/>
        </w:rPr>
      </w:pPr>
      <w:r>
        <w:rPr>
          <w:rFonts w:eastAsia="仿宋_GB2312"/>
          <w:sz w:val="32"/>
          <w:szCs w:val="32"/>
          <w:lang w:bidi="ar"/>
        </w:rPr>
        <w:t>为确保推免工作公平公正、平稳有序，各级参加推免的工作人员，应当坚守底线思维，与学校签署推免工作安全责任书（附件1）。安全责任书由学院专人保管，电子扫描件交学校推免工作领导小组办公室存档备案。为确保推免工作合法合规，各学院在报送推免名单时，应将名单在学院公示的情况，连同推免工作程序备案表（附件2）一并报送教务处。</w:t>
      </w:r>
    </w:p>
    <w:p>
      <w:pPr>
        <w:spacing w:line="560" w:lineRule="exact"/>
        <w:ind w:firstLine="480" w:firstLineChars="150"/>
        <w:rPr>
          <w:rFonts w:eastAsia="仿宋_GB2312"/>
          <w:sz w:val="32"/>
          <w:szCs w:val="32"/>
          <w:lang w:bidi="ar"/>
        </w:rPr>
      </w:pPr>
      <w:r>
        <w:rPr>
          <w:rFonts w:eastAsia="仿宋_GB2312"/>
          <w:sz w:val="32"/>
          <w:szCs w:val="32"/>
          <w:lang w:bidi="ar"/>
        </w:rPr>
        <w:t>（二）推免条件。各学院应将本科阶段学业综合成绩作为推免工作最基础的遴选指标</w:t>
      </w:r>
      <w:r>
        <w:rPr>
          <w:rFonts w:hint="eastAsia" w:eastAsia="仿宋_GB2312"/>
          <w:sz w:val="32"/>
          <w:szCs w:val="32"/>
          <w:lang w:bidi="ar"/>
        </w:rPr>
        <w:t>（附件3）</w:t>
      </w:r>
      <w:r>
        <w:rPr>
          <w:rFonts w:eastAsia="仿宋_GB2312"/>
          <w:sz w:val="32"/>
          <w:szCs w:val="32"/>
          <w:lang w:bidi="ar"/>
        </w:rPr>
        <w:t>，不得专门组织遴选推免生的考试（包括笔试、面试等），并严格按照《实施办法》第九条至第十三条规定执行。外语类专业学生，达到全国大学生英语四六级考试标准或通过本外语专业四级考试，视为外语条件达标。各学院在制定推免实施细则时，可结合本学院情况，对学生应当完成专业培养方案课程修读的情况作出明确规定。</w:t>
      </w:r>
    </w:p>
    <w:p>
      <w:pPr>
        <w:spacing w:line="560" w:lineRule="exact"/>
        <w:ind w:firstLine="566" w:firstLineChars="177"/>
        <w:rPr>
          <w:rFonts w:eastAsia="仿宋_GB2312"/>
          <w:sz w:val="32"/>
          <w:szCs w:val="32"/>
          <w:lang w:bidi="ar"/>
        </w:rPr>
      </w:pPr>
      <w:r>
        <w:rPr>
          <w:rFonts w:hint="eastAsia" w:eastAsia="仿宋_GB2312"/>
          <w:sz w:val="32"/>
          <w:szCs w:val="32"/>
          <w:lang w:bidi="ar"/>
        </w:rPr>
        <w:t>各单位不得为仅符合单一或部分遴选条件的学生（如</w:t>
      </w:r>
      <w:r>
        <w:rPr>
          <w:rFonts w:eastAsia="仿宋_GB2312"/>
          <w:sz w:val="32"/>
          <w:szCs w:val="32"/>
          <w:lang w:bidi="ar"/>
        </w:rPr>
        <w:t>特殊学术专长推免</w:t>
      </w:r>
      <w:r>
        <w:rPr>
          <w:rFonts w:hint="eastAsia" w:eastAsia="仿宋_GB2312"/>
          <w:sz w:val="32"/>
          <w:szCs w:val="32"/>
          <w:lang w:bidi="ar"/>
        </w:rPr>
        <w:t>）单列计划，不得擅自降低推免选拔标准</w:t>
      </w:r>
      <w:r>
        <w:rPr>
          <w:rFonts w:eastAsia="仿宋_GB2312"/>
          <w:sz w:val="32"/>
          <w:szCs w:val="32"/>
          <w:lang w:bidi="ar"/>
        </w:rPr>
        <w:t>。符合我校《实施办法》第十二条的学生，可于8月31日前向学院提出推免申请。学院结合学科特点，成立专家审核小组，对申请推免资格学生的科研创新成果、论文、竞赛获奖奖项及内容进行审核鉴定，排除抄袭、造假、冒名及有名无实等情况，并组织相关学生在一定范围内进行公开答辩。通过审核鉴定或答辩的学生特殊学术专长，在学院网站予以公示</w:t>
      </w:r>
      <w:r>
        <w:rPr>
          <w:rFonts w:hint="eastAsia" w:eastAsia="仿宋_GB2312"/>
          <w:sz w:val="32"/>
          <w:szCs w:val="32"/>
          <w:lang w:bidi="ar"/>
        </w:rPr>
        <w:t>，纳入学院</w:t>
      </w:r>
      <w:r>
        <w:rPr>
          <w:rFonts w:eastAsia="仿宋_GB2312"/>
          <w:sz w:val="32"/>
          <w:szCs w:val="32"/>
          <w:lang w:bidi="ar"/>
        </w:rPr>
        <w:t>推免遴选综合评价体系。未通过审核鉴定或答辩的，不得纳入</w:t>
      </w:r>
      <w:r>
        <w:rPr>
          <w:rFonts w:hint="eastAsia" w:eastAsia="仿宋_GB2312"/>
          <w:sz w:val="32"/>
          <w:szCs w:val="32"/>
          <w:lang w:bidi="ar"/>
        </w:rPr>
        <w:t>学院</w:t>
      </w:r>
      <w:r>
        <w:rPr>
          <w:rFonts w:eastAsia="仿宋_GB2312"/>
          <w:sz w:val="32"/>
          <w:szCs w:val="32"/>
          <w:lang w:bidi="ar"/>
        </w:rPr>
        <w:t>推免遴选综合评价体系。</w:t>
      </w:r>
    </w:p>
    <w:p>
      <w:pPr>
        <w:spacing w:line="560" w:lineRule="exact"/>
        <w:ind w:firstLine="480" w:firstLineChars="150"/>
        <w:rPr>
          <w:rFonts w:eastAsia="仿宋_GB2312"/>
          <w:sz w:val="32"/>
          <w:szCs w:val="32"/>
          <w:lang w:bidi="ar"/>
        </w:rPr>
      </w:pPr>
      <w:r>
        <w:rPr>
          <w:rFonts w:eastAsia="仿宋_GB2312"/>
          <w:sz w:val="32"/>
          <w:szCs w:val="32"/>
          <w:lang w:bidi="ar"/>
        </w:rPr>
        <w:t>（三）推免名额。推免名额分配原则按照《实施办法》第六条至第八条有关规定执行，待教育部下达年度总名额后，将另文下达各学院。为充分利用好学校的推免名额，已确定获得推免资格者，不允许放弃推免资格。各学院应加强对学生学业规划、填报志愿等方面的指导，加强对学生的诚信教育，引导学生珍惜推免资格。</w:t>
      </w:r>
      <w:r>
        <w:rPr>
          <w:rFonts w:hint="eastAsia" w:eastAsia="仿宋_GB2312"/>
          <w:sz w:val="32"/>
          <w:szCs w:val="32"/>
          <w:lang w:bidi="ar"/>
        </w:rPr>
        <w:t>此外，学生在确定被我校工程硕博士、集成电路及国优计划等专项录取后，在学期间应严格执行相关专项培养方案要求，完成规定的课程及培养环节，不允许中途退出项目。</w:t>
      </w:r>
      <w:r>
        <w:rPr>
          <w:rFonts w:eastAsia="仿宋_GB2312"/>
          <w:sz w:val="32"/>
          <w:szCs w:val="32"/>
          <w:lang w:bidi="ar"/>
        </w:rPr>
        <w:t>申请参加推免的学生应与学院签订推免诚信承诺书（附件4）并履行相关承诺。各学院在上报推免名单前，应与学生逐一确认推免意愿并收集推免诚信承诺书，交由学院专人存档备案。</w:t>
      </w:r>
    </w:p>
    <w:p>
      <w:pPr>
        <w:spacing w:line="560" w:lineRule="exact"/>
        <w:ind w:firstLine="480" w:firstLineChars="150"/>
        <w:rPr>
          <w:rFonts w:eastAsia="仿宋_GB2312"/>
          <w:sz w:val="32"/>
          <w:szCs w:val="32"/>
          <w:lang w:bidi="ar"/>
        </w:rPr>
      </w:pPr>
      <w:r>
        <w:rPr>
          <w:rFonts w:eastAsia="仿宋_GB2312"/>
          <w:sz w:val="32"/>
          <w:szCs w:val="32"/>
          <w:lang w:bidi="ar"/>
        </w:rPr>
        <w:t>（四</w:t>
      </w:r>
      <w:r>
        <w:rPr>
          <w:rFonts w:hint="eastAsia" w:eastAsia="仿宋_GB2312"/>
          <w:sz w:val="32"/>
          <w:szCs w:val="32"/>
          <w:lang w:bidi="ar"/>
        </w:rPr>
        <w:t>）</w:t>
      </w:r>
      <w:r>
        <w:rPr>
          <w:rFonts w:eastAsia="仿宋_GB2312"/>
          <w:sz w:val="32"/>
          <w:szCs w:val="32"/>
          <w:lang w:bidi="ar"/>
        </w:rPr>
        <w:t>支教团专项推免。2025年研究生支教团及相关专项的招募工作继续纳入全校统一的推免工作管理范畴。支教团从符合支教团推免条件的学生中招募。支教团考核、选拔工作由推免工作领导小组办公室负责协调，前期工作由校团委具体负责。所有参加支教申请的学生，应参加学院的综合排名，同时提交附件4和附件5。</w:t>
      </w:r>
    </w:p>
    <w:p>
      <w:pPr>
        <w:spacing w:line="560" w:lineRule="exact"/>
        <w:ind w:firstLine="480" w:firstLineChars="150"/>
        <w:rPr>
          <w:rFonts w:eastAsia="仿宋_GB2312"/>
          <w:sz w:val="32"/>
          <w:szCs w:val="32"/>
          <w:lang w:bidi="ar"/>
        </w:rPr>
      </w:pPr>
      <w:r>
        <w:rPr>
          <w:rFonts w:hint="eastAsia" w:eastAsia="仿宋_GB2312"/>
          <w:sz w:val="32"/>
          <w:szCs w:val="32"/>
          <w:lang w:bidi="ar"/>
        </w:rPr>
        <w:t>（五）工程硕博士推免。工程硕博士主要聚焦国家重大战略需求，培养具备较强工程技术创新创造能力，善于解决复杂工程技术难题，国际视野宽阔，扎根工程实践和生产一线的卓越工程师后备人才。主要面向物理</w:t>
      </w:r>
      <w:r>
        <w:rPr>
          <w:rFonts w:hint="default" w:eastAsia="仿宋_GB2312"/>
          <w:sz w:val="32"/>
          <w:szCs w:val="32"/>
          <w:lang w:bidi="ar"/>
        </w:rPr>
        <w:t>科学与技术</w:t>
      </w:r>
      <w:r>
        <w:rPr>
          <w:rFonts w:hint="eastAsia" w:eastAsia="仿宋_GB2312"/>
          <w:sz w:val="32"/>
          <w:szCs w:val="32"/>
          <w:lang w:bidi="ar"/>
        </w:rPr>
        <w:t>学院、电子科学与技术学院</w:t>
      </w:r>
      <w:r>
        <w:rPr>
          <w:rFonts w:hint="default" w:eastAsia="仿宋_GB2312"/>
          <w:sz w:val="32"/>
          <w:szCs w:val="32"/>
          <w:lang w:bidi="ar"/>
        </w:rPr>
        <w:t>（国家示范性微电子学院）</w:t>
      </w:r>
      <w:r>
        <w:rPr>
          <w:rFonts w:hint="eastAsia" w:eastAsia="仿宋_GB2312"/>
          <w:sz w:val="32"/>
          <w:szCs w:val="32"/>
          <w:lang w:bidi="ar"/>
        </w:rPr>
        <w:t>、化学化工学院、材料学院、信息学院、人工智能研究院、航空航天学院、能源学院等遴选硕士和直博生。遴选的基本条件是：除符合普通推免条件外，大学前三年成绩排在本专业前30%的要求。具体遴选条件如有变化，按当年中组部和教育部要求执行。</w:t>
      </w:r>
    </w:p>
    <w:p>
      <w:pPr>
        <w:spacing w:line="560" w:lineRule="exact"/>
        <w:ind w:firstLine="480" w:firstLineChars="150"/>
        <w:rPr>
          <w:rFonts w:hint="default" w:eastAsia="仿宋_GB2312"/>
          <w:sz w:val="32"/>
          <w:szCs w:val="32"/>
          <w:lang w:bidi="ar"/>
        </w:rPr>
      </w:pPr>
      <w:r>
        <w:rPr>
          <w:rFonts w:hint="eastAsia" w:eastAsia="仿宋_GB2312"/>
          <w:sz w:val="32"/>
          <w:szCs w:val="32"/>
          <w:lang w:bidi="ar"/>
        </w:rPr>
        <w:t>（六）</w:t>
      </w:r>
      <w:r>
        <w:rPr>
          <w:rFonts w:hint="default" w:eastAsia="仿宋_GB2312"/>
          <w:sz w:val="32"/>
          <w:szCs w:val="32"/>
          <w:lang w:bidi="ar"/>
        </w:rPr>
        <w:t>集成电路专班推免。集成电路专班主要培养一批掌握化合物半导体材料底层基础知识、材料生长表征以及器件研发技术等具有综合知识结构、宽广学术视野的交叉型人才。主要面向物理科学与技术学院、电子科学与技术学院（国家示范性微电子学院）、化学化工学院、材料学院等遴选硕士和直博生。遴选条件同普通推免条件。具体遴选条件如有变化，按当年教育部要求执行。</w:t>
      </w:r>
    </w:p>
    <w:p>
      <w:pPr>
        <w:spacing w:line="560" w:lineRule="exact"/>
        <w:ind w:firstLine="480" w:firstLineChars="150"/>
        <w:rPr>
          <w:rFonts w:eastAsia="仿宋_GB2312"/>
          <w:sz w:val="32"/>
          <w:szCs w:val="32"/>
          <w:lang w:bidi="ar"/>
        </w:rPr>
      </w:pPr>
      <w:r>
        <w:rPr>
          <w:rFonts w:hint="eastAsia" w:eastAsia="仿宋_GB2312"/>
          <w:sz w:val="32"/>
          <w:szCs w:val="32"/>
          <w:lang w:bidi="ar"/>
        </w:rPr>
        <w:t>（七）国优计划推免。国优计划主要培养研究生层次高素质的中小学科学类课程教师。入选计划的学生需在强化学科专业课程学习的同时，系统学习不少于 26 学分的教师教育模块课程。主要面向数学科学学院、物理</w:t>
      </w:r>
      <w:r>
        <w:rPr>
          <w:rFonts w:hint="default" w:eastAsia="仿宋_GB2312"/>
          <w:sz w:val="32"/>
          <w:szCs w:val="32"/>
          <w:lang w:bidi="ar"/>
        </w:rPr>
        <w:t>科学与技术</w:t>
      </w:r>
      <w:r>
        <w:rPr>
          <w:rFonts w:hint="eastAsia" w:eastAsia="仿宋_GB2312"/>
          <w:sz w:val="32"/>
          <w:szCs w:val="32"/>
          <w:lang w:bidi="ar"/>
        </w:rPr>
        <w:t>学院、化学化工学院、生命科学学院、材料学院等</w:t>
      </w:r>
      <w:r>
        <w:rPr>
          <w:rFonts w:hint="default" w:eastAsia="仿宋_GB2312"/>
          <w:sz w:val="32"/>
          <w:szCs w:val="32"/>
          <w:lang w:bidi="ar"/>
        </w:rPr>
        <w:t>遴选</w:t>
      </w:r>
      <w:r>
        <w:rPr>
          <w:rFonts w:hint="eastAsia" w:eastAsia="仿宋_GB2312"/>
          <w:sz w:val="32"/>
          <w:szCs w:val="32"/>
          <w:lang w:bidi="ar"/>
        </w:rPr>
        <w:t>硕士生。遴选条件同普通推免条件。具体遴选条件如有变化，按当年教育部要求执行。</w:t>
      </w:r>
    </w:p>
    <w:p>
      <w:pPr>
        <w:spacing w:line="560" w:lineRule="exact"/>
        <w:ind w:firstLine="640" w:firstLineChars="200"/>
        <w:rPr>
          <w:rFonts w:eastAsia="黑体"/>
          <w:sz w:val="32"/>
          <w:szCs w:val="32"/>
          <w:lang w:bidi="ar"/>
        </w:rPr>
      </w:pPr>
      <w:r>
        <w:rPr>
          <w:rFonts w:eastAsia="黑体"/>
          <w:sz w:val="32"/>
          <w:szCs w:val="32"/>
          <w:lang w:bidi="ar"/>
        </w:rPr>
        <w:t>二、推免工作进度安排</w:t>
      </w:r>
    </w:p>
    <w:p>
      <w:pPr>
        <w:spacing w:line="560" w:lineRule="exact"/>
        <w:ind w:firstLine="480" w:firstLineChars="150"/>
        <w:rPr>
          <w:rFonts w:eastAsia="仿宋_GB2312"/>
          <w:sz w:val="32"/>
          <w:szCs w:val="32"/>
        </w:rPr>
      </w:pPr>
      <w:r>
        <w:rPr>
          <w:rFonts w:eastAsia="仿宋_GB2312"/>
          <w:sz w:val="32"/>
          <w:szCs w:val="32"/>
          <w:lang w:bidi="ar"/>
        </w:rPr>
        <w:t>（一）成立学院推免工作小组。各学院应成立学院推免工作小组，召开学院推免工作小组会议，研究、制订2025年推免工作实施细则并向学生公示，认真组织实施本单位的推免工作。各学院在制定或修订推免工作实施细则时，可将学生在校期间参军入伍服兵役、参加志愿服务、到国际组织实习情况纳入推免遴选指标体系，综合评价学生的各方面表现。学业综合成绩排名统一采用学校学分绩点计算方法，考核综合成绩的组成及比例由学院制定实施细则时确定。请各学院将推免工作实施细则和学院推免工作小组名单（附件6，含电子版）于7月31日前提交教务处审核、备案。</w:t>
      </w:r>
    </w:p>
    <w:p>
      <w:pPr>
        <w:spacing w:line="560" w:lineRule="exact"/>
        <w:ind w:firstLine="480" w:firstLineChars="150"/>
        <w:rPr>
          <w:rFonts w:eastAsia="仿宋_GB2312"/>
          <w:sz w:val="32"/>
          <w:szCs w:val="32"/>
        </w:rPr>
      </w:pPr>
      <w:r>
        <w:rPr>
          <w:rFonts w:eastAsia="仿宋_GB2312"/>
          <w:sz w:val="32"/>
          <w:szCs w:val="32"/>
          <w:lang w:bidi="ar"/>
        </w:rPr>
        <w:t>（二）组织核算并报送学生排名。各学院按照本学院推免工作实施细则的要求，以专业（或专业方向）为单位对学生进行综合成绩排名，《学院2025年推免生工作成绩排名表》（附件7</w:t>
      </w:r>
      <w:r>
        <w:rPr>
          <w:rFonts w:hint="eastAsia" w:eastAsia="仿宋_GB2312"/>
          <w:sz w:val="32"/>
          <w:szCs w:val="32"/>
          <w:lang w:bidi="ar"/>
        </w:rPr>
        <w:t>，含电子版</w:t>
      </w:r>
      <w:r>
        <w:rPr>
          <w:rFonts w:eastAsia="仿宋_GB2312"/>
          <w:sz w:val="32"/>
          <w:szCs w:val="32"/>
          <w:lang w:bidi="ar"/>
        </w:rPr>
        <w:t>）经学院公示无异议后，由学院推免工作小组组长审核签字</w:t>
      </w:r>
      <w:r>
        <w:rPr>
          <w:rFonts w:hint="eastAsia" w:eastAsia="仿宋_GB2312"/>
          <w:sz w:val="32"/>
          <w:szCs w:val="32"/>
          <w:lang w:bidi="ar"/>
        </w:rPr>
        <w:t>加盖公章</w:t>
      </w:r>
      <w:r>
        <w:rPr>
          <w:rFonts w:eastAsia="仿宋_GB2312"/>
          <w:sz w:val="32"/>
          <w:szCs w:val="32"/>
          <w:lang w:bidi="ar"/>
        </w:rPr>
        <w:t>后于8月31日前报送教务处。</w:t>
      </w:r>
    </w:p>
    <w:p>
      <w:pPr>
        <w:spacing w:line="560" w:lineRule="exact"/>
        <w:ind w:firstLine="480" w:firstLineChars="150"/>
        <w:rPr>
          <w:rFonts w:eastAsia="仿宋_GB2312"/>
          <w:sz w:val="32"/>
          <w:szCs w:val="32"/>
        </w:rPr>
      </w:pPr>
      <w:r>
        <w:rPr>
          <w:rFonts w:eastAsia="仿宋_GB2312"/>
          <w:sz w:val="32"/>
          <w:szCs w:val="32"/>
          <w:lang w:bidi="ar"/>
        </w:rPr>
        <w:t>（三）学院报送推免名单。学校根据教育部下达的推免总名额，将名额分配至各学院（时间约为9月初，以教育部文件公布时间为准）。各学院根据申请者的综合排名对其进行资格确认，并依序确定推荐名单及候补名单。名单在学院公示期满无异议的，经学院推免工作小组组长审核签字</w:t>
      </w:r>
      <w:r>
        <w:rPr>
          <w:rFonts w:hint="eastAsia" w:eastAsia="仿宋_GB2312"/>
          <w:sz w:val="32"/>
          <w:szCs w:val="32"/>
          <w:lang w:bidi="ar"/>
        </w:rPr>
        <w:t>加盖公章</w:t>
      </w:r>
      <w:r>
        <w:rPr>
          <w:rFonts w:eastAsia="仿宋_GB2312"/>
          <w:sz w:val="32"/>
          <w:szCs w:val="32"/>
          <w:lang w:bidi="ar"/>
        </w:rPr>
        <w:t>后报送教务处（附件8</w:t>
      </w:r>
      <w:r>
        <w:rPr>
          <w:rFonts w:hint="eastAsia" w:eastAsia="仿宋_GB2312"/>
          <w:sz w:val="32"/>
          <w:szCs w:val="32"/>
          <w:lang w:bidi="ar"/>
        </w:rPr>
        <w:t>，含电子版</w:t>
      </w:r>
      <w:r>
        <w:rPr>
          <w:rFonts w:eastAsia="仿宋_GB2312"/>
          <w:sz w:val="32"/>
          <w:szCs w:val="32"/>
          <w:lang w:bidi="ar"/>
        </w:rPr>
        <w:t>）。各学院应于9月15日前完成推免生入围大名单（含候补名单）的综合排序、公示等环节，待推免名额下达后，根据名额依序向学校推荐。</w:t>
      </w:r>
    </w:p>
    <w:p>
      <w:pPr>
        <w:spacing w:line="560" w:lineRule="exact"/>
        <w:ind w:firstLine="480" w:firstLineChars="150"/>
        <w:rPr>
          <w:rFonts w:eastAsia="仿宋_GB2312"/>
          <w:sz w:val="32"/>
          <w:szCs w:val="32"/>
        </w:rPr>
      </w:pPr>
      <w:r>
        <w:rPr>
          <w:rFonts w:eastAsia="仿宋_GB2312"/>
          <w:sz w:val="32"/>
          <w:szCs w:val="32"/>
          <w:lang w:bidi="ar"/>
        </w:rPr>
        <w:t>（四）学校审定并上报推免生名单。学校推免工作领导小组对各学院报送的名单进行审定，并在教务处主页（jwc.xmu.edu.cn）进行公示。公示期满无异议或异议不成立的推免名单，由学校正式发文确认并报福建省教育考试院核准。推免名单上报教育部推免服务系统并获审核通过后，学生即具备推免资格。9月25日，推荐阶段工作全部结束。9月28日起，学生可以登录推免服务系统查询、确认推免资格，并填报志愿。推免工作如遇国家政策调整，以国家政策为准。</w:t>
      </w:r>
    </w:p>
    <w:p>
      <w:pPr>
        <w:spacing w:line="560" w:lineRule="exact"/>
        <w:ind w:firstLine="640" w:firstLineChars="200"/>
        <w:rPr>
          <w:rFonts w:eastAsia="仿宋_GB2312"/>
          <w:sz w:val="32"/>
          <w:szCs w:val="32"/>
        </w:rPr>
      </w:pPr>
      <w:r>
        <w:rPr>
          <w:rFonts w:eastAsia="仿宋_GB2312"/>
          <w:sz w:val="32"/>
          <w:szCs w:val="32"/>
          <w:lang w:bidi="ar"/>
        </w:rPr>
        <w:t>请各单位认真按照本通知各项要求，做好2025年推免工作。工作过程中如遇问题，请及时与</w:t>
      </w:r>
      <w:r>
        <w:rPr>
          <w:rFonts w:hint="eastAsia" w:eastAsia="仿宋_GB2312"/>
          <w:sz w:val="32"/>
          <w:szCs w:val="32"/>
          <w:lang w:bidi="ar"/>
        </w:rPr>
        <w:t>相关部门</w:t>
      </w:r>
      <w:r>
        <w:rPr>
          <w:rFonts w:eastAsia="仿宋_GB2312"/>
          <w:sz w:val="32"/>
          <w:szCs w:val="32"/>
          <w:lang w:bidi="ar"/>
        </w:rPr>
        <w:t>联系。</w:t>
      </w:r>
    </w:p>
    <w:p>
      <w:pPr>
        <w:spacing w:line="560" w:lineRule="exact"/>
        <w:ind w:firstLine="645"/>
        <w:rPr>
          <w:rFonts w:eastAsia="仿宋_GB2312"/>
          <w:sz w:val="32"/>
          <w:szCs w:val="32"/>
          <w:lang w:bidi="ar"/>
        </w:rPr>
      </w:pPr>
      <w:r>
        <w:rPr>
          <w:rFonts w:hint="eastAsia" w:eastAsia="仿宋_GB2312"/>
          <w:sz w:val="32"/>
          <w:szCs w:val="32"/>
          <w:lang w:bidi="ar"/>
        </w:rPr>
        <w:t>联系人：教务处游老师</w:t>
      </w:r>
    </w:p>
    <w:p>
      <w:pPr>
        <w:spacing w:line="560" w:lineRule="exact"/>
        <w:ind w:firstLine="645"/>
        <w:rPr>
          <w:rFonts w:eastAsia="仿宋_GB2312"/>
          <w:sz w:val="32"/>
          <w:szCs w:val="32"/>
          <w:lang w:bidi="ar"/>
        </w:rPr>
      </w:pPr>
      <w:r>
        <w:rPr>
          <w:rFonts w:hint="eastAsia" w:eastAsia="仿宋_GB2312"/>
          <w:sz w:val="32"/>
          <w:szCs w:val="32"/>
          <w:lang w:bidi="ar"/>
        </w:rPr>
        <w:t>联系电话：2</w:t>
      </w:r>
      <w:r>
        <w:rPr>
          <w:rFonts w:eastAsia="仿宋_GB2312"/>
          <w:sz w:val="32"/>
          <w:szCs w:val="32"/>
          <w:lang w:bidi="ar"/>
        </w:rPr>
        <w:t>189423</w:t>
      </w:r>
    </w:p>
    <w:p>
      <w:pPr>
        <w:spacing w:line="560" w:lineRule="exact"/>
        <w:ind w:firstLine="645"/>
        <w:rPr>
          <w:rFonts w:eastAsia="仿宋_GB2312"/>
          <w:sz w:val="32"/>
          <w:szCs w:val="32"/>
          <w:lang w:bidi="ar"/>
        </w:rPr>
      </w:pPr>
      <w:r>
        <w:rPr>
          <w:rFonts w:hint="eastAsia" w:eastAsia="仿宋_GB2312"/>
          <w:sz w:val="32"/>
          <w:szCs w:val="32"/>
          <w:lang w:bidi="ar"/>
        </w:rPr>
        <w:t>电子</w:t>
      </w:r>
      <w:r>
        <w:rPr>
          <w:rFonts w:eastAsia="仿宋_GB2312"/>
          <w:sz w:val="32"/>
          <w:szCs w:val="32"/>
          <w:lang w:bidi="ar"/>
        </w:rPr>
        <w:t>邮箱：</w:t>
      </w:r>
      <w:r>
        <w:rPr>
          <w:rFonts w:hint="eastAsia" w:eastAsia="仿宋_GB2312"/>
          <w:sz w:val="32"/>
          <w:szCs w:val="32"/>
          <w:lang w:bidi="ar"/>
        </w:rPr>
        <w:t>sophyyou</w:t>
      </w:r>
      <w:r>
        <w:rPr>
          <w:rFonts w:eastAsia="仿宋_GB2312"/>
          <w:sz w:val="32"/>
          <w:szCs w:val="32"/>
          <w:lang w:bidi="ar"/>
        </w:rPr>
        <w:t>@xmu.edu.cn</w:t>
      </w:r>
    </w:p>
    <w:p>
      <w:pPr>
        <w:spacing w:line="240" w:lineRule="auto"/>
        <w:ind w:firstLine="0"/>
        <w:rPr>
          <w:rFonts w:eastAsia="仿宋_GB2312"/>
          <w:sz w:val="32"/>
          <w:szCs w:val="32"/>
          <w:lang w:bidi="ar"/>
        </w:rPr>
      </w:pPr>
      <w:r>
        <w:rPr>
          <w:rFonts w:eastAsia="仿宋_GB2312"/>
          <w:sz w:val="32"/>
          <w:szCs w:val="32"/>
          <w:lang w:bidi="ar"/>
        </w:rPr>
        <w:br w:type="page"/>
      </w:r>
    </w:p>
    <w:p>
      <w:pPr>
        <w:spacing w:line="560" w:lineRule="exact"/>
        <w:ind w:firstLine="645" w:firstLineChars="0"/>
        <w:rPr>
          <w:rFonts w:eastAsia="仿宋_GB2312"/>
          <w:sz w:val="32"/>
          <w:szCs w:val="32"/>
          <w:lang w:bidi="ar"/>
        </w:rPr>
      </w:pPr>
      <w:r>
        <w:rPr>
          <w:rFonts w:eastAsia="仿宋_GB2312"/>
          <w:sz w:val="32"/>
          <w:szCs w:val="32"/>
          <w:lang w:bidi="ar"/>
        </w:rPr>
        <w:t>附件：1</w:t>
      </w:r>
      <w:r>
        <w:rPr>
          <w:rFonts w:hint="eastAsia" w:ascii="Times New Roman" w:hAnsi="Times New Roman" w:eastAsia="仿宋" w:cs="Times New Roman"/>
          <w:sz w:val="32"/>
          <w:szCs w:val="32"/>
          <w:lang w:val="en-US" w:eastAsia="zh-CN" w:bidi="ar"/>
        </w:rPr>
        <w:t>．</w:t>
      </w:r>
      <w:r>
        <w:rPr>
          <w:rFonts w:eastAsia="仿宋_GB2312"/>
          <w:sz w:val="32"/>
          <w:szCs w:val="32"/>
          <w:lang w:bidi="ar"/>
        </w:rPr>
        <w:t>厦门大学2025年推免工作人员安全责任书</w:t>
      </w:r>
    </w:p>
    <w:p>
      <w:pPr>
        <w:spacing w:line="560" w:lineRule="exact"/>
        <w:ind w:firstLine="640" w:firstLineChars="200"/>
        <w:rPr>
          <w:rFonts w:eastAsia="仿宋_GB2312"/>
          <w:sz w:val="32"/>
          <w:szCs w:val="32"/>
          <w:lang w:bidi="ar"/>
        </w:rPr>
      </w:pPr>
      <w:r>
        <w:rPr>
          <w:rFonts w:eastAsia="仿宋_GB2312"/>
          <w:sz w:val="32"/>
          <w:szCs w:val="32"/>
          <w:lang w:bidi="ar"/>
        </w:rPr>
        <w:t xml:space="preserve">      2</w:t>
      </w:r>
      <w:r>
        <w:rPr>
          <w:rFonts w:hint="eastAsia" w:ascii="Times New Roman" w:hAnsi="Times New Roman" w:eastAsia="仿宋" w:cs="Times New Roman"/>
          <w:sz w:val="32"/>
          <w:szCs w:val="32"/>
          <w:lang w:val="en-US" w:eastAsia="zh-CN" w:bidi="ar"/>
        </w:rPr>
        <w:t>．</w:t>
      </w:r>
      <w:r>
        <w:rPr>
          <w:rFonts w:eastAsia="仿宋_GB2312"/>
          <w:sz w:val="32"/>
          <w:szCs w:val="32"/>
          <w:lang w:bidi="ar"/>
        </w:rPr>
        <w:t>厦门大学2025年推免工作程序备案表</w:t>
      </w:r>
    </w:p>
    <w:p>
      <w:pPr>
        <w:spacing w:line="560" w:lineRule="exact"/>
        <w:ind w:firstLine="640" w:firstLineChars="200"/>
        <w:rPr>
          <w:rFonts w:eastAsia="仿宋_GB2312"/>
          <w:sz w:val="32"/>
          <w:szCs w:val="32"/>
          <w:lang w:bidi="ar"/>
        </w:rPr>
      </w:pPr>
      <w:r>
        <w:rPr>
          <w:rFonts w:eastAsia="仿宋_GB2312"/>
          <w:sz w:val="32"/>
          <w:szCs w:val="32"/>
          <w:lang w:bidi="ar"/>
        </w:rPr>
        <w:t xml:space="preserve">      3</w:t>
      </w:r>
      <w:r>
        <w:rPr>
          <w:rFonts w:hint="eastAsia" w:ascii="Times New Roman" w:hAnsi="Times New Roman" w:eastAsia="仿宋" w:cs="Times New Roman"/>
          <w:sz w:val="32"/>
          <w:szCs w:val="32"/>
          <w:lang w:val="en-US" w:eastAsia="zh-CN" w:bidi="ar"/>
        </w:rPr>
        <w:t>．</w:t>
      </w:r>
      <w:r>
        <w:rPr>
          <w:rFonts w:eastAsia="仿宋_GB2312"/>
          <w:sz w:val="32"/>
          <w:szCs w:val="32"/>
          <w:lang w:bidi="ar"/>
        </w:rPr>
        <w:t>厦门大学推免遴选学业综合成绩换算关系</w:t>
      </w:r>
      <w:r>
        <w:rPr>
          <w:rFonts w:hint="eastAsia" w:eastAsia="仿宋_GB2312"/>
          <w:sz w:val="32"/>
          <w:szCs w:val="32"/>
          <w:lang w:bidi="ar"/>
        </w:rPr>
        <w:t>表</w:t>
      </w:r>
    </w:p>
    <w:p>
      <w:pPr>
        <w:spacing w:line="560" w:lineRule="exact"/>
        <w:ind w:firstLine="640" w:firstLineChars="200"/>
        <w:rPr>
          <w:rFonts w:eastAsia="仿宋_GB2312"/>
          <w:sz w:val="32"/>
          <w:szCs w:val="32"/>
          <w:lang w:bidi="ar"/>
        </w:rPr>
      </w:pPr>
      <w:r>
        <w:rPr>
          <w:rFonts w:eastAsia="仿宋_GB2312"/>
          <w:sz w:val="32"/>
          <w:szCs w:val="32"/>
          <w:lang w:bidi="ar"/>
        </w:rPr>
        <w:t xml:space="preserve">      4</w:t>
      </w:r>
      <w:r>
        <w:rPr>
          <w:rFonts w:hint="eastAsia" w:ascii="Times New Roman" w:hAnsi="Times New Roman" w:eastAsia="仿宋" w:cs="Times New Roman"/>
          <w:sz w:val="32"/>
          <w:szCs w:val="32"/>
          <w:lang w:val="en-US" w:eastAsia="zh-CN" w:bidi="ar"/>
        </w:rPr>
        <w:t>．</w:t>
      </w:r>
      <w:r>
        <w:rPr>
          <w:rFonts w:eastAsia="仿宋_GB2312"/>
          <w:sz w:val="32"/>
          <w:szCs w:val="32"/>
          <w:lang w:bidi="ar"/>
        </w:rPr>
        <w:t>厦门大学2025年推荐免试攻读硕士研究生申请</w:t>
      </w:r>
    </w:p>
    <w:p>
      <w:pPr>
        <w:spacing w:line="560" w:lineRule="exact"/>
        <w:ind w:firstLine="2080" w:firstLineChars="650"/>
        <w:rPr>
          <w:rFonts w:eastAsia="仿宋_GB2312"/>
          <w:sz w:val="32"/>
          <w:szCs w:val="32"/>
        </w:rPr>
      </w:pPr>
      <w:r>
        <w:rPr>
          <w:rFonts w:eastAsia="仿宋_GB2312"/>
          <w:sz w:val="32"/>
          <w:szCs w:val="32"/>
          <w:lang w:bidi="ar"/>
        </w:rPr>
        <w:t>表暨诚信承诺书</w:t>
      </w:r>
    </w:p>
    <w:p>
      <w:pPr>
        <w:spacing w:line="560" w:lineRule="exact"/>
        <w:ind w:firstLine="640" w:firstLineChars="200"/>
        <w:rPr>
          <w:rFonts w:eastAsia="仿宋_GB2312"/>
          <w:sz w:val="32"/>
          <w:szCs w:val="32"/>
          <w:lang w:bidi="ar"/>
        </w:rPr>
      </w:pPr>
      <w:r>
        <w:rPr>
          <w:rFonts w:eastAsia="仿宋_GB2312"/>
          <w:sz w:val="32"/>
          <w:szCs w:val="32"/>
          <w:lang w:bidi="ar"/>
        </w:rPr>
        <w:t xml:space="preserve">      5</w:t>
      </w:r>
      <w:r>
        <w:rPr>
          <w:rFonts w:hint="eastAsia" w:ascii="Times New Roman" w:hAnsi="Times New Roman" w:eastAsia="仿宋" w:cs="Times New Roman"/>
          <w:sz w:val="32"/>
          <w:szCs w:val="32"/>
          <w:lang w:val="en-US" w:eastAsia="zh-CN" w:bidi="ar"/>
        </w:rPr>
        <w:t>．</w:t>
      </w:r>
      <w:r>
        <w:rPr>
          <w:rFonts w:eastAsia="仿宋_GB2312"/>
          <w:sz w:val="32"/>
          <w:szCs w:val="32"/>
          <w:lang w:bidi="ar"/>
        </w:rPr>
        <w:t>厦门大学第27届研究生支教团志愿者报名登记表</w:t>
      </w:r>
    </w:p>
    <w:p>
      <w:pPr>
        <w:spacing w:line="560" w:lineRule="exact"/>
        <w:ind w:firstLine="640" w:firstLineChars="200"/>
        <w:rPr>
          <w:rFonts w:eastAsia="仿宋_GB2312"/>
          <w:sz w:val="32"/>
          <w:szCs w:val="32"/>
          <w:lang w:bidi="ar"/>
        </w:rPr>
      </w:pPr>
      <w:r>
        <w:rPr>
          <w:rFonts w:eastAsia="仿宋_GB2312"/>
          <w:sz w:val="32"/>
          <w:szCs w:val="32"/>
          <w:lang w:bidi="ar"/>
        </w:rPr>
        <w:t xml:space="preserve">      6</w:t>
      </w:r>
      <w:r>
        <w:rPr>
          <w:rFonts w:hint="eastAsia" w:ascii="Times New Roman" w:hAnsi="Times New Roman" w:eastAsia="仿宋" w:cs="Times New Roman"/>
          <w:sz w:val="32"/>
          <w:szCs w:val="32"/>
          <w:lang w:val="en-US" w:eastAsia="zh-CN" w:bidi="ar"/>
        </w:rPr>
        <w:t>．</w:t>
      </w:r>
      <w:r>
        <w:rPr>
          <w:rFonts w:eastAsia="仿宋_GB2312"/>
          <w:sz w:val="32"/>
          <w:szCs w:val="32"/>
          <w:lang w:bidi="ar"/>
        </w:rPr>
        <w:t>学院2025年推免生工作小组名单</w:t>
      </w:r>
    </w:p>
    <w:p>
      <w:pPr>
        <w:spacing w:line="560" w:lineRule="exact"/>
        <w:ind w:firstLine="640" w:firstLineChars="200"/>
        <w:rPr>
          <w:rFonts w:eastAsia="仿宋_GB2312"/>
          <w:sz w:val="32"/>
          <w:szCs w:val="32"/>
        </w:rPr>
      </w:pPr>
      <w:r>
        <w:rPr>
          <w:rFonts w:eastAsia="仿宋_GB2312"/>
          <w:sz w:val="32"/>
          <w:szCs w:val="32"/>
          <w:lang w:bidi="ar"/>
        </w:rPr>
        <w:t xml:space="preserve">      7</w:t>
      </w:r>
      <w:r>
        <w:rPr>
          <w:rFonts w:hint="eastAsia" w:ascii="Times New Roman" w:hAnsi="Times New Roman" w:eastAsia="仿宋" w:cs="Times New Roman"/>
          <w:sz w:val="32"/>
          <w:szCs w:val="32"/>
          <w:lang w:val="en-US" w:eastAsia="zh-CN" w:bidi="ar"/>
        </w:rPr>
        <w:t>．</w:t>
      </w:r>
      <w:r>
        <w:rPr>
          <w:rFonts w:eastAsia="仿宋_GB2312"/>
          <w:sz w:val="32"/>
          <w:szCs w:val="32"/>
          <w:lang w:bidi="ar"/>
        </w:rPr>
        <w:t>学院2025年推免生工作成绩排名表</w:t>
      </w:r>
    </w:p>
    <w:p>
      <w:pPr>
        <w:spacing w:line="560" w:lineRule="exact"/>
        <w:ind w:firstLine="640" w:firstLineChars="200"/>
        <w:rPr>
          <w:rFonts w:eastAsia="仿宋_GB2312"/>
          <w:sz w:val="32"/>
          <w:szCs w:val="32"/>
        </w:rPr>
      </w:pPr>
      <w:r>
        <w:rPr>
          <w:rFonts w:eastAsia="仿宋_GB2312"/>
          <w:sz w:val="32"/>
          <w:szCs w:val="32"/>
          <w:lang w:bidi="ar"/>
        </w:rPr>
        <w:t xml:space="preserve">      8</w:t>
      </w:r>
      <w:r>
        <w:rPr>
          <w:rFonts w:hint="eastAsia" w:ascii="Times New Roman" w:hAnsi="Times New Roman" w:eastAsia="仿宋" w:cs="Times New Roman"/>
          <w:sz w:val="32"/>
          <w:szCs w:val="32"/>
          <w:lang w:val="en-US" w:eastAsia="zh-CN" w:bidi="ar"/>
        </w:rPr>
        <w:t>．</w:t>
      </w:r>
      <w:r>
        <w:rPr>
          <w:rFonts w:eastAsia="仿宋_GB2312"/>
          <w:sz w:val="32"/>
          <w:szCs w:val="32"/>
          <w:lang w:bidi="ar"/>
        </w:rPr>
        <w:t>厦门大学2025年推荐免试硕士研究生名单</w:t>
      </w:r>
    </w:p>
    <w:p>
      <w:pPr>
        <w:spacing w:line="560" w:lineRule="exact"/>
        <w:ind w:firstLine="0" w:firstLineChars="0"/>
        <w:rPr>
          <w:rFonts w:eastAsia="仿宋_GB2312"/>
          <w:sz w:val="32"/>
          <w:szCs w:val="32"/>
          <w:lang w:bidi="ar"/>
        </w:rPr>
      </w:pPr>
      <w:r>
        <w:rPr>
          <w:rFonts w:eastAsia="仿宋_GB2312"/>
          <w:sz w:val="32"/>
          <w:szCs w:val="32"/>
          <w:lang w:bidi="ar"/>
        </w:rPr>
        <w:t xml:space="preserve">    </w:t>
      </w:r>
    </w:p>
    <w:p>
      <w:pPr>
        <w:spacing w:line="560" w:lineRule="exact"/>
        <w:ind w:firstLine="0" w:firstLineChars="0"/>
        <w:rPr>
          <w:rFonts w:eastAsia="仿宋_GB2312"/>
          <w:sz w:val="32"/>
          <w:szCs w:val="32"/>
          <w:lang w:bidi="ar"/>
        </w:rPr>
      </w:pPr>
    </w:p>
    <w:p>
      <w:pPr>
        <w:spacing w:line="560" w:lineRule="exact"/>
        <w:ind w:firstLine="0" w:firstLineChars="0"/>
        <w:rPr>
          <w:rFonts w:eastAsia="仿宋_GB2312"/>
          <w:sz w:val="32"/>
          <w:szCs w:val="32"/>
          <w:lang w:bidi="ar"/>
        </w:rPr>
      </w:pPr>
    </w:p>
    <w:p>
      <w:pPr>
        <w:spacing w:line="560" w:lineRule="exact"/>
        <w:ind w:firstLine="5440" w:firstLineChars="1700"/>
        <w:rPr>
          <w:rFonts w:eastAsia="仿宋_GB2312"/>
          <w:sz w:val="32"/>
          <w:szCs w:val="32"/>
        </w:rPr>
      </w:pPr>
      <w:r>
        <w:rPr>
          <w:rFonts w:eastAsia="仿宋_GB2312"/>
          <w:sz w:val="32"/>
          <w:szCs w:val="32"/>
          <w:lang w:bidi="ar"/>
        </w:rPr>
        <w:t xml:space="preserve">    厦门大学</w:t>
      </w:r>
    </w:p>
    <w:p>
      <w:pPr>
        <w:spacing w:line="560" w:lineRule="exact"/>
        <w:ind w:firstLine="5440" w:firstLineChars="1700"/>
        <w:rPr>
          <w:rFonts w:eastAsia="仿宋_GB2312"/>
          <w:sz w:val="32"/>
          <w:szCs w:val="32"/>
        </w:rPr>
      </w:pPr>
      <w:r>
        <w:rPr>
          <w:rFonts w:eastAsia="仿宋_GB2312"/>
          <w:sz w:val="32"/>
          <w:szCs w:val="32"/>
          <w:lang w:bidi="ar"/>
        </w:rPr>
        <w:t>2024年7月</w:t>
      </w:r>
      <w:r>
        <w:rPr>
          <w:rFonts w:hint="eastAsia" w:eastAsia="仿宋_GB2312"/>
          <w:sz w:val="32"/>
          <w:szCs w:val="32"/>
          <w:lang w:bidi="ar"/>
        </w:rPr>
        <w:t>1</w:t>
      </w:r>
      <w:r>
        <w:rPr>
          <w:rFonts w:hint="default" w:eastAsia="仿宋_GB2312"/>
          <w:sz w:val="32"/>
          <w:szCs w:val="32"/>
          <w:lang w:bidi="ar"/>
        </w:rPr>
        <w:t>9</w:t>
      </w:r>
      <w:r>
        <w:rPr>
          <w:rFonts w:eastAsia="仿宋_GB2312"/>
          <w:sz w:val="32"/>
          <w:szCs w:val="32"/>
          <w:lang w:bidi="ar"/>
        </w:rPr>
        <w:t>日</w:t>
      </w:r>
    </w:p>
    <w:p>
      <w:pPr>
        <w:spacing w:line="560" w:lineRule="exact"/>
      </w:pPr>
    </w:p>
    <w:bookmarkEnd w:id="1"/>
    <w:p>
      <w:pPr>
        <w:widowControl/>
        <w:adjustRightInd w:val="0"/>
        <w:spacing w:line="560" w:lineRule="exact"/>
        <w:contextualSpacing/>
        <w:rPr>
          <w:rFonts w:hint="default" w:eastAsia="仿宋"/>
          <w:sz w:val="32"/>
          <w:szCs w:val="30"/>
        </w:rPr>
      </w:pPr>
      <w:r>
        <w:rPr>
          <w:rFonts w:hint="default" w:ascii="Times New Roman" w:hAnsi="Times New Roman" w:eastAsia="仿宋"/>
          <w:sz w:val="32"/>
          <w:szCs w:val="30"/>
        </w:rPr>
        <mc:AlternateContent>
          <mc:Choice Requires="wps">
            <w:drawing>
              <wp:anchor distT="0" distB="0" distL="114300" distR="114300" simplePos="0" relativeHeight="251659264" behindDoc="0" locked="0" layoutInCell="1" allowOverlap="1">
                <wp:simplePos x="0" y="0"/>
                <wp:positionH relativeFrom="margin">
                  <wp:posOffset>-1905</wp:posOffset>
                </wp:positionH>
                <wp:positionV relativeFrom="margin">
                  <wp:align>bottom</wp:align>
                </wp:positionV>
                <wp:extent cx="5615940" cy="504190"/>
                <wp:effectExtent l="0" t="2540" r="0" b="0"/>
                <wp:wrapSquare wrapText="bothSides"/>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615940" cy="504190"/>
                        </a:xfrm>
                        <a:prstGeom prst="rect">
                          <a:avLst/>
                        </a:prstGeom>
                        <a:solidFill>
                          <a:srgbClr val="FFFFFF"/>
                        </a:solidFill>
                        <a:ln>
                          <a:noFill/>
                        </a:ln>
                      </wps:spPr>
                      <wps:txbx>
                        <w:txbxContent>
                          <w:tbl>
                            <w:tblPr>
                              <w:tblStyle w:val="6"/>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2"/>
                              <w:gridCol w:w="4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4422" w:type="dxa"/>
                                  <w:tcBorders>
                                    <w:top w:val="single" w:color="auto" w:sz="12" w:space="0"/>
                                    <w:left w:val="nil"/>
                                    <w:bottom w:val="single" w:color="auto" w:sz="12" w:space="0"/>
                                    <w:right w:val="nil"/>
                                  </w:tcBorders>
                                  <w:vAlign w:val="center"/>
                                </w:tcPr>
                                <w:p>
                                  <w:pPr>
                                    <w:keepNext w:val="0"/>
                                    <w:keepLines w:val="0"/>
                                    <w:suppressLineNumbers w:val="0"/>
                                    <w:spacing w:before="0" w:beforeAutospacing="0" w:after="0" w:afterAutospacing="0"/>
                                    <w:ind w:left="210" w:leftChars="100" w:right="0"/>
                                    <w:rPr>
                                      <w:rFonts w:hint="eastAsia" w:ascii="仿宋" w:hAnsi="仿宋" w:eastAsia="仿宋"/>
                                      <w:sz w:val="28"/>
                                    </w:rPr>
                                  </w:pPr>
                                  <w:r>
                                    <w:rPr>
                                      <w:rFonts w:hint="eastAsia" w:ascii="仿宋" w:hAnsi="仿宋" w:eastAsia="仿宋"/>
                                      <w:sz w:val="28"/>
                                    </w:rPr>
                                    <w:t>厦门大学办公室</w:t>
                                  </w:r>
                                </w:p>
                              </w:tc>
                              <w:tc>
                                <w:tcPr>
                                  <w:tcW w:w="4422" w:type="dxa"/>
                                  <w:tcBorders>
                                    <w:top w:val="single" w:color="auto" w:sz="12" w:space="0"/>
                                    <w:left w:val="nil"/>
                                    <w:bottom w:val="single" w:color="auto" w:sz="12" w:space="0"/>
                                    <w:right w:val="nil"/>
                                  </w:tcBorders>
                                  <w:vAlign w:val="center"/>
                                </w:tcPr>
                                <w:p>
                                  <w:pPr>
                                    <w:keepNext w:val="0"/>
                                    <w:keepLines w:val="0"/>
                                    <w:suppressLineNumbers w:val="0"/>
                                    <w:spacing w:before="0" w:beforeAutospacing="0" w:after="0" w:afterAutospacing="0"/>
                                    <w:ind w:left="0" w:right="210" w:rightChars="100"/>
                                    <w:jc w:val="right"/>
                                    <w:rPr>
                                      <w:rFonts w:hint="eastAsia" w:ascii="仿宋" w:hAnsi="仿宋" w:eastAsia="仿宋"/>
                                      <w:sz w:val="28"/>
                                    </w:rPr>
                                  </w:pPr>
                                  <w:r>
                                    <w:rPr>
                                      <w:rFonts w:hint="eastAsia" w:ascii="仿宋" w:hAnsi="仿宋" w:eastAsia="仿宋"/>
                                      <w:sz w:val="28"/>
                                      <w:lang w:eastAsia="zh-CN"/>
                                    </w:rPr>
                                    <w:t>2024年7月19日</w:t>
                                  </w:r>
                                  <w:r>
                                    <w:rPr>
                                      <w:rFonts w:hint="eastAsia" w:ascii="仿宋" w:hAnsi="仿宋" w:eastAsia="仿宋"/>
                                      <w:sz w:val="28"/>
                                    </w:rPr>
                                    <w:t>印发</w:t>
                                  </w:r>
                                </w:p>
                              </w:tc>
                            </w:tr>
                          </w:tbl>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0.15pt;height:39.7pt;width:442.2pt;mso-position-horizontal-relative:margin;mso-position-vertical:bottom;mso-position-vertical-relative:margin;mso-wrap-distance-bottom:0pt;mso-wrap-distance-left:9pt;mso-wrap-distance-right:9pt;mso-wrap-distance-top:0pt;z-index:251659264;mso-width-relative:page;mso-height-relative:page;" fillcolor="#FFFFFF" filled="t" stroked="f" coordsize="21600,21600" o:gfxdata="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PVN37TU&#10;AAAABQEAAA8AAAAAAAAAAQAgAAAAOAAAAGRycy9kb3ducmV2LnhtbFBLAQIUABQAAAAIAIdO4kAp&#10;SavqDgIAAPADAAAOAAAAAAAAAAEAIAAAADkBAABkcnMvZTJvRG9jLnhtbFBLBQYAAAAABgAGAFkB&#10;AAC5BQAAAAA=&#10;">
                <v:fill on="t" focussize="0,0"/>
                <v:stroke on="f"/>
                <v:imagedata o:title=""/>
                <o:lock v:ext="edit" aspectratio="f"/>
                <v:textbox>
                  <w:txbxContent>
                    <w:tbl>
                      <w:tblPr>
                        <w:tblStyle w:val="6"/>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2"/>
                        <w:gridCol w:w="4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4422" w:type="dxa"/>
                            <w:tcBorders>
                              <w:top w:val="single" w:color="auto" w:sz="12" w:space="0"/>
                              <w:left w:val="nil"/>
                              <w:bottom w:val="single" w:color="auto" w:sz="12" w:space="0"/>
                              <w:right w:val="nil"/>
                            </w:tcBorders>
                            <w:vAlign w:val="center"/>
                          </w:tcPr>
                          <w:p>
                            <w:pPr>
                              <w:keepNext w:val="0"/>
                              <w:keepLines w:val="0"/>
                              <w:suppressLineNumbers w:val="0"/>
                              <w:spacing w:before="0" w:beforeAutospacing="0" w:after="0" w:afterAutospacing="0"/>
                              <w:ind w:left="210" w:leftChars="100" w:right="0"/>
                              <w:rPr>
                                <w:rFonts w:hint="eastAsia" w:ascii="仿宋" w:hAnsi="仿宋" w:eastAsia="仿宋"/>
                                <w:sz w:val="28"/>
                              </w:rPr>
                            </w:pPr>
                            <w:r>
                              <w:rPr>
                                <w:rFonts w:hint="eastAsia" w:ascii="仿宋" w:hAnsi="仿宋" w:eastAsia="仿宋"/>
                                <w:sz w:val="28"/>
                              </w:rPr>
                              <w:t>厦门大学办公室</w:t>
                            </w:r>
                          </w:p>
                        </w:tc>
                        <w:tc>
                          <w:tcPr>
                            <w:tcW w:w="4422" w:type="dxa"/>
                            <w:tcBorders>
                              <w:top w:val="single" w:color="auto" w:sz="12" w:space="0"/>
                              <w:left w:val="nil"/>
                              <w:bottom w:val="single" w:color="auto" w:sz="12" w:space="0"/>
                              <w:right w:val="nil"/>
                            </w:tcBorders>
                            <w:vAlign w:val="center"/>
                          </w:tcPr>
                          <w:p>
                            <w:pPr>
                              <w:keepNext w:val="0"/>
                              <w:keepLines w:val="0"/>
                              <w:suppressLineNumbers w:val="0"/>
                              <w:spacing w:before="0" w:beforeAutospacing="0" w:after="0" w:afterAutospacing="0"/>
                              <w:ind w:left="0" w:right="210" w:rightChars="100"/>
                              <w:jc w:val="right"/>
                              <w:rPr>
                                <w:rFonts w:hint="eastAsia" w:ascii="仿宋" w:hAnsi="仿宋" w:eastAsia="仿宋"/>
                                <w:sz w:val="28"/>
                              </w:rPr>
                            </w:pPr>
                            <w:r>
                              <w:rPr>
                                <w:rFonts w:hint="eastAsia" w:ascii="仿宋" w:hAnsi="仿宋" w:eastAsia="仿宋"/>
                                <w:sz w:val="28"/>
                                <w:lang w:eastAsia="zh-CN"/>
                              </w:rPr>
                              <w:t>2024年7月19日</w:t>
                            </w:r>
                            <w:r>
                              <w:rPr>
                                <w:rFonts w:hint="eastAsia" w:ascii="仿宋" w:hAnsi="仿宋" w:eastAsia="仿宋"/>
                                <w:sz w:val="28"/>
                              </w:rPr>
                              <w:t>印发</w:t>
                            </w:r>
                          </w:p>
                        </w:tc>
                      </w:tr>
                    </w:tbl>
                    <w:p/>
                  </w:txbxContent>
                </v:textbox>
                <w10:wrap type="square"/>
              </v:shape>
            </w:pict>
          </mc:Fallback>
        </mc:AlternateContent>
      </w:r>
      <w:bookmarkStart w:id="2" w:name="printdate"/>
      <w:bookmarkEnd w:id="2"/>
    </w:p>
    <w:sectPr>
      <w:footerReference r:id="rId5" w:type="first"/>
      <w:footerReference r:id="rId3" w:type="default"/>
      <w:footerReference r:id="rId4" w:type="even"/>
      <w:pgSz w:w="11906" w:h="16838"/>
      <w:pgMar w:top="2098" w:right="1474" w:bottom="1985" w:left="1588" w:header="851" w:footer="1418" w:gutter="0"/>
      <w:pgNumType w:fmt="numberInDash"/>
      <w:cols w:space="720" w:num="1"/>
      <w:titlePg/>
      <w:docGrid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7020304040A0204"/>
    <w:charset w:val="00"/>
    <w:family w:val="swiss"/>
    <w:pitch w:val="default"/>
    <w:sig w:usb0="E4000EFF" w:usb1="4000247B" w:usb2="00000001" w:usb3="00000000" w:csb0="200001B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Bookman Old Style">
    <w:panose1 w:val="02050604050505090204"/>
    <w:charset w:val="00"/>
    <w:family w:val="roman"/>
    <w:pitch w:val="default"/>
    <w:sig w:usb0="00000287" w:usb1="00000000" w:usb2="00000000" w:usb3="00000000" w:csb0="2000009F" w:csb1="DFD70000"/>
  </w:font>
  <w:font w:name="仿宋">
    <w:altName w:val="汉仪仿宋KW"/>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263" w:firstLineChars="94"/>
      <w:jc w:val="cente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2 -</w:t>
    </w:r>
    <w:r>
      <w:rPr>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38" w:rightChars="161" w:firstLine="263"/>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HorizontalSpacing w:val="158"/>
  <w:drawingGridVerticalSpacing w:val="57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A29"/>
    <w:rsid w:val="000467C3"/>
    <w:rsid w:val="00080366"/>
    <w:rsid w:val="000C6E1F"/>
    <w:rsid w:val="000F0D2C"/>
    <w:rsid w:val="00145F7D"/>
    <w:rsid w:val="00160912"/>
    <w:rsid w:val="0017734D"/>
    <w:rsid w:val="00197115"/>
    <w:rsid w:val="001E5722"/>
    <w:rsid w:val="002238BE"/>
    <w:rsid w:val="003047A7"/>
    <w:rsid w:val="00354708"/>
    <w:rsid w:val="00382834"/>
    <w:rsid w:val="00386AB5"/>
    <w:rsid w:val="003A1611"/>
    <w:rsid w:val="003F1A35"/>
    <w:rsid w:val="00403E2A"/>
    <w:rsid w:val="00442F85"/>
    <w:rsid w:val="00444306"/>
    <w:rsid w:val="00481AEB"/>
    <w:rsid w:val="004C7EBD"/>
    <w:rsid w:val="005013FE"/>
    <w:rsid w:val="00503381"/>
    <w:rsid w:val="00505F8A"/>
    <w:rsid w:val="005562A0"/>
    <w:rsid w:val="00590D60"/>
    <w:rsid w:val="005B3943"/>
    <w:rsid w:val="005F037E"/>
    <w:rsid w:val="0061542C"/>
    <w:rsid w:val="00627CAC"/>
    <w:rsid w:val="006324ED"/>
    <w:rsid w:val="00690681"/>
    <w:rsid w:val="006F11E3"/>
    <w:rsid w:val="007A60E7"/>
    <w:rsid w:val="007E2B94"/>
    <w:rsid w:val="007F277F"/>
    <w:rsid w:val="00802B0C"/>
    <w:rsid w:val="00814EBD"/>
    <w:rsid w:val="008544AC"/>
    <w:rsid w:val="008B41BF"/>
    <w:rsid w:val="008C3814"/>
    <w:rsid w:val="00933F11"/>
    <w:rsid w:val="00985C10"/>
    <w:rsid w:val="00A123B5"/>
    <w:rsid w:val="00A940C9"/>
    <w:rsid w:val="00AD33CC"/>
    <w:rsid w:val="00AD5FAC"/>
    <w:rsid w:val="00B05FCF"/>
    <w:rsid w:val="00B107B9"/>
    <w:rsid w:val="00B26066"/>
    <w:rsid w:val="00B3477D"/>
    <w:rsid w:val="00B3691E"/>
    <w:rsid w:val="00B80E45"/>
    <w:rsid w:val="00BD0FB5"/>
    <w:rsid w:val="00BE7F75"/>
    <w:rsid w:val="00C06335"/>
    <w:rsid w:val="00C670CC"/>
    <w:rsid w:val="00C9593F"/>
    <w:rsid w:val="00D15E3E"/>
    <w:rsid w:val="00D27654"/>
    <w:rsid w:val="00D6476F"/>
    <w:rsid w:val="00D71E26"/>
    <w:rsid w:val="00DC6112"/>
    <w:rsid w:val="00DE2114"/>
    <w:rsid w:val="00F1492E"/>
    <w:rsid w:val="00F17220"/>
    <w:rsid w:val="00F37843"/>
    <w:rsid w:val="00F41204"/>
    <w:rsid w:val="00F559B0"/>
    <w:rsid w:val="00F77A29"/>
    <w:rsid w:val="00FC3FDF"/>
    <w:rsid w:val="1FEEA367"/>
    <w:rsid w:val="24462839"/>
    <w:rsid w:val="27FF4B5C"/>
    <w:rsid w:val="2D560D6F"/>
    <w:rsid w:val="2FFB6CD2"/>
    <w:rsid w:val="3467BD18"/>
    <w:rsid w:val="34AF066E"/>
    <w:rsid w:val="538E9DBB"/>
    <w:rsid w:val="5EDE3437"/>
    <w:rsid w:val="5EFE3867"/>
    <w:rsid w:val="5F7FA335"/>
    <w:rsid w:val="67DB1C67"/>
    <w:rsid w:val="7BFF470A"/>
    <w:rsid w:val="7D3B00F3"/>
    <w:rsid w:val="7DFF2601"/>
    <w:rsid w:val="7F7F51DA"/>
    <w:rsid w:val="7FDE782E"/>
    <w:rsid w:val="84FF4D0B"/>
    <w:rsid w:val="87FF7D0D"/>
    <w:rsid w:val="8EBFD19F"/>
    <w:rsid w:val="9E6F0B97"/>
    <w:rsid w:val="BEFB7FD8"/>
    <w:rsid w:val="CFB7AC4B"/>
    <w:rsid w:val="D2564FFB"/>
    <w:rsid w:val="DBB5291D"/>
    <w:rsid w:val="DCFFD658"/>
    <w:rsid w:val="DDDFB0C4"/>
    <w:rsid w:val="DDE7E2F5"/>
    <w:rsid w:val="EFBBC5D7"/>
    <w:rsid w:val="EFFEEC68"/>
    <w:rsid w:val="F37344E2"/>
    <w:rsid w:val="F5F94ACB"/>
    <w:rsid w:val="FBFF1A8E"/>
    <w:rsid w:val="FC758F7F"/>
    <w:rsid w:val="FDB3C3D6"/>
    <w:rsid w:val="FFE7CE76"/>
    <w:rsid w:val="FFEF5BA1"/>
    <w:rsid w:val="FFF7A26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Layout w:type="fixed"/>
      <w:tblCellMar>
        <w:top w:w="0" w:type="dxa"/>
        <w:left w:w="108" w:type="dxa"/>
        <w:bottom w:w="0" w:type="dxa"/>
        <w:right w:w="108" w:type="dxa"/>
      </w:tblCellMar>
    </w:tblPr>
  </w:style>
  <w:style w:type="paragraph" w:styleId="2">
    <w:name w:val="annotation text"/>
    <w:basedOn w:val="1"/>
    <w:link w:val="17"/>
    <w:semiHidden/>
    <w:unhideWhenUsed/>
    <w:uiPriority w:val="99"/>
    <w:pPr>
      <w:jc w:val="left"/>
    </w:pPr>
  </w:style>
  <w:style w:type="paragraph" w:styleId="3">
    <w:name w:val="Balloon Text"/>
    <w:basedOn w:val="1"/>
    <w:link w:val="12"/>
    <w:semiHidden/>
    <w:unhideWhenUsed/>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kern w:val="0"/>
      <w:sz w:val="18"/>
      <w:szCs w:val="18"/>
      <w:lang w:val="zh-CN" w:eastAsia="zh-CN"/>
    </w:rPr>
  </w:style>
  <w:style w:type="paragraph" w:styleId="5">
    <w:name w:val="header"/>
    <w:basedOn w:val="1"/>
    <w:link w:val="14"/>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page number"/>
    <w:semiHidden/>
    <w:unhideWhenUsed/>
    <w:qFormat/>
    <w:uiPriority w:val="99"/>
  </w:style>
  <w:style w:type="character" w:styleId="10">
    <w:name w:val="annotation reference"/>
    <w:basedOn w:val="8"/>
    <w:semiHidden/>
    <w:unhideWhenUsed/>
    <w:uiPriority w:val="99"/>
    <w:rPr>
      <w:rFonts w:asciiTheme="minorHAnsi" w:hAnsiTheme="minorHAnsi" w:eastAsiaTheme="minorEastAsia" w:cstheme="minorBidi"/>
      <w:sz w:val="21"/>
      <w:szCs w:val="21"/>
    </w:rPr>
  </w:style>
  <w:style w:type="character" w:customStyle="1" w:styleId="11">
    <w:name w:val="页脚 Char"/>
    <w:link w:val="4"/>
    <w:uiPriority w:val="99"/>
    <w:rPr>
      <w:rFonts w:ascii="Times New Roman" w:hAnsi="Times New Roman" w:eastAsia="宋体" w:cs="Times New Roman"/>
      <w:kern w:val="0"/>
      <w:sz w:val="18"/>
      <w:szCs w:val="18"/>
      <w:lang w:val="zh-CN" w:eastAsia="zh-CN"/>
    </w:rPr>
  </w:style>
  <w:style w:type="character" w:customStyle="1" w:styleId="12">
    <w:name w:val="批注框文本 字符"/>
    <w:basedOn w:val="8"/>
    <w:link w:val="3"/>
    <w:semiHidden/>
    <w:uiPriority w:val="99"/>
    <w:rPr>
      <w:rFonts w:ascii="Times New Roman" w:hAnsi="Times New Roman"/>
      <w:kern w:val="2"/>
      <w:sz w:val="18"/>
      <w:szCs w:val="18"/>
    </w:rPr>
  </w:style>
  <w:style w:type="table" w:customStyle="1" w:styleId="13">
    <w:name w:val="Grid Table 1 Light"/>
    <w:basedOn w:val="6"/>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Layout w:type="fixed"/>
    </w:tblPr>
    <w:tblStylePr w:type="firstRow">
      <w:rPr>
        <w:b/>
        <w:bCs/>
      </w:rPr>
      <w:tcPr>
        <w:tcBorders>
          <w:bottom w:val="single" w:color="666666" w:sz="12" w:space="0"/>
        </w:tcBorders>
      </w:tcPr>
    </w:tblStylePr>
    <w:tblStylePr w:type="lastRow">
      <w:rPr>
        <w:b/>
        <w:bCs/>
      </w:rPr>
      <w:tcPr>
        <w:tcBorders>
          <w:top w:val="double" w:color="666666" w:sz="2" w:space="0"/>
        </w:tcBorders>
      </w:tcPr>
    </w:tblStylePr>
    <w:tblStylePr w:type="firstCol">
      <w:rPr>
        <w:b/>
        <w:bCs/>
      </w:rPr>
    </w:tblStylePr>
    <w:tblStylePr w:type="lastCol">
      <w:rPr>
        <w:b/>
        <w:bCs/>
      </w:rPr>
    </w:tblStylePr>
  </w:style>
  <w:style w:type="character" w:customStyle="1" w:styleId="14">
    <w:name w:val="页眉 字符"/>
    <w:basedOn w:val="8"/>
    <w:link w:val="5"/>
    <w:qFormat/>
    <w:uiPriority w:val="99"/>
    <w:rPr>
      <w:rFonts w:ascii="Times New Roman" w:hAnsi="Times New Roman"/>
      <w:kern w:val="2"/>
      <w:sz w:val="18"/>
      <w:szCs w:val="18"/>
    </w:rPr>
  </w:style>
  <w:style w:type="paragraph" w:styleId="15">
    <w:name w:val="List Paragraph"/>
    <w:basedOn w:val="1"/>
    <w:qFormat/>
    <w:uiPriority w:val="34"/>
    <w:pPr>
      <w:ind w:firstLine="420" w:firstLineChars="200"/>
    </w:pPr>
  </w:style>
  <w:style w:type="character" w:customStyle="1" w:styleId="16">
    <w:name w:val="页脚 字符"/>
    <w:basedOn w:val="8"/>
    <w:link w:val="4"/>
    <w:qFormat/>
    <w:uiPriority w:val="99"/>
    <w:rPr>
      <w:rFonts w:ascii="Times New Roman" w:hAnsi="Times New Roman" w:eastAsia="宋体" w:cs="Times New Roman"/>
      <w:sz w:val="18"/>
      <w:szCs w:val="18"/>
    </w:rPr>
  </w:style>
  <w:style w:type="character" w:customStyle="1" w:styleId="17">
    <w:name w:val="批注文字 字符"/>
    <w:basedOn w:val="8"/>
    <w:link w:val="2"/>
    <w:semiHidden/>
    <w:qFormat/>
    <w:uiPriority w:val="99"/>
    <w:rPr>
      <w:rFonts w:asciiTheme="minorHAnsi" w:hAnsiTheme="minorHAnsi" w:eastAsiaTheme="minorEastAsia" w:cstheme="minorBid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china</Company>
  <Pages>7</Pages>
  <Words>3167</Words>
  <Characters>3261</Characters>
  <Lines>23</Lines>
  <Paragraphs>6</Paragraphs>
  <TotalTime>0</TotalTime>
  <ScaleCrop>false</ScaleCrop>
  <LinksUpToDate>false</LinksUpToDate>
  <CharactersWithSpaces>3313</CharactersWithSpaces>
  <Application>WWO_wpscloud_20211124172602-ea798320c4</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2024-07-24T10:41:00Z</dcterms:created>
  <dc:creator>游文晖</dc:creator>
  <cp:lastModifiedBy>root</cp:lastModifiedBy>
  <cp:lastPrinted>2024-07-16T08:46:00Z</cp:lastPrinted>
  <dcterms:modified xsi:type="dcterms:W3CDTF">2024-07-19T16:49:09Z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