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4C8AA">
      <w:pPr>
        <w:widowControl/>
        <w:shd w:val="clear" w:color="auto" w:fill="FFFFFF"/>
        <w:spacing w:line="560" w:lineRule="exact"/>
        <w:ind w:left="-1" w:leftChars="-95" w:hanging="198" w:hangingChars="71"/>
        <w:jc w:val="left"/>
        <w:rPr>
          <w:rFonts w:hint="default" w:ascii="仿宋_GB2312" w:hAnsi="仿宋" w:eastAsia="仿宋_GB2312"/>
          <w:sz w:val="32"/>
          <w:szCs w:val="32"/>
          <w:lang w:val="en-US" w:eastAsia="zh-CN"/>
        </w:rPr>
      </w:pPr>
      <w:r>
        <w:rPr>
          <w:rFonts w:hint="eastAsia" w:ascii="仿宋_GB2312" w:hAnsi="仿宋" w:eastAsia="仿宋_GB2312"/>
          <w:sz w:val="28"/>
          <w:szCs w:val="28"/>
          <w:lang w:val="en-US" w:eastAsia="zh-CN"/>
        </w:rPr>
        <w:t>附件5</w:t>
      </w:r>
    </w:p>
    <w:p w14:paraId="44182290">
      <w:pPr>
        <w:spacing w:line="640" w:lineRule="exact"/>
        <w:jc w:val="center"/>
        <w:rPr>
          <w:rFonts w:hint="eastAsia" w:ascii="方正小标宋简体" w:hAnsi="宋体" w:eastAsia="方正小标宋简体" w:cs="Times New Roman"/>
          <w:sz w:val="32"/>
          <w:szCs w:val="18"/>
        </w:rPr>
      </w:pPr>
      <w:r>
        <w:rPr>
          <w:rFonts w:hint="eastAsia" w:ascii="方正小标宋简体" w:hAnsi="宋体" w:eastAsia="方正小标宋简体" w:cs="Times New Roman"/>
          <w:sz w:val="32"/>
          <w:szCs w:val="18"/>
        </w:rPr>
        <w:t>草地农业科技学院综合评价指标体系</w:t>
      </w:r>
    </w:p>
    <w:p w14:paraId="6A05CE41">
      <w:pPr>
        <w:tabs>
          <w:tab w:val="left" w:pos="851"/>
        </w:tabs>
        <w:spacing w:line="560" w:lineRule="exact"/>
        <w:ind w:firstLine="640" w:firstLineChars="200"/>
        <w:jc w:val="left"/>
        <w:rPr>
          <w:rFonts w:hint="eastAsia" w:ascii="黑体" w:hAnsi="黑体" w:eastAsia="黑体" w:cs="黑体"/>
          <w:b w:val="0"/>
          <w:bCs/>
          <w:sz w:val="32"/>
          <w:szCs w:val="32"/>
        </w:rPr>
      </w:pPr>
      <w:r>
        <w:rPr>
          <w:rFonts w:hint="eastAsia" w:ascii="黑体" w:hAnsi="黑体" w:eastAsia="黑体" w:cs="黑体"/>
          <w:b w:val="0"/>
          <w:bCs/>
          <w:sz w:val="32"/>
          <w:szCs w:val="32"/>
        </w:rPr>
        <w:t>一、科研成果参考分值</w:t>
      </w:r>
    </w:p>
    <w:p w14:paraId="7A82F53D">
      <w:pPr>
        <w:spacing w:line="560" w:lineRule="exact"/>
        <w:ind w:firstLine="646" w:firstLineChars="202"/>
        <w:jc w:val="left"/>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rPr>
        <w:t>1.该类成果是指学生本科阶段在各教学单位学术委员会或教学指导委员</w:t>
      </w:r>
      <w:r>
        <w:rPr>
          <w:rFonts w:hint="eastAsia" w:ascii="仿宋_GB2312" w:hAnsi="仿宋_GB2312" w:eastAsia="仿宋_GB2312" w:cs="仿宋_GB2312"/>
          <w:sz w:val="32"/>
          <w:szCs w:val="32"/>
          <w:highlight w:val="none"/>
        </w:rPr>
        <w:t>会认定的期刊发表的与</w:t>
      </w:r>
      <w:r>
        <w:rPr>
          <w:rFonts w:hint="eastAsia" w:ascii="仿宋_GB2312" w:hAnsi="仿宋_GB2312" w:eastAsia="仿宋_GB2312" w:cs="仿宋_GB2312"/>
          <w:sz w:val="32"/>
          <w:szCs w:val="32"/>
          <w:highlight w:val="none"/>
          <w:lang w:val="en-US" w:eastAsia="zh-CN"/>
        </w:rPr>
        <w:t>学科专业</w:t>
      </w:r>
      <w:r>
        <w:rPr>
          <w:rFonts w:hint="eastAsia" w:ascii="仿宋_GB2312" w:hAnsi="仿宋_GB2312" w:eastAsia="仿宋_GB2312" w:cs="仿宋_GB2312"/>
          <w:sz w:val="32"/>
          <w:szCs w:val="32"/>
          <w:highlight w:val="none"/>
        </w:rPr>
        <w:t>相关的科研论文，以及取得授权的专利成果。论文分级标准参考学院认定的一流期刊和国内优秀期刊目录；专利类成果须提供国家知识产权局颁发的发明专利授权证书及专利号，方可予以认定。</w:t>
      </w:r>
      <w:r>
        <w:rPr>
          <w:rFonts w:hint="eastAsia" w:ascii="仿宋_GB2312" w:hAnsi="仿宋_GB2312" w:eastAsia="仿宋_GB2312" w:cs="仿宋_GB2312"/>
          <w:kern w:val="2"/>
          <w:sz w:val="32"/>
          <w:szCs w:val="32"/>
          <w:highlight w:val="none"/>
          <w:lang w:val="en-US" w:eastAsia="zh-CN"/>
        </w:rPr>
        <w:t>专利类由</w:t>
      </w:r>
      <w:r>
        <w:rPr>
          <w:rFonts w:hint="eastAsia" w:ascii="仿宋_GB2312" w:hAnsi="仿宋_GB2312" w:eastAsia="仿宋_GB2312" w:cs="仿宋_GB2312"/>
          <w:kern w:val="2"/>
          <w:sz w:val="32"/>
          <w:szCs w:val="32"/>
          <w:highlight w:val="none"/>
        </w:rPr>
        <w:t>导师为第一作者、本人为第二作者</w:t>
      </w:r>
      <w:r>
        <w:rPr>
          <w:rFonts w:hint="eastAsia" w:ascii="仿宋_GB2312" w:hAnsi="仿宋_GB2312" w:eastAsia="仿宋_GB2312" w:cs="仿宋_GB2312"/>
          <w:kern w:val="0"/>
          <w:sz w:val="32"/>
          <w:szCs w:val="32"/>
          <w:highlight w:val="none"/>
        </w:rPr>
        <w:t>取得国家知识产权局授权的发明专利</w:t>
      </w:r>
      <w:r>
        <w:rPr>
          <w:rFonts w:hint="eastAsia" w:ascii="仿宋_GB2312" w:hAnsi="仿宋_GB2312" w:eastAsia="仿宋_GB2312" w:cs="仿宋_GB2312"/>
          <w:kern w:val="2"/>
          <w:sz w:val="32"/>
          <w:szCs w:val="32"/>
          <w:highlight w:val="none"/>
          <w:lang w:val="en-US" w:eastAsia="zh-CN"/>
        </w:rPr>
        <w:t>30分</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2"/>
          <w:sz w:val="32"/>
          <w:szCs w:val="32"/>
          <w:highlight w:val="none"/>
          <w:lang w:val="en-US" w:eastAsia="zh-CN"/>
        </w:rPr>
        <w:t>分值根据排名</w:t>
      </w:r>
      <w:r>
        <w:rPr>
          <w:rFonts w:hint="eastAsia" w:ascii="仿宋_GB2312" w:hAnsi="仿宋_GB2312" w:eastAsia="仿宋_GB2312" w:cs="仿宋_GB2312"/>
          <w:kern w:val="0"/>
          <w:sz w:val="32"/>
          <w:szCs w:val="32"/>
          <w:highlight w:val="none"/>
          <w:lang w:val="en-US" w:eastAsia="zh-CN"/>
        </w:rPr>
        <w:t>位次从50%依次递减。</w:t>
      </w:r>
    </w:p>
    <w:p w14:paraId="73405C45">
      <w:pPr>
        <w:spacing w:line="560" w:lineRule="exact"/>
        <w:ind w:firstLine="646" w:firstLineChars="202"/>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2.以学术专长申请推免资格的学生，</w:t>
      </w:r>
      <w:r>
        <w:rPr>
          <w:rFonts w:hint="eastAsia" w:ascii="仿宋_GB2312" w:hAnsi="仿宋_GB2312" w:eastAsia="仿宋_GB2312" w:cs="仿宋_GB2312"/>
          <w:sz w:val="32"/>
          <w:szCs w:val="32"/>
          <w:highlight w:val="none"/>
          <w:lang w:val="en-US" w:eastAsia="zh-CN"/>
        </w:rPr>
        <w:t>论文类</w:t>
      </w:r>
      <w:r>
        <w:rPr>
          <w:rFonts w:hint="eastAsia" w:ascii="仿宋_GB2312" w:hAnsi="仿宋_GB2312" w:eastAsia="仿宋_GB2312" w:cs="仿宋_GB2312"/>
          <w:sz w:val="32"/>
          <w:szCs w:val="32"/>
          <w:highlight w:val="none"/>
        </w:rPr>
        <w:t>仅限学生</w:t>
      </w:r>
      <w:r>
        <w:rPr>
          <w:rFonts w:hint="eastAsia" w:ascii="仿宋_GB2312" w:hAnsi="仿宋_GB2312" w:eastAsia="仿宋_GB2312" w:cs="仿宋_GB2312"/>
          <w:kern w:val="0"/>
          <w:sz w:val="32"/>
          <w:szCs w:val="32"/>
          <w:highlight w:val="none"/>
        </w:rPr>
        <w:t>本科阶段在核心期刊</w:t>
      </w:r>
      <w:r>
        <w:rPr>
          <w:rFonts w:hint="eastAsia" w:ascii="仿宋_GB2312" w:hAnsi="仿宋_GB2312" w:eastAsia="仿宋_GB2312" w:cs="仿宋_GB2312"/>
          <w:sz w:val="32"/>
          <w:szCs w:val="32"/>
          <w:highlight w:val="none"/>
        </w:rPr>
        <w:t>（该核心期刊由各教学单位学术委员会或教学指导委员会认定）</w:t>
      </w:r>
      <w:r>
        <w:rPr>
          <w:rFonts w:hint="eastAsia" w:ascii="仿宋_GB2312" w:hAnsi="仿宋_GB2312" w:eastAsia="仿宋_GB2312" w:cs="仿宋_GB2312"/>
          <w:kern w:val="0"/>
          <w:sz w:val="32"/>
          <w:szCs w:val="32"/>
          <w:highlight w:val="none"/>
        </w:rPr>
        <w:t>上以独立作者或第一作者发表（含导师为第一作者、本人为第二作者；或本人为通讯作者）的与</w:t>
      </w:r>
      <w:r>
        <w:rPr>
          <w:rFonts w:hint="eastAsia" w:ascii="仿宋_GB2312" w:hAnsi="仿宋_GB2312" w:eastAsia="仿宋_GB2312" w:cs="仿宋_GB2312"/>
          <w:sz w:val="32"/>
          <w:szCs w:val="32"/>
          <w:highlight w:val="none"/>
          <w:lang w:val="en-US" w:eastAsia="zh-CN"/>
        </w:rPr>
        <w:t>学科专业</w:t>
      </w:r>
      <w:r>
        <w:rPr>
          <w:rFonts w:hint="eastAsia" w:ascii="仿宋_GB2312" w:hAnsi="仿宋_GB2312" w:eastAsia="仿宋_GB2312" w:cs="仿宋_GB2312"/>
          <w:kern w:val="0"/>
          <w:sz w:val="32"/>
          <w:szCs w:val="32"/>
          <w:highlight w:val="none"/>
        </w:rPr>
        <w:t>相关的科研论文。</w:t>
      </w:r>
      <w:r>
        <w:rPr>
          <w:rFonts w:hint="eastAsia" w:ascii="仿宋_GB2312" w:hAnsi="仿宋_GB2312" w:eastAsia="仿宋_GB2312" w:cs="仿宋_GB2312"/>
          <w:kern w:val="2"/>
          <w:sz w:val="32"/>
          <w:szCs w:val="32"/>
          <w:highlight w:val="none"/>
          <w:lang w:val="en-US" w:eastAsia="zh-CN"/>
        </w:rPr>
        <w:t>专利类由</w:t>
      </w:r>
      <w:r>
        <w:rPr>
          <w:rFonts w:hint="eastAsia" w:ascii="仿宋_GB2312" w:hAnsi="仿宋_GB2312" w:eastAsia="仿宋_GB2312" w:cs="仿宋_GB2312"/>
          <w:kern w:val="2"/>
          <w:sz w:val="32"/>
          <w:szCs w:val="32"/>
          <w:highlight w:val="none"/>
        </w:rPr>
        <w:t>导师为第一作者、本人为第二作者</w:t>
      </w:r>
      <w:r>
        <w:rPr>
          <w:rFonts w:hint="eastAsia" w:ascii="仿宋_GB2312" w:hAnsi="仿宋_GB2312" w:eastAsia="仿宋_GB2312" w:cs="仿宋_GB2312"/>
          <w:kern w:val="0"/>
          <w:sz w:val="32"/>
          <w:szCs w:val="32"/>
          <w:highlight w:val="none"/>
        </w:rPr>
        <w:t>取得国家知识产权局授权的发明专利</w:t>
      </w:r>
      <w:r>
        <w:rPr>
          <w:rFonts w:hint="eastAsia" w:ascii="仿宋_GB2312" w:hAnsi="仿宋_GB2312" w:eastAsia="仿宋_GB2312" w:cs="仿宋_GB2312"/>
          <w:kern w:val="2"/>
          <w:sz w:val="32"/>
          <w:szCs w:val="32"/>
          <w:highlight w:val="none"/>
          <w:lang w:val="en-US" w:eastAsia="zh-CN"/>
        </w:rPr>
        <w:t>30分</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2"/>
          <w:sz w:val="32"/>
          <w:szCs w:val="32"/>
          <w:highlight w:val="none"/>
          <w:lang w:val="en-US" w:eastAsia="zh-CN"/>
        </w:rPr>
        <w:t>分值根据排名</w:t>
      </w:r>
      <w:r>
        <w:rPr>
          <w:rFonts w:hint="eastAsia" w:ascii="仿宋_GB2312" w:hAnsi="仿宋_GB2312" w:eastAsia="仿宋_GB2312" w:cs="仿宋_GB2312"/>
          <w:kern w:val="0"/>
          <w:sz w:val="32"/>
          <w:szCs w:val="32"/>
          <w:highlight w:val="none"/>
          <w:lang w:val="en-US" w:eastAsia="zh-CN"/>
        </w:rPr>
        <w:t>位次从50%依次递减。</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9"/>
        <w:gridCol w:w="3573"/>
        <w:gridCol w:w="1610"/>
      </w:tblGrid>
      <w:tr w14:paraId="3AC2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noWrap w:val="0"/>
            <w:vAlign w:val="center"/>
          </w:tcPr>
          <w:p w14:paraId="03355440">
            <w:pPr>
              <w:spacing w:line="276" w:lineRule="auto"/>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作者情况</w:t>
            </w:r>
          </w:p>
        </w:tc>
        <w:tc>
          <w:tcPr>
            <w:tcW w:w="3644" w:type="dxa"/>
            <w:noWrap w:val="0"/>
            <w:vAlign w:val="center"/>
          </w:tcPr>
          <w:p w14:paraId="1579F6DE">
            <w:pPr>
              <w:spacing w:line="276" w:lineRule="auto"/>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期刊类别</w:t>
            </w:r>
          </w:p>
        </w:tc>
        <w:tc>
          <w:tcPr>
            <w:tcW w:w="1635" w:type="dxa"/>
            <w:noWrap w:val="0"/>
            <w:vAlign w:val="center"/>
          </w:tcPr>
          <w:p w14:paraId="31CFC7B3">
            <w:pPr>
              <w:spacing w:line="276" w:lineRule="auto"/>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分值</w:t>
            </w:r>
          </w:p>
        </w:tc>
      </w:tr>
      <w:tr w14:paraId="13FF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3402" w:type="dxa"/>
            <w:vMerge w:val="restart"/>
            <w:noWrap w:val="0"/>
            <w:vAlign w:val="center"/>
          </w:tcPr>
          <w:p w14:paraId="7BA444E9">
            <w:pPr>
              <w:spacing w:line="276" w:lineRule="auto"/>
              <w:jc w:val="left"/>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独立作者或第一作者发表（含导师为第一作者、本人为第二作者；或本人为通讯作者）</w:t>
            </w:r>
            <w:r>
              <w:rPr>
                <w:rFonts w:hint="eastAsia" w:ascii="仿宋_GB2312" w:hAnsi="仿宋_GB2312" w:eastAsia="仿宋_GB2312" w:cs="仿宋_GB2312"/>
                <w:kern w:val="0"/>
                <w:sz w:val="21"/>
                <w:szCs w:val="21"/>
                <w:lang w:val="en-US" w:eastAsia="zh-CN"/>
              </w:rPr>
              <w:t xml:space="preserve"> </w:t>
            </w:r>
          </w:p>
        </w:tc>
        <w:tc>
          <w:tcPr>
            <w:tcW w:w="3644" w:type="dxa"/>
            <w:noWrap w:val="0"/>
            <w:vAlign w:val="center"/>
          </w:tcPr>
          <w:p w14:paraId="3BD12784">
            <w:pPr>
              <w:spacing w:line="276" w:lineRule="auto"/>
              <w:jc w:val="left"/>
              <w:rPr>
                <w:rFonts w:hint="eastAsia" w:ascii="仿宋_GB2312" w:hAnsi="仿宋_GB2312" w:eastAsia="仿宋_GB2312" w:cs="仿宋_GB2312"/>
                <w:sz w:val="21"/>
                <w:szCs w:val="21"/>
              </w:rPr>
            </w:pPr>
            <w:r>
              <w:rPr>
                <w:rFonts w:hint="eastAsia" w:ascii="仿宋_GB2312" w:hAnsi="仿宋_GB2312" w:eastAsia="仿宋_GB2312" w:cs="仿宋_GB2312"/>
                <w:szCs w:val="21"/>
              </w:rPr>
              <w:t>草地农业科技学院一流期刊目录</w:t>
            </w:r>
          </w:p>
        </w:tc>
        <w:tc>
          <w:tcPr>
            <w:tcW w:w="1635" w:type="dxa"/>
            <w:noWrap w:val="0"/>
            <w:vAlign w:val="center"/>
          </w:tcPr>
          <w:p w14:paraId="12C4C7D9">
            <w:pPr>
              <w:spacing w:line="276"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100</w:t>
            </w:r>
          </w:p>
        </w:tc>
      </w:tr>
      <w:tr w14:paraId="7DDD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402" w:type="dxa"/>
            <w:vMerge w:val="continue"/>
            <w:noWrap w:val="0"/>
            <w:vAlign w:val="center"/>
          </w:tcPr>
          <w:p w14:paraId="035AF9B0">
            <w:pPr>
              <w:spacing w:line="276" w:lineRule="auto"/>
              <w:jc w:val="left"/>
              <w:rPr>
                <w:rFonts w:hint="eastAsia" w:ascii="仿宋_GB2312" w:hAnsi="仿宋_GB2312" w:eastAsia="仿宋_GB2312" w:cs="仿宋_GB2312"/>
                <w:kern w:val="0"/>
                <w:sz w:val="21"/>
                <w:szCs w:val="21"/>
              </w:rPr>
            </w:pPr>
          </w:p>
        </w:tc>
        <w:tc>
          <w:tcPr>
            <w:tcW w:w="3644" w:type="dxa"/>
            <w:noWrap w:val="0"/>
            <w:vAlign w:val="center"/>
          </w:tcPr>
          <w:p w14:paraId="456A7A33">
            <w:pPr>
              <w:spacing w:line="276" w:lineRule="auto"/>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Cs w:val="21"/>
                <w:lang w:val="en-US" w:eastAsia="zh-CN"/>
              </w:rPr>
              <w:t>非</w:t>
            </w:r>
            <w:r>
              <w:rPr>
                <w:rFonts w:hint="eastAsia" w:ascii="仿宋_GB2312" w:hAnsi="仿宋_GB2312" w:eastAsia="仿宋_GB2312" w:cs="仿宋_GB2312"/>
                <w:szCs w:val="21"/>
              </w:rPr>
              <w:t>一流期刊目录</w:t>
            </w:r>
            <w:r>
              <w:rPr>
                <w:rFonts w:hint="eastAsia" w:ascii="仿宋_GB2312" w:hAnsi="仿宋_GB2312" w:eastAsia="仿宋_GB2312" w:cs="仿宋_GB2312"/>
                <w:szCs w:val="21"/>
                <w:lang w:val="en-US" w:eastAsia="zh-CN"/>
              </w:rPr>
              <w:t>内的SCI</w:t>
            </w:r>
          </w:p>
        </w:tc>
        <w:tc>
          <w:tcPr>
            <w:tcW w:w="1635" w:type="dxa"/>
            <w:noWrap w:val="0"/>
            <w:vAlign w:val="center"/>
          </w:tcPr>
          <w:p w14:paraId="189366FB">
            <w:pPr>
              <w:spacing w:line="276" w:lineRule="auto"/>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highlight w:val="none"/>
                <w:lang w:val="en-US" w:eastAsia="zh-CN"/>
              </w:rPr>
              <w:t>60</w:t>
            </w:r>
          </w:p>
        </w:tc>
      </w:tr>
      <w:tr w14:paraId="5530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3402" w:type="dxa"/>
            <w:vMerge w:val="continue"/>
            <w:noWrap w:val="0"/>
            <w:vAlign w:val="center"/>
          </w:tcPr>
          <w:p w14:paraId="4239057E">
            <w:pPr>
              <w:spacing w:line="276" w:lineRule="auto"/>
              <w:jc w:val="left"/>
              <w:rPr>
                <w:rFonts w:hint="eastAsia" w:ascii="仿宋_GB2312" w:hAnsi="仿宋_GB2312" w:eastAsia="仿宋_GB2312" w:cs="仿宋_GB2312"/>
                <w:kern w:val="0"/>
                <w:sz w:val="21"/>
                <w:szCs w:val="21"/>
              </w:rPr>
            </w:pPr>
          </w:p>
        </w:tc>
        <w:tc>
          <w:tcPr>
            <w:tcW w:w="3644" w:type="dxa"/>
            <w:noWrap w:val="0"/>
            <w:vAlign w:val="center"/>
          </w:tcPr>
          <w:p w14:paraId="26595122">
            <w:pPr>
              <w:spacing w:line="276" w:lineRule="auto"/>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草地农业科技学院国内优秀期刊目录</w:t>
            </w:r>
          </w:p>
        </w:tc>
        <w:tc>
          <w:tcPr>
            <w:tcW w:w="1635" w:type="dxa"/>
            <w:noWrap w:val="0"/>
            <w:vAlign w:val="center"/>
          </w:tcPr>
          <w:p w14:paraId="256274B0">
            <w:pPr>
              <w:spacing w:line="276" w:lineRule="auto"/>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40</w:t>
            </w:r>
          </w:p>
        </w:tc>
      </w:tr>
      <w:tr w14:paraId="06BB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402" w:type="dxa"/>
            <w:vMerge w:val="continue"/>
            <w:noWrap w:val="0"/>
            <w:vAlign w:val="center"/>
          </w:tcPr>
          <w:p w14:paraId="7D0025AC">
            <w:pPr>
              <w:spacing w:line="276" w:lineRule="auto"/>
              <w:jc w:val="left"/>
              <w:rPr>
                <w:rFonts w:hint="eastAsia" w:ascii="仿宋_GB2312" w:hAnsi="仿宋_GB2312" w:eastAsia="仿宋_GB2312" w:cs="仿宋_GB2312"/>
                <w:kern w:val="0"/>
                <w:sz w:val="21"/>
                <w:szCs w:val="21"/>
              </w:rPr>
            </w:pPr>
          </w:p>
        </w:tc>
        <w:tc>
          <w:tcPr>
            <w:tcW w:w="3644" w:type="dxa"/>
            <w:noWrap w:val="0"/>
            <w:vAlign w:val="center"/>
          </w:tcPr>
          <w:p w14:paraId="51B20BB4">
            <w:pPr>
              <w:spacing w:line="276" w:lineRule="auto"/>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非目录内的其他国内优秀期刊</w:t>
            </w:r>
          </w:p>
        </w:tc>
        <w:tc>
          <w:tcPr>
            <w:tcW w:w="1635" w:type="dxa"/>
            <w:noWrap w:val="0"/>
            <w:vAlign w:val="center"/>
          </w:tcPr>
          <w:p w14:paraId="64990435">
            <w:pPr>
              <w:spacing w:line="276" w:lineRule="auto"/>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15</w:t>
            </w:r>
          </w:p>
        </w:tc>
      </w:tr>
      <w:tr w14:paraId="448C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402" w:type="dxa"/>
            <w:noWrap w:val="0"/>
            <w:vAlign w:val="center"/>
          </w:tcPr>
          <w:p w14:paraId="1AF67769">
            <w:pPr>
              <w:spacing w:line="276" w:lineRule="auto"/>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其他作者</w:t>
            </w:r>
          </w:p>
        </w:tc>
        <w:tc>
          <w:tcPr>
            <w:tcW w:w="5279" w:type="dxa"/>
            <w:gridSpan w:val="2"/>
            <w:noWrap w:val="0"/>
            <w:vAlign w:val="center"/>
          </w:tcPr>
          <w:p w14:paraId="75AFF25D">
            <w:pPr>
              <w:spacing w:line="276" w:lineRule="auto"/>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评委根据实际贡献，分值从上述分值的50%开始递减。</w:t>
            </w:r>
          </w:p>
        </w:tc>
      </w:tr>
    </w:tbl>
    <w:p w14:paraId="1BFD7720">
      <w:pPr>
        <w:tabs>
          <w:tab w:val="left" w:pos="851"/>
        </w:tabs>
        <w:spacing w:line="360" w:lineRule="auto"/>
        <w:ind w:firstLine="640" w:firstLineChars="200"/>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二、竞赛获奖参考</w:t>
      </w:r>
      <w:r>
        <w:rPr>
          <w:rFonts w:hint="eastAsia" w:ascii="黑体" w:hAnsi="黑体" w:eastAsia="黑体" w:cs="黑体"/>
          <w:b w:val="0"/>
          <w:bCs w:val="0"/>
          <w:sz w:val="32"/>
          <w:szCs w:val="32"/>
          <w:lang w:val="en-US" w:eastAsia="zh-CN"/>
        </w:rPr>
        <w:t>分值</w:t>
      </w:r>
    </w:p>
    <w:p w14:paraId="6D039FD2">
      <w:pPr>
        <w:spacing w:line="360" w:lineRule="auto"/>
        <w:ind w:firstLine="646" w:firstLineChars="202"/>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1.该类成果是指学生本科阶段参加的与学业相关的</w:t>
      </w:r>
      <w:r>
        <w:rPr>
          <w:rFonts w:hint="eastAsia" w:ascii="仿宋_GB2312" w:hAnsi="仿宋_GB2312" w:eastAsia="仿宋_GB2312" w:cs="仿宋_GB2312"/>
          <w:sz w:val="32"/>
          <w:szCs w:val="32"/>
          <w:lang w:val="en-US" w:eastAsia="zh-CN"/>
        </w:rPr>
        <w:t>学科</w:t>
      </w:r>
      <w:r>
        <w:rPr>
          <w:rFonts w:hint="eastAsia" w:ascii="仿宋_GB2312" w:hAnsi="仿宋_GB2312" w:eastAsia="仿宋_GB2312" w:cs="仿宋_GB2312"/>
          <w:sz w:val="32"/>
          <w:szCs w:val="32"/>
        </w:rPr>
        <w:t>竞赛，并获得</w:t>
      </w:r>
      <w:r>
        <w:rPr>
          <w:rFonts w:hint="eastAsia" w:ascii="仿宋_GB2312" w:hAnsi="仿宋_GB2312" w:eastAsia="仿宋_GB2312" w:cs="仿宋_GB2312"/>
          <w:sz w:val="32"/>
          <w:szCs w:val="32"/>
          <w:lang w:val="en-US" w:eastAsia="zh-CN"/>
        </w:rPr>
        <w:t>省</w:t>
      </w:r>
      <w:r>
        <w:rPr>
          <w:rFonts w:hint="eastAsia" w:ascii="仿宋_GB2312" w:hAnsi="仿宋_GB2312" w:eastAsia="仿宋_GB2312" w:cs="仿宋_GB2312"/>
          <w:sz w:val="32"/>
          <w:szCs w:val="32"/>
        </w:rPr>
        <w:t>级以上奖励。</w:t>
      </w:r>
    </w:p>
    <w:p w14:paraId="0CEFA60B">
      <w:pPr>
        <w:spacing w:line="360" w:lineRule="auto"/>
        <w:ind w:firstLine="646" w:firstLineChars="202"/>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2.以学术专长申请推免资格的学生，仅限</w:t>
      </w:r>
      <w:r>
        <w:rPr>
          <w:rFonts w:hint="eastAsia" w:ascii="仿宋_GB2312" w:hAnsi="仿宋" w:eastAsia="仿宋_GB2312"/>
          <w:sz w:val="32"/>
          <w:szCs w:val="32"/>
          <w:lang w:eastAsia="zh-CN"/>
        </w:rPr>
        <w:t>学生</w:t>
      </w:r>
      <w:r>
        <w:rPr>
          <w:rFonts w:hint="eastAsia" w:ascii="仿宋_GB2312" w:hAnsi="仿宋" w:eastAsia="仿宋_GB2312"/>
          <w:sz w:val="32"/>
          <w:szCs w:val="32"/>
          <w:lang w:val="en-US" w:eastAsia="zh-CN"/>
        </w:rPr>
        <w:t>排名前2位</w:t>
      </w:r>
      <w:r>
        <w:rPr>
          <w:rFonts w:hint="eastAsia" w:ascii="仿宋_GB2312" w:hAnsi="仿宋" w:eastAsia="仿宋_GB2312"/>
          <w:sz w:val="32"/>
          <w:szCs w:val="32"/>
        </w:rPr>
        <w:t>参加与学业相关的国内权威学科专业竞赛（全国赛事）并获得三等奖及以上奖励（国际赛事参照执行，但不得低于国内赛事相关要求）</w:t>
      </w:r>
      <w:r>
        <w:rPr>
          <w:rFonts w:hint="eastAsia" w:ascii="仿宋_GB2312" w:hAnsi="仿宋" w:eastAsia="仿宋_GB2312"/>
          <w:sz w:val="32"/>
          <w:szCs w:val="32"/>
          <w:lang w:eastAsia="zh-CN"/>
        </w:rPr>
        <w:t>。</w:t>
      </w:r>
      <w:r>
        <w:rPr>
          <w:rFonts w:hint="eastAsia" w:ascii="仿宋_GB2312" w:hAnsi="仿宋_GB2312" w:eastAsia="仿宋_GB2312" w:cs="仿宋_GB2312"/>
          <w:sz w:val="32"/>
          <w:szCs w:val="32"/>
        </w:rPr>
        <w:t>注：国内权威</w:t>
      </w:r>
      <w:r>
        <w:rPr>
          <w:rFonts w:hint="eastAsia" w:ascii="仿宋_GB2312" w:hAnsi="仿宋_GB2312" w:eastAsia="仿宋_GB2312" w:cs="仿宋_GB2312"/>
          <w:sz w:val="32"/>
          <w:szCs w:val="32"/>
          <w:lang w:val="en-US" w:eastAsia="zh-CN"/>
        </w:rPr>
        <w:t>学科</w:t>
      </w:r>
      <w:r>
        <w:rPr>
          <w:rFonts w:hint="eastAsia" w:ascii="仿宋_GB2312" w:hAnsi="仿宋_GB2312" w:eastAsia="仿宋_GB2312" w:cs="仿宋_GB2312"/>
          <w:sz w:val="32"/>
          <w:szCs w:val="32"/>
        </w:rPr>
        <w:t>竞赛（全国赛）</w:t>
      </w:r>
      <w:r>
        <w:rPr>
          <w:rFonts w:hint="eastAsia" w:ascii="仿宋_GB2312" w:hAnsi="仿宋_GB2312" w:eastAsia="仿宋_GB2312" w:cs="仿宋_GB2312"/>
          <w:sz w:val="32"/>
          <w:szCs w:val="32"/>
          <w:lang w:val="en-US" w:eastAsia="zh-CN"/>
        </w:rPr>
        <w:t>根据</w:t>
      </w:r>
      <w:r>
        <w:rPr>
          <w:rFonts w:hint="eastAsia" w:ascii="仿宋_GB2312" w:hAnsi="仿宋_GB2312" w:eastAsia="仿宋_GB2312" w:cs="仿宋_GB2312"/>
          <w:sz w:val="32"/>
          <w:szCs w:val="32"/>
        </w:rPr>
        <w:t>《大学生学科专业竞赛建议参考目录》（2026 版）予以认定。某项成果如果有多项加分，</w:t>
      </w:r>
      <w:r>
        <w:rPr>
          <w:rFonts w:hint="eastAsia" w:ascii="仿宋_GB2312" w:hAnsi="仿宋_GB2312" w:eastAsia="仿宋_GB2312" w:cs="仿宋_GB2312"/>
          <w:sz w:val="32"/>
          <w:szCs w:val="32"/>
          <w:lang w:val="en-US" w:eastAsia="zh-CN"/>
        </w:rPr>
        <w:t>只核算</w:t>
      </w:r>
      <w:r>
        <w:rPr>
          <w:rFonts w:hint="eastAsia" w:ascii="仿宋_GB2312" w:hAnsi="仿宋_GB2312" w:eastAsia="仿宋_GB2312" w:cs="仿宋_GB2312"/>
          <w:sz w:val="32"/>
          <w:szCs w:val="32"/>
        </w:rPr>
        <w:t>最高加分项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不重复加分。</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73"/>
        <w:gridCol w:w="1582"/>
        <w:gridCol w:w="1582"/>
        <w:gridCol w:w="1583"/>
      </w:tblGrid>
      <w:tr w14:paraId="7B63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13" w:type="pct"/>
            <w:noWrap w:val="0"/>
            <w:vAlign w:val="center"/>
          </w:tcPr>
          <w:p w14:paraId="13C827BE">
            <w:pPr>
              <w:spacing w:line="276" w:lineRule="auto"/>
              <w:jc w:val="center"/>
              <w:rPr>
                <w:rFonts w:hint="eastAsia" w:ascii="仿宋_GB2312" w:hAnsi="仿宋_GB2312" w:eastAsia="仿宋_GB2312" w:cs="仿宋_GB2312"/>
                <w:b/>
                <w:sz w:val="21"/>
                <w:szCs w:val="21"/>
                <w:lang w:eastAsia="zh-CN"/>
              </w:rPr>
            </w:pPr>
            <w:r>
              <w:rPr>
                <w:rFonts w:hint="eastAsia" w:ascii="仿宋_GB2312" w:hAnsi="仿宋_GB2312" w:eastAsia="仿宋_GB2312" w:cs="仿宋_GB2312"/>
                <w:b/>
                <w:sz w:val="21"/>
                <w:szCs w:val="21"/>
                <w:lang w:val="en-US" w:eastAsia="zh-CN"/>
              </w:rPr>
              <w:t>奖项</w:t>
            </w:r>
          </w:p>
        </w:tc>
        <w:tc>
          <w:tcPr>
            <w:tcW w:w="928" w:type="pct"/>
            <w:noWrap w:val="0"/>
            <w:vAlign w:val="center"/>
          </w:tcPr>
          <w:p w14:paraId="5D529C61">
            <w:pPr>
              <w:spacing w:line="276" w:lineRule="auto"/>
              <w:jc w:val="center"/>
              <w:rPr>
                <w:rFonts w:hint="default" w:ascii="仿宋_GB2312" w:hAnsi="仿宋_GB2312" w:eastAsia="仿宋_GB2312" w:cs="仿宋_GB2312"/>
                <w:b/>
                <w:sz w:val="21"/>
                <w:szCs w:val="21"/>
                <w:lang w:val="en-US" w:eastAsia="zh-CN"/>
              </w:rPr>
            </w:pPr>
            <w:r>
              <w:rPr>
                <w:rFonts w:hint="eastAsia" w:ascii="仿宋_GB2312" w:hAnsi="仿宋_GB2312" w:eastAsia="仿宋_GB2312" w:cs="仿宋_GB2312"/>
                <w:b/>
                <w:sz w:val="21"/>
                <w:szCs w:val="21"/>
                <w:lang w:val="en-US" w:eastAsia="zh-CN"/>
              </w:rPr>
              <w:t>排名第一</w:t>
            </w:r>
          </w:p>
        </w:tc>
        <w:tc>
          <w:tcPr>
            <w:tcW w:w="928" w:type="pct"/>
            <w:noWrap w:val="0"/>
            <w:vAlign w:val="center"/>
          </w:tcPr>
          <w:p w14:paraId="19D40055">
            <w:pPr>
              <w:spacing w:line="276" w:lineRule="auto"/>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eastAsia="zh-CN"/>
              </w:rPr>
              <w:t>排名第二</w:t>
            </w:r>
          </w:p>
        </w:tc>
        <w:tc>
          <w:tcPr>
            <w:tcW w:w="928" w:type="pct"/>
            <w:noWrap w:val="0"/>
            <w:vAlign w:val="center"/>
          </w:tcPr>
          <w:p w14:paraId="2F506F56">
            <w:pPr>
              <w:spacing w:line="276" w:lineRule="auto"/>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eastAsia="zh-CN"/>
              </w:rPr>
              <w:t>排名第三</w:t>
            </w:r>
          </w:p>
        </w:tc>
      </w:tr>
      <w:tr w14:paraId="4B69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noWrap w:val="0"/>
            <w:vAlign w:val="top"/>
          </w:tcPr>
          <w:p w14:paraId="57DC686B">
            <w:pPr>
              <w:spacing w:line="276"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全国一等奖（含特等奖）</w:t>
            </w:r>
          </w:p>
        </w:tc>
        <w:tc>
          <w:tcPr>
            <w:tcW w:w="928" w:type="pct"/>
            <w:noWrap w:val="0"/>
            <w:vAlign w:val="top"/>
          </w:tcPr>
          <w:p w14:paraId="1955D0DA">
            <w:pPr>
              <w:spacing w:line="276" w:lineRule="auto"/>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100</w:t>
            </w:r>
          </w:p>
        </w:tc>
        <w:tc>
          <w:tcPr>
            <w:tcW w:w="928" w:type="pct"/>
            <w:noWrap w:val="0"/>
            <w:vAlign w:val="top"/>
          </w:tcPr>
          <w:p w14:paraId="29BECFC7">
            <w:pPr>
              <w:spacing w:line="276" w:lineRule="auto"/>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90</w:t>
            </w:r>
          </w:p>
        </w:tc>
        <w:tc>
          <w:tcPr>
            <w:tcW w:w="928" w:type="pct"/>
            <w:noWrap w:val="0"/>
            <w:vAlign w:val="top"/>
          </w:tcPr>
          <w:p w14:paraId="162840C4">
            <w:pPr>
              <w:spacing w:line="276" w:lineRule="auto"/>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80</w:t>
            </w:r>
          </w:p>
        </w:tc>
      </w:tr>
      <w:tr w14:paraId="232E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noWrap w:val="0"/>
            <w:vAlign w:val="top"/>
          </w:tcPr>
          <w:p w14:paraId="30917650">
            <w:pPr>
              <w:spacing w:line="276"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全国二等奖</w:t>
            </w:r>
          </w:p>
        </w:tc>
        <w:tc>
          <w:tcPr>
            <w:tcW w:w="928" w:type="pct"/>
            <w:noWrap w:val="0"/>
            <w:vAlign w:val="top"/>
          </w:tcPr>
          <w:p w14:paraId="1E5CB848">
            <w:pPr>
              <w:spacing w:line="276" w:lineRule="auto"/>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80</w:t>
            </w:r>
          </w:p>
        </w:tc>
        <w:tc>
          <w:tcPr>
            <w:tcW w:w="928" w:type="pct"/>
            <w:noWrap w:val="0"/>
            <w:vAlign w:val="top"/>
          </w:tcPr>
          <w:p w14:paraId="76F858E6">
            <w:pPr>
              <w:spacing w:line="276" w:lineRule="auto"/>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70</w:t>
            </w:r>
          </w:p>
        </w:tc>
        <w:tc>
          <w:tcPr>
            <w:tcW w:w="928" w:type="pct"/>
            <w:noWrap w:val="0"/>
            <w:vAlign w:val="top"/>
          </w:tcPr>
          <w:p w14:paraId="0130EED1">
            <w:pPr>
              <w:spacing w:line="276" w:lineRule="auto"/>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60</w:t>
            </w:r>
          </w:p>
        </w:tc>
      </w:tr>
      <w:tr w14:paraId="2D82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noWrap w:val="0"/>
            <w:vAlign w:val="top"/>
          </w:tcPr>
          <w:p w14:paraId="1C3AF2C3">
            <w:pPr>
              <w:spacing w:line="276"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全国三等奖</w:t>
            </w:r>
          </w:p>
        </w:tc>
        <w:tc>
          <w:tcPr>
            <w:tcW w:w="928" w:type="pct"/>
            <w:noWrap w:val="0"/>
            <w:vAlign w:val="top"/>
          </w:tcPr>
          <w:p w14:paraId="31C9A851">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60</w:t>
            </w:r>
          </w:p>
        </w:tc>
        <w:tc>
          <w:tcPr>
            <w:tcW w:w="928" w:type="pct"/>
            <w:noWrap w:val="0"/>
            <w:vAlign w:val="top"/>
          </w:tcPr>
          <w:p w14:paraId="4AFDB872">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50</w:t>
            </w:r>
          </w:p>
        </w:tc>
        <w:tc>
          <w:tcPr>
            <w:tcW w:w="928" w:type="pct"/>
            <w:noWrap w:val="0"/>
            <w:vAlign w:val="top"/>
          </w:tcPr>
          <w:p w14:paraId="2271E57D">
            <w:pPr>
              <w:spacing w:line="276"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40</w:t>
            </w:r>
          </w:p>
        </w:tc>
      </w:tr>
      <w:tr w14:paraId="6967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noWrap w:val="0"/>
            <w:vAlign w:val="top"/>
          </w:tcPr>
          <w:p w14:paraId="632FD0C2">
            <w:pPr>
              <w:spacing w:line="276"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省级一等奖</w:t>
            </w:r>
          </w:p>
        </w:tc>
        <w:tc>
          <w:tcPr>
            <w:tcW w:w="928" w:type="pct"/>
            <w:noWrap w:val="0"/>
            <w:vAlign w:val="top"/>
          </w:tcPr>
          <w:p w14:paraId="0A2E5D34">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50</w:t>
            </w:r>
          </w:p>
        </w:tc>
        <w:tc>
          <w:tcPr>
            <w:tcW w:w="928" w:type="pct"/>
            <w:noWrap w:val="0"/>
            <w:vAlign w:val="top"/>
          </w:tcPr>
          <w:p w14:paraId="499481FB">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40</w:t>
            </w:r>
          </w:p>
        </w:tc>
        <w:tc>
          <w:tcPr>
            <w:tcW w:w="928" w:type="pct"/>
            <w:noWrap w:val="0"/>
            <w:vAlign w:val="top"/>
          </w:tcPr>
          <w:p w14:paraId="7FC6E1DA">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30</w:t>
            </w:r>
          </w:p>
        </w:tc>
      </w:tr>
      <w:tr w14:paraId="272B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noWrap w:val="0"/>
            <w:vAlign w:val="top"/>
          </w:tcPr>
          <w:p w14:paraId="4BF2A845">
            <w:pPr>
              <w:spacing w:line="276"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省级二等奖</w:t>
            </w:r>
          </w:p>
        </w:tc>
        <w:tc>
          <w:tcPr>
            <w:tcW w:w="928" w:type="pct"/>
            <w:noWrap w:val="0"/>
            <w:vAlign w:val="top"/>
          </w:tcPr>
          <w:p w14:paraId="7D23D5AF">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30</w:t>
            </w:r>
          </w:p>
        </w:tc>
        <w:tc>
          <w:tcPr>
            <w:tcW w:w="928" w:type="pct"/>
            <w:noWrap w:val="0"/>
            <w:vAlign w:val="top"/>
          </w:tcPr>
          <w:p w14:paraId="5721241F">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20</w:t>
            </w:r>
          </w:p>
        </w:tc>
        <w:tc>
          <w:tcPr>
            <w:tcW w:w="928" w:type="pct"/>
            <w:noWrap w:val="0"/>
            <w:vAlign w:val="top"/>
          </w:tcPr>
          <w:p w14:paraId="16BF7D4C">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10</w:t>
            </w:r>
          </w:p>
        </w:tc>
      </w:tr>
      <w:tr w14:paraId="67EC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noWrap w:val="0"/>
            <w:vAlign w:val="top"/>
          </w:tcPr>
          <w:p w14:paraId="175F2760">
            <w:pPr>
              <w:spacing w:line="276"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省级三等奖</w:t>
            </w:r>
          </w:p>
        </w:tc>
        <w:tc>
          <w:tcPr>
            <w:tcW w:w="928" w:type="pct"/>
            <w:noWrap w:val="0"/>
            <w:vAlign w:val="top"/>
          </w:tcPr>
          <w:p w14:paraId="2F95A906">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10</w:t>
            </w:r>
          </w:p>
        </w:tc>
        <w:tc>
          <w:tcPr>
            <w:tcW w:w="928" w:type="pct"/>
            <w:noWrap w:val="0"/>
            <w:vAlign w:val="top"/>
          </w:tcPr>
          <w:p w14:paraId="0A0F3D5E">
            <w:pPr>
              <w:spacing w:line="276" w:lineRule="auto"/>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w:t>
            </w:r>
          </w:p>
        </w:tc>
        <w:tc>
          <w:tcPr>
            <w:tcW w:w="928" w:type="pct"/>
            <w:noWrap w:val="0"/>
            <w:vAlign w:val="top"/>
          </w:tcPr>
          <w:p w14:paraId="7453C0FD">
            <w:pPr>
              <w:spacing w:line="276" w:lineRule="auto"/>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1-4</w:t>
            </w:r>
          </w:p>
        </w:tc>
      </w:tr>
    </w:tbl>
    <w:p w14:paraId="75B71B49">
      <w:pPr>
        <w:spacing w:line="360" w:lineRule="auto"/>
        <w:ind w:firstLine="562" w:firstLineChars="200"/>
        <w:jc w:val="left"/>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rPr>
        <w:t>注：</w:t>
      </w:r>
      <w:r>
        <w:rPr>
          <w:rFonts w:hint="eastAsia" w:ascii="仿宋_GB2312" w:hAnsi="仿宋_GB2312" w:eastAsia="仿宋_GB2312" w:cs="仿宋_GB2312"/>
          <w:b/>
          <w:sz w:val="28"/>
          <w:szCs w:val="28"/>
          <w:lang w:val="en-US" w:eastAsia="zh-CN"/>
        </w:rPr>
        <w:t>仅限</w:t>
      </w:r>
      <w:r>
        <w:rPr>
          <w:rFonts w:hint="eastAsia" w:ascii="仿宋_GB2312" w:hAnsi="仿宋_GB2312" w:eastAsia="仿宋_GB2312" w:cs="仿宋_GB2312"/>
          <w:b/>
          <w:sz w:val="28"/>
          <w:szCs w:val="28"/>
        </w:rPr>
        <w:t>作为主力成员</w:t>
      </w:r>
      <w:r>
        <w:rPr>
          <w:rFonts w:hint="eastAsia" w:ascii="仿宋_GB2312" w:hAnsi="仿宋_GB2312" w:eastAsia="仿宋_GB2312" w:cs="仿宋_GB2312"/>
          <w:b/>
          <w:sz w:val="28"/>
          <w:szCs w:val="28"/>
          <w:lang w:eastAsia="zh-CN"/>
        </w:rPr>
        <w:t>（</w:t>
      </w:r>
      <w:r>
        <w:rPr>
          <w:rFonts w:hint="eastAsia" w:ascii="仿宋_GB2312" w:hAnsi="仿宋_GB2312" w:eastAsia="仿宋_GB2312" w:cs="仿宋_GB2312"/>
          <w:b/>
          <w:sz w:val="28"/>
          <w:szCs w:val="28"/>
          <w:lang w:val="en-US" w:eastAsia="zh-CN"/>
        </w:rPr>
        <w:t>排名前三</w:t>
      </w:r>
      <w:r>
        <w:rPr>
          <w:rFonts w:hint="eastAsia" w:ascii="仿宋_GB2312" w:hAnsi="仿宋_GB2312" w:eastAsia="仿宋_GB2312" w:cs="仿宋_GB2312"/>
          <w:b/>
          <w:sz w:val="28"/>
          <w:szCs w:val="28"/>
          <w:lang w:eastAsia="zh-CN"/>
        </w:rPr>
        <w:t>）</w:t>
      </w:r>
      <w:r>
        <w:rPr>
          <w:rFonts w:hint="eastAsia" w:ascii="仿宋_GB2312" w:hAnsi="仿宋_GB2312" w:eastAsia="仿宋_GB2312" w:cs="仿宋_GB2312"/>
          <w:b/>
          <w:sz w:val="28"/>
          <w:szCs w:val="28"/>
        </w:rPr>
        <w:t>参加与学业相关的国内权威</w:t>
      </w:r>
      <w:r>
        <w:rPr>
          <w:rFonts w:hint="eastAsia" w:ascii="仿宋_GB2312" w:hAnsi="仿宋_GB2312" w:eastAsia="仿宋_GB2312" w:cs="仿宋_GB2312"/>
          <w:b/>
          <w:sz w:val="28"/>
          <w:szCs w:val="28"/>
          <w:lang w:val="en-US" w:eastAsia="zh-CN"/>
        </w:rPr>
        <w:t>学科</w:t>
      </w:r>
      <w:r>
        <w:rPr>
          <w:rFonts w:hint="eastAsia" w:ascii="仿宋_GB2312" w:hAnsi="仿宋_GB2312" w:eastAsia="仿宋_GB2312" w:cs="仿宋_GB2312"/>
          <w:b/>
          <w:sz w:val="28"/>
          <w:szCs w:val="28"/>
        </w:rPr>
        <w:t>竞赛（全国赛</w:t>
      </w:r>
      <w:r>
        <w:rPr>
          <w:rFonts w:hint="eastAsia" w:ascii="仿宋_GB2312" w:hAnsi="仿宋_GB2312" w:eastAsia="仿宋_GB2312" w:cs="仿宋_GB2312"/>
          <w:b/>
          <w:sz w:val="28"/>
          <w:szCs w:val="28"/>
          <w:lang w:val="en-US" w:eastAsia="zh-CN"/>
        </w:rPr>
        <w:t>/省赛</w:t>
      </w:r>
      <w:r>
        <w:rPr>
          <w:rFonts w:hint="eastAsia" w:ascii="仿宋_GB2312" w:hAnsi="仿宋_GB2312" w:eastAsia="仿宋_GB2312" w:cs="仿宋_GB2312"/>
          <w:b/>
          <w:sz w:val="28"/>
          <w:szCs w:val="28"/>
        </w:rPr>
        <w:t>）并获得三等奖以上奖励（国际赛事参照执行，但不得低于国内赛事相关要求）。</w:t>
      </w:r>
      <w:r>
        <w:rPr>
          <w:rFonts w:hint="eastAsia" w:ascii="仿宋_GB2312" w:hAnsi="仿宋_GB2312" w:eastAsia="仿宋_GB2312" w:cs="仿宋_GB2312"/>
          <w:b/>
          <w:sz w:val="28"/>
          <w:szCs w:val="28"/>
          <w:lang w:val="en-US" w:eastAsia="zh-CN"/>
        </w:rPr>
        <w:t>作为主力成员参与</w:t>
      </w:r>
      <w:r>
        <w:rPr>
          <w:rFonts w:hint="eastAsia" w:ascii="仿宋_GB2312" w:hAnsi="仿宋_GB2312" w:eastAsia="仿宋_GB2312" w:cs="仿宋_GB2312"/>
          <w:b/>
          <w:sz w:val="28"/>
          <w:szCs w:val="28"/>
        </w:rPr>
        <w:t>未在</w:t>
      </w:r>
      <w:r>
        <w:rPr>
          <w:rFonts w:hint="eastAsia" w:ascii="仿宋_GB2312" w:hAnsi="仿宋_GB2312" w:eastAsia="仿宋_GB2312" w:cs="仿宋_GB2312"/>
          <w:b/>
          <w:sz w:val="28"/>
          <w:szCs w:val="28"/>
          <w:lang w:val="en-US" w:eastAsia="zh-CN"/>
        </w:rPr>
        <w:t>参考</w:t>
      </w:r>
      <w:r>
        <w:rPr>
          <w:rFonts w:hint="eastAsia" w:ascii="仿宋_GB2312" w:hAnsi="仿宋_GB2312" w:eastAsia="仿宋_GB2312" w:cs="仿宋_GB2312"/>
          <w:b/>
          <w:sz w:val="28"/>
          <w:szCs w:val="28"/>
        </w:rPr>
        <w:t>目录中的</w:t>
      </w:r>
      <w:r>
        <w:rPr>
          <w:rFonts w:hint="eastAsia" w:ascii="仿宋_GB2312" w:hAnsi="仿宋_GB2312" w:eastAsia="仿宋_GB2312" w:cs="仿宋_GB2312"/>
          <w:b/>
          <w:sz w:val="28"/>
          <w:szCs w:val="28"/>
          <w:lang w:val="en-US" w:eastAsia="zh-CN"/>
        </w:rPr>
        <w:t>竞赛项目</w:t>
      </w:r>
      <w:r>
        <w:rPr>
          <w:rFonts w:hint="eastAsia" w:ascii="仿宋_GB2312" w:hAnsi="仿宋_GB2312" w:eastAsia="仿宋_GB2312" w:cs="仿宋_GB2312"/>
          <w:b/>
          <w:sz w:val="28"/>
          <w:szCs w:val="28"/>
        </w:rPr>
        <w:t>，</w:t>
      </w:r>
      <w:r>
        <w:rPr>
          <w:rFonts w:hint="eastAsia" w:ascii="仿宋_GB2312" w:hAnsi="仿宋_GB2312" w:eastAsia="仿宋_GB2312" w:cs="仿宋_GB2312"/>
          <w:b/>
          <w:sz w:val="28"/>
          <w:szCs w:val="28"/>
          <w:lang w:val="en-US" w:eastAsia="zh-CN"/>
        </w:rPr>
        <w:t>获得相应奖项的，依据同类奖项分值依次减少20%。</w:t>
      </w:r>
    </w:p>
    <w:p w14:paraId="69457FA2">
      <w:pPr>
        <w:tabs>
          <w:tab w:val="left" w:pos="851"/>
        </w:tabs>
        <w:spacing w:line="360" w:lineRule="auto"/>
        <w:ind w:firstLine="640" w:firstLineChars="200"/>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、科研训练及研究能力参考分值</w:t>
      </w:r>
      <w:r>
        <w:rPr>
          <w:rFonts w:hint="eastAsia" w:ascii="黑体" w:hAnsi="黑体" w:eastAsia="黑体" w:cs="黑体"/>
          <w:b w:val="0"/>
          <w:bCs w:val="0"/>
          <w:sz w:val="32"/>
          <w:szCs w:val="32"/>
          <w:lang w:val="en-US" w:eastAsia="zh-CN"/>
        </w:rPr>
        <w:t xml:space="preserve"> </w:t>
      </w:r>
    </w:p>
    <w:p w14:paraId="6C7C5E1B">
      <w:pPr>
        <w:spacing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该类成果指学生</w:t>
      </w:r>
      <w:r>
        <w:rPr>
          <w:rFonts w:hint="eastAsia" w:ascii="仿宋_GB2312" w:hAnsi="仿宋_GB2312" w:eastAsia="仿宋_GB2312" w:cs="仿宋_GB2312"/>
          <w:b/>
          <w:bCs/>
          <w:sz w:val="32"/>
          <w:szCs w:val="32"/>
          <w:lang w:val="en-US" w:eastAsia="zh-CN"/>
        </w:rPr>
        <w:t>主持</w:t>
      </w:r>
      <w:r>
        <w:rPr>
          <w:rFonts w:hint="eastAsia" w:ascii="仿宋_GB2312" w:hAnsi="仿宋_GB2312" w:eastAsia="仿宋_GB2312" w:cs="仿宋_GB2312"/>
          <w:sz w:val="32"/>
          <w:szCs w:val="32"/>
          <w:lang w:val="en-US" w:eastAsia="zh-CN"/>
        </w:rPr>
        <w:t>大学生创新创业训练项目、参与导师科研训练的情况及成效。评分以学生在项目中的参与排名与贡献程度为考量依据，具体计分标准如下：</w:t>
      </w:r>
    </w:p>
    <w:p w14:paraId="0DCB822D">
      <w:pPr>
        <w:numPr>
          <w:ilvl w:val="0"/>
          <w:numId w:val="1"/>
        </w:numPr>
        <w:spacing w:line="360" w:lineRule="auto"/>
        <w:ind w:left="630" w:leftChars="0" w:firstLineChars="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主持项目：</w:t>
      </w:r>
    </w:p>
    <w:p w14:paraId="661AD789">
      <w:pPr>
        <w:numPr>
          <w:ilvl w:val="0"/>
          <w:numId w:val="0"/>
        </w:numPr>
        <w:spacing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“莙政基金”项目，计 100 分；</w:t>
      </w:r>
    </w:p>
    <w:p w14:paraId="299AE846">
      <w:pPr>
        <w:spacing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国家级大学生创新创业训练计划项目，计80分；</w:t>
      </w:r>
    </w:p>
    <w:p w14:paraId="5492AD16">
      <w:pPr>
        <w:spacing w:line="360" w:lineRule="auto"/>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省级大学生创新创业训练计划项目，计60分；</w:t>
      </w:r>
    </w:p>
    <w:p w14:paraId="6D068405">
      <w:pPr>
        <w:spacing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校级大学生创新创业训练计划项目，计40分。</w:t>
      </w:r>
    </w:p>
    <w:p w14:paraId="470E8BB9">
      <w:pPr>
        <w:tabs>
          <w:tab w:val="left" w:pos="851"/>
        </w:tabs>
        <w:spacing w:line="360" w:lineRule="auto"/>
        <w:ind w:firstLine="640" w:firstLineChars="200"/>
        <w:jc w:val="left"/>
        <w:rPr>
          <w:rFonts w:hint="default" w:ascii="仿宋_GB2312" w:hAnsi="仿宋_GB2312" w:eastAsia="仿宋_GB2312" w:cs="仿宋_GB2312"/>
          <w:strike w:val="0"/>
          <w:dstrike w:val="0"/>
          <w:sz w:val="32"/>
          <w:szCs w:val="32"/>
          <w:lang w:val="en-US" w:eastAsia="zh-CN"/>
        </w:rPr>
      </w:pPr>
      <w:r>
        <w:rPr>
          <w:rFonts w:hint="eastAsia" w:ascii="仿宋_GB2312" w:hAnsi="仿宋_GB2312" w:eastAsia="仿宋_GB2312" w:cs="仿宋_GB2312"/>
          <w:strike w:val="0"/>
          <w:dstrike w:val="0"/>
          <w:sz w:val="32"/>
          <w:szCs w:val="32"/>
          <w:lang w:val="en-US" w:eastAsia="zh-CN"/>
        </w:rPr>
        <w:t>暂未结项的项目，根据以上评分的50%递减。</w:t>
      </w:r>
    </w:p>
    <w:p w14:paraId="21F3D89F">
      <w:pPr>
        <w:tabs>
          <w:tab w:val="left" w:pos="851"/>
        </w:tabs>
        <w:spacing w:line="360" w:lineRule="auto"/>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、外语参考分值</w:t>
      </w:r>
    </w:p>
    <w:p w14:paraId="355C7DE1">
      <w:pPr>
        <w:spacing w:line="360" w:lineRule="auto"/>
        <w:ind w:firstLine="640" w:firstLineChars="200"/>
        <w:jc w:val="left"/>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该类成果指大学英语等级考试取得的证书情况及现场口语面试表现。具体计分标准如下：</w:t>
      </w:r>
    </w:p>
    <w:p w14:paraId="6678703A">
      <w:pPr>
        <w:spacing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通过大学英语四级，成绩区间为80-89分，最终得分结合现场口语面试表现综合核定；</w:t>
      </w:r>
    </w:p>
    <w:p w14:paraId="5F3E04A5">
      <w:pPr>
        <w:spacing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通过大学英语六级，成绩区间为90-100分，最终得分结合现场口语面试表现综合核定；</w:t>
      </w:r>
    </w:p>
    <w:p w14:paraId="5E2628E3">
      <w:pPr>
        <w:tabs>
          <w:tab w:val="left" w:pos="851"/>
        </w:tabs>
        <w:spacing w:line="360" w:lineRule="auto"/>
        <w:ind w:firstLine="640" w:firstLineChars="200"/>
        <w:jc w:val="left"/>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五</w:t>
      </w:r>
      <w:r>
        <w:rPr>
          <w:rFonts w:hint="eastAsia" w:ascii="黑体" w:hAnsi="黑体" w:eastAsia="黑体" w:cs="黑体"/>
          <w:b w:val="0"/>
          <w:bCs/>
          <w:sz w:val="32"/>
          <w:szCs w:val="32"/>
        </w:rPr>
        <w:t>、</w:t>
      </w:r>
      <w:r>
        <w:rPr>
          <w:rFonts w:hint="eastAsia" w:ascii="黑体" w:hAnsi="黑体" w:eastAsia="黑体" w:cs="黑体"/>
          <w:b w:val="0"/>
          <w:bCs/>
          <w:sz w:val="32"/>
          <w:szCs w:val="32"/>
          <w:lang w:val="en-US" w:eastAsia="zh-CN"/>
        </w:rPr>
        <w:t>其他</w:t>
      </w:r>
      <w:r>
        <w:rPr>
          <w:rFonts w:hint="eastAsia" w:ascii="黑体" w:hAnsi="黑体" w:eastAsia="黑体" w:cs="黑体"/>
          <w:bCs/>
          <w:sz w:val="32"/>
          <w:szCs w:val="32"/>
        </w:rPr>
        <w:t>评价指标体系</w:t>
      </w:r>
    </w:p>
    <w:tbl>
      <w:tblPr>
        <w:tblStyle w:val="3"/>
        <w:tblpPr w:leftFromText="180" w:rightFromText="180" w:vertAnchor="text" w:horzAnchor="page" w:tblpX="1635" w:tblpY="39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037"/>
        <w:gridCol w:w="6269"/>
      </w:tblGrid>
      <w:tr w14:paraId="571C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216" w:type="dxa"/>
            <w:noWrap w:val="0"/>
            <w:vAlign w:val="center"/>
          </w:tcPr>
          <w:p w14:paraId="67609C90">
            <w:pPr>
              <w:widowControl/>
              <w:spacing w:line="360" w:lineRule="auto"/>
              <w:jc w:val="center"/>
              <w:rPr>
                <w:rFonts w:hint="eastAsia" w:ascii="宋体" w:hAnsi="宋体" w:cs="宋体"/>
                <w:b/>
                <w:bCs/>
                <w:color w:val="000000"/>
                <w:kern w:val="0"/>
                <w:szCs w:val="21"/>
                <w:lang w:bidi="ar"/>
              </w:rPr>
            </w:pPr>
            <w:r>
              <w:rPr>
                <w:rFonts w:hint="eastAsia" w:ascii="宋体" w:hAnsi="宋体" w:cs="宋体"/>
                <w:b/>
                <w:bCs/>
                <w:color w:val="000000"/>
                <w:kern w:val="0"/>
                <w:szCs w:val="21"/>
                <w:lang w:bidi="ar"/>
              </w:rPr>
              <w:t>指标</w:t>
            </w:r>
          </w:p>
        </w:tc>
        <w:tc>
          <w:tcPr>
            <w:tcW w:w="1037" w:type="dxa"/>
            <w:noWrap w:val="0"/>
            <w:vAlign w:val="center"/>
          </w:tcPr>
          <w:p w14:paraId="254EB4AF">
            <w:pPr>
              <w:widowControl/>
              <w:spacing w:line="360" w:lineRule="auto"/>
              <w:jc w:val="center"/>
              <w:rPr>
                <w:rFonts w:hint="eastAsia" w:ascii="宋体" w:hAnsi="宋体" w:cs="宋体"/>
                <w:b/>
                <w:bCs/>
                <w:color w:val="000000"/>
                <w:kern w:val="0"/>
                <w:szCs w:val="21"/>
                <w:lang w:bidi="ar"/>
              </w:rPr>
            </w:pPr>
            <w:r>
              <w:rPr>
                <w:rFonts w:hint="eastAsia" w:ascii="宋体" w:hAnsi="宋体" w:cs="宋体"/>
                <w:b/>
                <w:bCs/>
                <w:color w:val="000000"/>
                <w:kern w:val="0"/>
                <w:szCs w:val="21"/>
                <w:lang w:bidi="ar"/>
              </w:rPr>
              <w:t>占比</w:t>
            </w:r>
          </w:p>
        </w:tc>
        <w:tc>
          <w:tcPr>
            <w:tcW w:w="6269" w:type="dxa"/>
            <w:noWrap w:val="0"/>
            <w:vAlign w:val="center"/>
          </w:tcPr>
          <w:p w14:paraId="37C949BE">
            <w:pPr>
              <w:widowControl/>
              <w:spacing w:line="360" w:lineRule="auto"/>
              <w:jc w:val="center"/>
              <w:rPr>
                <w:rFonts w:hint="eastAsia" w:ascii="宋体" w:hAnsi="宋体" w:cs="宋体"/>
                <w:b/>
                <w:bCs/>
                <w:color w:val="000000"/>
                <w:kern w:val="0"/>
                <w:szCs w:val="21"/>
                <w:lang w:bidi="ar"/>
              </w:rPr>
            </w:pPr>
            <w:r>
              <w:rPr>
                <w:rFonts w:hint="eastAsia" w:ascii="宋体" w:hAnsi="宋体" w:cs="宋体"/>
                <w:b/>
                <w:bCs/>
                <w:color w:val="000000"/>
                <w:kern w:val="0"/>
                <w:szCs w:val="21"/>
                <w:lang w:bidi="ar"/>
              </w:rPr>
              <w:t>评分方法</w:t>
            </w:r>
          </w:p>
        </w:tc>
      </w:tr>
      <w:tr w14:paraId="7979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216" w:type="dxa"/>
            <w:shd w:val="clear" w:color="auto" w:fill="auto"/>
            <w:noWrap w:val="0"/>
            <w:vAlign w:val="center"/>
          </w:tcPr>
          <w:p w14:paraId="75E6F26A">
            <w:pPr>
              <w:widowControl/>
              <w:spacing w:line="360" w:lineRule="auto"/>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科研成果</w:t>
            </w:r>
          </w:p>
        </w:tc>
        <w:tc>
          <w:tcPr>
            <w:tcW w:w="1037" w:type="dxa"/>
            <w:shd w:val="clear" w:color="auto" w:fill="auto"/>
            <w:noWrap w:val="0"/>
            <w:vAlign w:val="center"/>
          </w:tcPr>
          <w:p w14:paraId="55C733B6">
            <w:pPr>
              <w:widowControl/>
              <w:spacing w:line="360" w:lineRule="auto"/>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25%</w:t>
            </w:r>
          </w:p>
        </w:tc>
        <w:tc>
          <w:tcPr>
            <w:tcW w:w="6269" w:type="dxa"/>
            <w:shd w:val="clear" w:color="auto" w:fill="auto"/>
            <w:noWrap w:val="0"/>
            <w:vAlign w:val="center"/>
          </w:tcPr>
          <w:p w14:paraId="1111627A">
            <w:pPr>
              <w:spacing w:line="360" w:lineRule="auto"/>
              <w:ind w:firstLine="424" w:firstLineChars="202"/>
              <w:jc w:val="left"/>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满分值100分。</w:t>
            </w:r>
          </w:p>
          <w:p w14:paraId="213BDE29">
            <w:pPr>
              <w:spacing w:line="360" w:lineRule="auto"/>
              <w:ind w:firstLine="424" w:firstLineChars="202"/>
              <w:jc w:val="left"/>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参考第一条。</w:t>
            </w:r>
          </w:p>
        </w:tc>
      </w:tr>
      <w:tr w14:paraId="64BF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1216" w:type="dxa"/>
            <w:shd w:val="clear" w:color="auto" w:fill="auto"/>
            <w:noWrap w:val="0"/>
            <w:vAlign w:val="center"/>
          </w:tcPr>
          <w:p w14:paraId="582358E8">
            <w:pPr>
              <w:widowControl/>
              <w:spacing w:line="360" w:lineRule="auto"/>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竞赛获奖</w:t>
            </w:r>
          </w:p>
        </w:tc>
        <w:tc>
          <w:tcPr>
            <w:tcW w:w="1037" w:type="dxa"/>
            <w:shd w:val="clear" w:color="auto" w:fill="auto"/>
            <w:noWrap w:val="0"/>
            <w:vAlign w:val="center"/>
          </w:tcPr>
          <w:p w14:paraId="0FC85C6B">
            <w:pPr>
              <w:widowControl/>
              <w:spacing w:line="360" w:lineRule="auto"/>
              <w:jc w:val="center"/>
              <w:rPr>
                <w:rFonts w:hint="eastAsia"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25</w:t>
            </w:r>
            <w:r>
              <w:rPr>
                <w:rFonts w:hint="eastAsia" w:ascii="宋体" w:hAnsi="宋体" w:cs="宋体"/>
                <w:color w:val="000000"/>
                <w:kern w:val="0"/>
                <w:szCs w:val="21"/>
                <w:lang w:bidi="ar"/>
              </w:rPr>
              <w:t>%</w:t>
            </w:r>
          </w:p>
        </w:tc>
        <w:tc>
          <w:tcPr>
            <w:tcW w:w="6269" w:type="dxa"/>
            <w:shd w:val="clear" w:color="auto" w:fill="auto"/>
            <w:noWrap w:val="0"/>
            <w:vAlign w:val="center"/>
          </w:tcPr>
          <w:p w14:paraId="38B39F9B">
            <w:pPr>
              <w:widowControl/>
              <w:spacing w:line="360" w:lineRule="auto"/>
              <w:ind w:firstLine="424" w:firstLineChars="202"/>
              <w:jc w:val="left"/>
              <w:rPr>
                <w:rFonts w:hint="eastAsia" w:ascii="宋体" w:hAnsi="宋体" w:eastAsia="宋体" w:cs="宋体"/>
                <w:b w:val="0"/>
                <w:bCs w:val="0"/>
                <w:sz w:val="21"/>
                <w:szCs w:val="21"/>
                <w:highlight w:val="none"/>
                <w:lang w:val="en-US" w:eastAsia="zh-CN"/>
              </w:rPr>
            </w:pPr>
            <w:r>
              <w:rPr>
                <w:rFonts w:hint="eastAsia" w:ascii="宋体" w:hAnsi="宋体" w:cs="宋体"/>
                <w:color w:val="000000"/>
                <w:kern w:val="0"/>
                <w:szCs w:val="21"/>
                <w:highlight w:val="none"/>
                <w:lang w:bidi="ar"/>
              </w:rPr>
              <w:t>满分值100分。</w:t>
            </w:r>
          </w:p>
          <w:p w14:paraId="25BA1D0C">
            <w:pPr>
              <w:widowControl/>
              <w:spacing w:line="360" w:lineRule="auto"/>
              <w:ind w:firstLine="420" w:firstLineChars="200"/>
              <w:jc w:val="left"/>
              <w:rPr>
                <w:rFonts w:hint="default" w:ascii="宋体" w:hAnsi="宋体" w:eastAsia="宋体" w:cs="宋体"/>
                <w:bCs/>
                <w:color w:val="000000"/>
                <w:kern w:val="2"/>
                <w:sz w:val="21"/>
                <w:szCs w:val="21"/>
                <w:highlight w:val="none"/>
                <w:lang w:val="en-US" w:eastAsia="zh-CN" w:bidi="ar-SA"/>
              </w:rPr>
            </w:pPr>
            <w:r>
              <w:rPr>
                <w:rFonts w:hint="eastAsia" w:ascii="宋体" w:hAnsi="宋体" w:eastAsia="宋体" w:cs="宋体"/>
                <w:b w:val="0"/>
                <w:bCs w:val="0"/>
                <w:sz w:val="21"/>
                <w:szCs w:val="21"/>
                <w:highlight w:val="none"/>
                <w:lang w:val="en-US" w:eastAsia="zh-CN"/>
              </w:rPr>
              <w:t>参考第二条</w:t>
            </w:r>
            <w:r>
              <w:rPr>
                <w:rFonts w:hint="eastAsia" w:ascii="宋体" w:hAnsi="宋体" w:cs="宋体"/>
                <w:b w:val="0"/>
                <w:bCs w:val="0"/>
                <w:sz w:val="21"/>
                <w:szCs w:val="21"/>
                <w:highlight w:val="none"/>
                <w:lang w:eastAsia="zh-CN"/>
              </w:rPr>
              <w:t>。</w:t>
            </w:r>
          </w:p>
        </w:tc>
      </w:tr>
      <w:tr w14:paraId="6EC3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1216" w:type="dxa"/>
            <w:shd w:val="clear" w:color="auto" w:fill="auto"/>
            <w:noWrap w:val="0"/>
            <w:vAlign w:val="center"/>
          </w:tcPr>
          <w:p w14:paraId="75C727BA">
            <w:pPr>
              <w:widowControl/>
              <w:spacing w:line="360" w:lineRule="auto"/>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科研训练及研究能力</w:t>
            </w:r>
          </w:p>
        </w:tc>
        <w:tc>
          <w:tcPr>
            <w:tcW w:w="1037" w:type="dxa"/>
            <w:shd w:val="clear" w:color="auto" w:fill="auto"/>
            <w:noWrap w:val="0"/>
            <w:vAlign w:val="center"/>
          </w:tcPr>
          <w:p w14:paraId="040AB0C9">
            <w:pPr>
              <w:widowControl/>
              <w:spacing w:line="360" w:lineRule="auto"/>
              <w:jc w:val="center"/>
              <w:rPr>
                <w:rFonts w:hint="eastAsia"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25</w:t>
            </w:r>
            <w:r>
              <w:rPr>
                <w:rFonts w:hint="eastAsia" w:ascii="宋体" w:hAnsi="宋体" w:cs="宋体"/>
                <w:color w:val="000000"/>
                <w:kern w:val="0"/>
                <w:szCs w:val="21"/>
                <w:lang w:bidi="ar"/>
              </w:rPr>
              <w:t>%</w:t>
            </w:r>
          </w:p>
        </w:tc>
        <w:tc>
          <w:tcPr>
            <w:tcW w:w="6269" w:type="dxa"/>
            <w:shd w:val="clear" w:color="auto" w:fill="auto"/>
            <w:noWrap w:val="0"/>
            <w:vAlign w:val="center"/>
          </w:tcPr>
          <w:p w14:paraId="312344D6">
            <w:pPr>
              <w:widowControl/>
              <w:spacing w:line="360" w:lineRule="auto"/>
              <w:ind w:firstLine="420" w:firstLineChars="200"/>
              <w:jc w:val="left"/>
              <w:rPr>
                <w:rFonts w:hint="eastAsia" w:ascii="宋体" w:hAnsi="宋体" w:cs="宋体"/>
                <w:bCs/>
                <w:color w:val="000000"/>
                <w:szCs w:val="21"/>
              </w:rPr>
            </w:pPr>
            <w:r>
              <w:rPr>
                <w:rFonts w:hint="eastAsia" w:ascii="宋体" w:hAnsi="宋体" w:cs="宋体"/>
                <w:bCs/>
                <w:color w:val="000000"/>
                <w:szCs w:val="21"/>
              </w:rPr>
              <w:t>满分值100分。</w:t>
            </w:r>
          </w:p>
          <w:p w14:paraId="5378E063">
            <w:pPr>
              <w:widowControl/>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cs="宋体"/>
                <w:bCs/>
                <w:color w:val="000000"/>
                <w:szCs w:val="21"/>
                <w:lang w:val="en-US" w:eastAsia="zh-CN"/>
              </w:rPr>
              <w:t>参考第三条。</w:t>
            </w:r>
          </w:p>
        </w:tc>
      </w:tr>
      <w:tr w14:paraId="21D9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216" w:type="dxa"/>
            <w:shd w:val="clear" w:color="auto" w:fill="auto"/>
            <w:noWrap w:val="0"/>
            <w:vAlign w:val="center"/>
          </w:tcPr>
          <w:p w14:paraId="5C8BA807">
            <w:pPr>
              <w:tabs>
                <w:tab w:val="left" w:pos="2700"/>
              </w:tabs>
              <w:snapToGrid w:val="0"/>
              <w:spacing w:line="360" w:lineRule="auto"/>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外语</w:t>
            </w:r>
          </w:p>
        </w:tc>
        <w:tc>
          <w:tcPr>
            <w:tcW w:w="1037" w:type="dxa"/>
            <w:shd w:val="clear" w:color="auto" w:fill="auto"/>
            <w:noWrap w:val="0"/>
            <w:vAlign w:val="center"/>
          </w:tcPr>
          <w:p w14:paraId="3F158C44">
            <w:pPr>
              <w:tabs>
                <w:tab w:val="left" w:pos="2700"/>
              </w:tabs>
              <w:snapToGrid w:val="0"/>
              <w:spacing w:line="360" w:lineRule="auto"/>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10%</w:t>
            </w:r>
          </w:p>
        </w:tc>
        <w:tc>
          <w:tcPr>
            <w:tcW w:w="6269" w:type="dxa"/>
            <w:shd w:val="clear" w:color="auto" w:fill="auto"/>
            <w:noWrap w:val="0"/>
            <w:vAlign w:val="center"/>
          </w:tcPr>
          <w:p w14:paraId="46729F85">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满分值100分。</w:t>
            </w:r>
          </w:p>
          <w:p w14:paraId="6F38613E">
            <w:pPr>
              <w:spacing w:line="360" w:lineRule="auto"/>
              <w:ind w:firstLine="420" w:firstLineChars="200"/>
              <w:rPr>
                <w:rFonts w:hint="default" w:ascii="宋体" w:hAnsi="宋体" w:eastAsia="宋体" w:cs="宋体"/>
                <w:bCs/>
                <w:color w:val="000000"/>
                <w:kern w:val="2"/>
                <w:sz w:val="21"/>
                <w:szCs w:val="21"/>
                <w:lang w:val="en-US" w:eastAsia="zh-CN" w:bidi="ar-SA"/>
              </w:rPr>
            </w:pPr>
            <w:r>
              <w:rPr>
                <w:rFonts w:hint="eastAsia" w:ascii="宋体" w:hAnsi="宋体" w:cs="宋体"/>
                <w:bCs/>
                <w:color w:val="000000"/>
                <w:szCs w:val="21"/>
                <w:lang w:val="en-US" w:eastAsia="zh-CN"/>
              </w:rPr>
              <w:t>参考第四条。</w:t>
            </w:r>
          </w:p>
        </w:tc>
      </w:tr>
      <w:tr w14:paraId="5DF3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216" w:type="dxa"/>
            <w:shd w:val="clear" w:color="auto" w:fill="auto"/>
            <w:noWrap w:val="0"/>
            <w:vAlign w:val="center"/>
          </w:tcPr>
          <w:p w14:paraId="77BFA578">
            <w:pPr>
              <w:widowControl/>
              <w:spacing w:line="360" w:lineRule="auto"/>
              <w:jc w:val="center"/>
              <w:rPr>
                <w:rFonts w:hint="eastAsia" w:ascii="宋体" w:hAnsi="宋体" w:eastAsia="宋体" w:cs="宋体"/>
                <w:color w:val="auto"/>
                <w:kern w:val="0"/>
                <w:sz w:val="21"/>
                <w:szCs w:val="21"/>
                <w:lang w:val="en-US" w:eastAsia="zh-CN" w:bidi="ar"/>
              </w:rPr>
            </w:pPr>
            <w:r>
              <w:rPr>
                <w:rFonts w:hint="eastAsia" w:ascii="宋体" w:hAnsi="宋体" w:cs="宋体"/>
                <w:color w:val="auto"/>
                <w:kern w:val="0"/>
                <w:szCs w:val="21"/>
                <w:lang w:bidi="ar"/>
              </w:rPr>
              <w:t>综合素质</w:t>
            </w:r>
          </w:p>
        </w:tc>
        <w:tc>
          <w:tcPr>
            <w:tcW w:w="1037" w:type="dxa"/>
            <w:shd w:val="clear" w:color="auto" w:fill="auto"/>
            <w:noWrap w:val="0"/>
            <w:vAlign w:val="center"/>
          </w:tcPr>
          <w:p w14:paraId="46055844">
            <w:pPr>
              <w:widowControl/>
              <w:spacing w:line="360" w:lineRule="auto"/>
              <w:jc w:val="center"/>
              <w:rPr>
                <w:rFonts w:hint="eastAsia" w:ascii="宋体" w:hAnsi="宋体" w:eastAsia="宋体" w:cs="宋体"/>
                <w:color w:val="auto"/>
                <w:kern w:val="0"/>
                <w:sz w:val="21"/>
                <w:szCs w:val="21"/>
                <w:lang w:val="en-US" w:eastAsia="zh-CN" w:bidi="ar"/>
              </w:rPr>
            </w:pPr>
            <w:r>
              <w:rPr>
                <w:rFonts w:hint="eastAsia" w:ascii="宋体" w:hAnsi="宋体" w:cs="宋体"/>
                <w:color w:val="auto"/>
                <w:kern w:val="0"/>
                <w:szCs w:val="21"/>
                <w:lang w:val="en-US" w:eastAsia="zh-CN" w:bidi="ar"/>
              </w:rPr>
              <w:t>10</w:t>
            </w:r>
            <w:r>
              <w:rPr>
                <w:rFonts w:hint="eastAsia" w:ascii="宋体" w:hAnsi="宋体" w:cs="宋体"/>
                <w:color w:val="auto"/>
                <w:kern w:val="0"/>
                <w:szCs w:val="21"/>
                <w:lang w:bidi="ar"/>
              </w:rPr>
              <w:t>%</w:t>
            </w:r>
          </w:p>
        </w:tc>
        <w:tc>
          <w:tcPr>
            <w:tcW w:w="6269" w:type="dxa"/>
            <w:shd w:val="clear" w:color="auto" w:fill="auto"/>
            <w:noWrap w:val="0"/>
            <w:vAlign w:val="center"/>
          </w:tcPr>
          <w:p w14:paraId="36A528B9">
            <w:pPr>
              <w:spacing w:line="360" w:lineRule="auto"/>
              <w:ind w:firstLine="424" w:firstLineChars="202"/>
              <w:jc w:val="left"/>
              <w:rPr>
                <w:rFonts w:hint="eastAsia" w:ascii="宋体" w:hAnsi="宋体" w:cs="宋体"/>
                <w:color w:val="auto"/>
                <w:kern w:val="0"/>
                <w:szCs w:val="21"/>
                <w:lang w:bidi="ar"/>
              </w:rPr>
            </w:pPr>
            <w:r>
              <w:rPr>
                <w:rFonts w:hint="eastAsia" w:ascii="宋体" w:hAnsi="宋体" w:cs="宋体"/>
                <w:color w:val="auto"/>
                <w:kern w:val="0"/>
                <w:szCs w:val="21"/>
                <w:lang w:bidi="ar"/>
              </w:rPr>
              <w:t>满分值100分。</w:t>
            </w:r>
          </w:p>
          <w:p w14:paraId="59CB1C68">
            <w:pPr>
              <w:spacing w:line="360" w:lineRule="auto"/>
              <w:ind w:firstLine="424" w:firstLineChars="202"/>
              <w:jc w:val="left"/>
              <w:rPr>
                <w:rFonts w:hint="default" w:ascii="宋体" w:hAnsi="宋体" w:eastAsia="宋体" w:cs="宋体"/>
                <w:color w:val="auto"/>
                <w:kern w:val="0"/>
                <w:sz w:val="21"/>
                <w:szCs w:val="21"/>
                <w:lang w:val="en-US" w:eastAsia="zh-CN" w:bidi="ar"/>
              </w:rPr>
            </w:pPr>
            <w:r>
              <w:rPr>
                <w:rFonts w:hint="eastAsia" w:ascii="宋体" w:hAnsi="宋体" w:cs="宋体"/>
                <w:bCs/>
                <w:color w:val="auto"/>
                <w:szCs w:val="21"/>
              </w:rPr>
              <w:t>前三年综合测评成绩中基本素质测评分</w:t>
            </w:r>
            <w:r>
              <w:rPr>
                <w:rFonts w:hint="eastAsia" w:ascii="宋体" w:hAnsi="宋体" w:cs="宋体"/>
                <w:bCs/>
                <w:color w:val="auto"/>
                <w:szCs w:val="21"/>
                <w:lang w:eastAsia="zh-CN"/>
              </w:rPr>
              <w:t>的</w:t>
            </w:r>
            <w:r>
              <w:rPr>
                <w:rFonts w:hint="eastAsia" w:ascii="宋体" w:hAnsi="宋体" w:cs="宋体"/>
                <w:bCs/>
                <w:color w:val="auto"/>
                <w:szCs w:val="21"/>
                <w:lang w:val="en-US" w:eastAsia="zh-CN"/>
              </w:rPr>
              <w:t>成绩认定</w:t>
            </w:r>
            <w:r>
              <w:rPr>
                <w:rFonts w:hint="eastAsia" w:ascii="宋体" w:hAnsi="宋体" w:cs="宋体"/>
                <w:bCs/>
                <w:color w:val="auto"/>
                <w:szCs w:val="21"/>
                <w:lang w:eastAsia="zh-CN"/>
              </w:rPr>
              <w:t>。</w:t>
            </w:r>
          </w:p>
        </w:tc>
      </w:tr>
      <w:tr w14:paraId="1C65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1216" w:type="dxa"/>
            <w:shd w:val="clear" w:color="auto" w:fill="auto"/>
            <w:noWrap w:val="0"/>
            <w:vAlign w:val="center"/>
          </w:tcPr>
          <w:p w14:paraId="4C6A62E2">
            <w:pPr>
              <w:widowControl/>
              <w:spacing w:line="360" w:lineRule="auto"/>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志愿服务</w:t>
            </w:r>
          </w:p>
        </w:tc>
        <w:tc>
          <w:tcPr>
            <w:tcW w:w="1037" w:type="dxa"/>
            <w:shd w:val="clear" w:color="auto" w:fill="auto"/>
            <w:noWrap w:val="0"/>
            <w:vAlign w:val="center"/>
          </w:tcPr>
          <w:p w14:paraId="0620CF30">
            <w:pPr>
              <w:widowControl/>
              <w:spacing w:line="360" w:lineRule="auto"/>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w:t>
            </w:r>
          </w:p>
        </w:tc>
        <w:tc>
          <w:tcPr>
            <w:tcW w:w="6269" w:type="dxa"/>
            <w:shd w:val="clear" w:color="auto" w:fill="auto"/>
            <w:noWrap w:val="0"/>
            <w:vAlign w:val="center"/>
          </w:tcPr>
          <w:p w14:paraId="308F7573">
            <w:pPr>
              <w:spacing w:line="360" w:lineRule="auto"/>
              <w:ind w:firstLine="424" w:firstLineChars="202"/>
              <w:jc w:val="left"/>
              <w:rPr>
                <w:rFonts w:hint="eastAsia" w:ascii="宋体" w:hAnsi="宋体" w:cs="宋体"/>
                <w:color w:val="000000"/>
                <w:kern w:val="0"/>
                <w:szCs w:val="21"/>
                <w:lang w:bidi="ar"/>
              </w:rPr>
            </w:pPr>
            <w:r>
              <w:rPr>
                <w:rFonts w:hint="eastAsia" w:ascii="宋体" w:hAnsi="宋体" w:cs="宋体"/>
                <w:color w:val="000000"/>
                <w:kern w:val="0"/>
                <w:szCs w:val="21"/>
                <w:lang w:bidi="ar"/>
              </w:rPr>
              <w:t>满分值100分。</w:t>
            </w:r>
          </w:p>
          <w:p w14:paraId="283FFE31">
            <w:pPr>
              <w:spacing w:line="360" w:lineRule="auto"/>
              <w:ind w:firstLine="420" w:firstLineChars="200"/>
              <w:rPr>
                <w:rFonts w:hint="eastAsia" w:ascii="宋体" w:hAnsi="宋体" w:eastAsia="宋体" w:cs="宋体"/>
                <w:color w:val="000000"/>
                <w:kern w:val="0"/>
                <w:sz w:val="21"/>
                <w:szCs w:val="21"/>
                <w:lang w:val="en-US" w:eastAsia="zh-CN" w:bidi="ar"/>
              </w:rPr>
            </w:pPr>
            <w:r>
              <w:rPr>
                <w:rFonts w:hint="eastAsia" w:ascii="宋体" w:hAnsi="宋体" w:cs="宋体"/>
                <w:bCs/>
                <w:color w:val="000000"/>
                <w:szCs w:val="21"/>
              </w:rPr>
              <w:t>由学院学工组提供的</w:t>
            </w:r>
            <w:r>
              <w:rPr>
                <w:rFonts w:hint="eastAsia" w:ascii="宋体" w:hAnsi="宋体" w:cs="宋体"/>
                <w:color w:val="000000"/>
                <w:kern w:val="0"/>
                <w:szCs w:val="21"/>
                <w:lang w:bidi="ar"/>
              </w:rPr>
              <w:t>志愿服务</w:t>
            </w:r>
            <w:r>
              <w:rPr>
                <w:rFonts w:hint="eastAsia" w:ascii="宋体" w:hAnsi="宋体" w:cs="宋体"/>
                <w:bCs/>
                <w:color w:val="000000"/>
                <w:szCs w:val="21"/>
              </w:rPr>
              <w:t>成绩认定。</w:t>
            </w:r>
          </w:p>
        </w:tc>
      </w:tr>
      <w:tr w14:paraId="3720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216" w:type="dxa"/>
            <w:shd w:val="clear" w:color="auto" w:fill="auto"/>
            <w:noWrap w:val="0"/>
            <w:vAlign w:val="center"/>
          </w:tcPr>
          <w:p w14:paraId="6A0D6952">
            <w:pPr>
              <w:widowControl/>
              <w:spacing w:line="360" w:lineRule="auto"/>
              <w:jc w:val="center"/>
              <w:rPr>
                <w:rFonts w:hint="eastAsia" w:ascii="宋体" w:hAnsi="宋体" w:cs="宋体"/>
                <w:color w:val="000000"/>
                <w:kern w:val="0"/>
                <w:szCs w:val="21"/>
                <w:lang w:bidi="ar"/>
              </w:rPr>
            </w:pPr>
            <w:r>
              <w:rPr>
                <w:rFonts w:hint="eastAsia" w:ascii="宋体" w:hAnsi="宋体" w:cs="宋体"/>
                <w:color w:val="000000"/>
                <w:kern w:val="0"/>
                <w:szCs w:val="21"/>
                <w:lang w:bidi="ar"/>
              </w:rPr>
              <w:t>国际组织</w:t>
            </w:r>
          </w:p>
          <w:p w14:paraId="34CF1A48">
            <w:pPr>
              <w:widowControl/>
              <w:spacing w:line="360" w:lineRule="auto"/>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实习</w:t>
            </w:r>
          </w:p>
        </w:tc>
        <w:tc>
          <w:tcPr>
            <w:tcW w:w="1037" w:type="dxa"/>
            <w:shd w:val="clear" w:color="auto" w:fill="auto"/>
            <w:noWrap w:val="0"/>
            <w:vAlign w:val="center"/>
          </w:tcPr>
          <w:p w14:paraId="36EB706F">
            <w:pPr>
              <w:widowControl/>
              <w:spacing w:line="360" w:lineRule="auto"/>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2%</w:t>
            </w:r>
          </w:p>
        </w:tc>
        <w:tc>
          <w:tcPr>
            <w:tcW w:w="6269" w:type="dxa"/>
            <w:shd w:val="clear" w:color="auto" w:fill="auto"/>
            <w:noWrap w:val="0"/>
            <w:vAlign w:val="center"/>
          </w:tcPr>
          <w:p w14:paraId="79634683">
            <w:pPr>
              <w:spacing w:line="360" w:lineRule="auto"/>
              <w:ind w:firstLine="424" w:firstLineChars="202"/>
              <w:jc w:val="left"/>
              <w:rPr>
                <w:rFonts w:hint="eastAsia" w:ascii="宋体" w:hAnsi="宋体" w:cs="宋体"/>
                <w:color w:val="000000"/>
                <w:kern w:val="0"/>
                <w:szCs w:val="21"/>
                <w:lang w:bidi="ar"/>
              </w:rPr>
            </w:pPr>
            <w:r>
              <w:rPr>
                <w:rFonts w:hint="eastAsia" w:ascii="宋体" w:hAnsi="宋体" w:cs="宋体"/>
                <w:color w:val="000000"/>
                <w:kern w:val="0"/>
                <w:szCs w:val="21"/>
                <w:lang w:bidi="ar"/>
              </w:rPr>
              <w:t>满分值100分。</w:t>
            </w:r>
          </w:p>
          <w:p w14:paraId="287D9D7A">
            <w:pPr>
              <w:widowControl/>
              <w:spacing w:line="360" w:lineRule="auto"/>
              <w:ind w:firstLine="420" w:firstLineChars="200"/>
              <w:rPr>
                <w:rFonts w:hint="eastAsia" w:ascii="宋体" w:hAnsi="宋体" w:eastAsia="宋体" w:cs="宋体"/>
                <w:color w:val="000000"/>
                <w:kern w:val="0"/>
                <w:sz w:val="21"/>
                <w:szCs w:val="21"/>
                <w:lang w:val="en-US" w:eastAsia="zh-CN" w:bidi="ar"/>
              </w:rPr>
            </w:pPr>
            <w:r>
              <w:rPr>
                <w:rFonts w:hint="eastAsia" w:ascii="宋体" w:hAnsi="宋体" w:cs="宋体"/>
                <w:bCs/>
                <w:color w:val="000000"/>
                <w:szCs w:val="21"/>
              </w:rPr>
              <w:t>由学院学工组提供的</w:t>
            </w:r>
            <w:r>
              <w:rPr>
                <w:rFonts w:hint="eastAsia" w:ascii="宋体" w:hAnsi="宋体" w:cs="宋体"/>
                <w:color w:val="000000"/>
                <w:kern w:val="0"/>
                <w:szCs w:val="21"/>
                <w:lang w:bidi="ar"/>
              </w:rPr>
              <w:t>国际组织实习</w:t>
            </w:r>
            <w:r>
              <w:rPr>
                <w:rFonts w:hint="eastAsia" w:ascii="宋体" w:hAnsi="宋体" w:cs="宋体"/>
                <w:bCs/>
                <w:color w:val="000000"/>
                <w:szCs w:val="21"/>
              </w:rPr>
              <w:t>成绩认定。</w:t>
            </w:r>
          </w:p>
        </w:tc>
      </w:tr>
    </w:tbl>
    <w:p w14:paraId="1B7087ED">
      <w:pPr>
        <w:rPr>
          <w:rFonts w:hint="eastAsia" w:eastAsia="宋体"/>
          <w:lang w:val="en-US" w:eastAsia="zh-CN"/>
        </w:rPr>
      </w:pPr>
      <w:r>
        <w:rPr>
          <w:rFonts w:hint="eastAsia"/>
          <w:lang w:val="en-US" w:eastAsia="zh-CN"/>
        </w:rPr>
        <w:t>注：学院专家审核评议小组根据综合评价指标体系完成评分工作后，学院安排专人对各项指标加分分值进行交叉审核；经审核确认无误，相关分值予以生效。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4373055-7189-475C-BF87-25A003A185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embedRegular r:id="rId2" w:fontKey="{6B8671DC-6637-495B-B269-D82AC2F12C2D}"/>
  </w:font>
  <w:font w:name="仿宋">
    <w:panose1 w:val="02010609060101010101"/>
    <w:charset w:val="86"/>
    <w:family w:val="modern"/>
    <w:pitch w:val="default"/>
    <w:sig w:usb0="800002BF" w:usb1="38CF7CFA" w:usb2="00000016" w:usb3="00000000" w:csb0="00040001" w:csb1="00000000"/>
    <w:embedRegular r:id="rId3" w:fontKey="{370A8EF7-F5DA-4F0C-BDBA-FA9C2656C7F7}"/>
  </w:font>
  <w:font w:name="方正小标宋简体">
    <w:panose1 w:val="02010600010101010101"/>
    <w:charset w:val="86"/>
    <w:family w:val="script"/>
    <w:pitch w:val="default"/>
    <w:sig w:usb0="00000001" w:usb1="080E0000" w:usb2="00000000" w:usb3="00000000" w:csb0="00040000" w:csb1="00000000"/>
    <w:embedRegular r:id="rId4" w:fontKey="{56D7B24F-56F4-4F8F-8910-26C2A5D5A681}"/>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45BC3C"/>
    <w:multiLevelType w:val="singleLevel"/>
    <w:tmpl w:val="3A45BC3C"/>
    <w:lvl w:ilvl="0" w:tentative="0">
      <w:start w:val="1"/>
      <w:numFmt w:val="decimal"/>
      <w:suff w:val="space"/>
      <w:lvlText w:val="%1."/>
      <w:lvlJc w:val="left"/>
      <w:pPr>
        <w:ind w:left="63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2F1915"/>
    <w:rsid w:val="0F7B6853"/>
    <w:rsid w:val="17AD6F65"/>
    <w:rsid w:val="19B6470D"/>
    <w:rsid w:val="1A693E78"/>
    <w:rsid w:val="1C19367C"/>
    <w:rsid w:val="1E110AAE"/>
    <w:rsid w:val="242E7C7D"/>
    <w:rsid w:val="2D0976FA"/>
    <w:rsid w:val="2EE70552"/>
    <w:rsid w:val="30A77050"/>
    <w:rsid w:val="31262BAF"/>
    <w:rsid w:val="386B082D"/>
    <w:rsid w:val="3BE17AB0"/>
    <w:rsid w:val="3BF910A8"/>
    <w:rsid w:val="3F4E170B"/>
    <w:rsid w:val="40591BC3"/>
    <w:rsid w:val="45A24F4A"/>
    <w:rsid w:val="4B0F0368"/>
    <w:rsid w:val="4B775783"/>
    <w:rsid w:val="4DC66FE1"/>
    <w:rsid w:val="4FBD3D43"/>
    <w:rsid w:val="50E02C60"/>
    <w:rsid w:val="517250A9"/>
    <w:rsid w:val="63891FBE"/>
    <w:rsid w:val="68BA4E6C"/>
    <w:rsid w:val="6A595483"/>
    <w:rsid w:val="6D1159A2"/>
    <w:rsid w:val="6EA71E06"/>
    <w:rsid w:val="70D07922"/>
    <w:rsid w:val="73D47DA6"/>
    <w:rsid w:val="74387CB8"/>
    <w:rsid w:val="77000D49"/>
    <w:rsid w:val="7A2F1915"/>
    <w:rsid w:val="7BEA3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1455</Words>
  <Characters>1540</Characters>
  <Lines>0</Lines>
  <Paragraphs>0</Paragraphs>
  <TotalTime>0</TotalTime>
  <ScaleCrop>false</ScaleCrop>
  <LinksUpToDate>false</LinksUpToDate>
  <CharactersWithSpaces>1545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2026-09-06T07:11:00Z</dcterms:created>
  <dc:creator>胡静宜</dc:creator>
  <cp:lastModifiedBy>胡静宜</cp:lastModifiedBy>
  <dcterms:modified xsi:type="dcterms:W3CDTF">2026-09-07T10:58:19Z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EE0470BFED314D25AA22361C5532612B_13</vt:lpwstr>
  </property>
  <property fmtid="{D5CDD505-2E9C-101B-9397-08002B2CF9AE}" pid="4" name="KSOTemplateDocerSaveRecord">
    <vt:lpwstr>eyJoZGlkIjoiNmRhOTA5NWNjMmRlNDliN2VhN2UxNWYxOWQyM2U0NDUiLCJ1c2VySWQiOiIyNDE4NTg3NzMifQ==</vt:lpwstr>
  </property>
</Properties>
</file>