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5A8CF">
      <w:pPr>
        <w:spacing w:line="274" w:lineRule="auto"/>
        <w:rPr>
          <w:rFonts w:ascii="Arial"/>
          <w:color w:val="auto"/>
          <w:sz w:val="21"/>
          <w:highlight w:val="none"/>
        </w:rPr>
      </w:pPr>
    </w:p>
    <w:p w14:paraId="6BAA5B43">
      <w:pPr>
        <w:spacing w:before="98" w:line="224" w:lineRule="auto"/>
        <w:rPr>
          <w:rFonts w:hint="eastAsia" w:ascii="黑体" w:hAnsi="黑体" w:eastAsia="黑体" w:cs="黑体"/>
          <w:color w:val="auto"/>
          <w:spacing w:val="-14"/>
          <w:sz w:val="30"/>
          <w:szCs w:val="30"/>
          <w:highlight w:val="none"/>
        </w:rPr>
      </w:pPr>
      <w:r>
        <w:rPr>
          <w:rFonts w:hint="eastAsia" w:ascii="黑体" w:hAnsi="黑体" w:eastAsia="黑体" w:cs="黑体"/>
          <w:color w:val="auto"/>
          <w:spacing w:val="-14"/>
          <w:sz w:val="30"/>
          <w:szCs w:val="30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pacing w:val="-14"/>
          <w:sz w:val="30"/>
          <w:szCs w:val="30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color w:val="auto"/>
          <w:spacing w:val="-14"/>
          <w:sz w:val="30"/>
          <w:szCs w:val="30"/>
          <w:highlight w:val="none"/>
        </w:rPr>
        <w:t>：</w:t>
      </w:r>
    </w:p>
    <w:p w14:paraId="5903FCF7">
      <w:pPr>
        <w:spacing w:before="299" w:line="212" w:lineRule="auto"/>
        <w:ind w:left="989"/>
        <w:jc w:val="center"/>
        <w:rPr>
          <w:rFonts w:hint="eastAsia" w:ascii="方正小标宋简体" w:hAnsi="方正小标宋简体" w:eastAsia="方正小标宋简体" w:cs="方正小标宋简体"/>
          <w:color w:val="auto"/>
          <w:spacing w:val="2"/>
          <w:sz w:val="40"/>
          <w:szCs w:val="4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2"/>
          <w:sz w:val="40"/>
          <w:szCs w:val="40"/>
          <w:highlight w:val="none"/>
          <w:lang w:val="en-US" w:eastAsia="zh-CN"/>
        </w:rPr>
        <w:t>艺术</w:t>
      </w:r>
      <w:r>
        <w:rPr>
          <w:rFonts w:hint="eastAsia" w:ascii="方正小标宋简体" w:hAnsi="方正小标宋简体" w:eastAsia="方正小标宋简体" w:cs="方正小标宋简体"/>
          <w:color w:val="auto"/>
          <w:spacing w:val="2"/>
          <w:sz w:val="40"/>
          <w:szCs w:val="40"/>
          <w:highlight w:val="none"/>
        </w:rPr>
        <w:t>学院2027</w:t>
      </w:r>
      <w:r>
        <w:rPr>
          <w:rFonts w:hint="eastAsia" w:ascii="方正小标宋简体" w:hAnsi="方正小标宋简体" w:eastAsia="方正小标宋简体" w:cs="方正小标宋简体"/>
          <w:color w:val="auto"/>
          <w:spacing w:val="2"/>
          <w:sz w:val="40"/>
          <w:szCs w:val="40"/>
          <w:highlight w:val="none"/>
          <w:lang w:val="en-US"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pacing w:val="2"/>
          <w:sz w:val="40"/>
          <w:szCs w:val="40"/>
          <w:highlight w:val="none"/>
        </w:rPr>
        <w:t>推免生综合评价</w:t>
      </w:r>
      <w:r>
        <w:rPr>
          <w:rFonts w:hint="eastAsia" w:ascii="方正小标宋简体" w:hAnsi="方正小标宋简体" w:eastAsia="方正小标宋简体" w:cs="方正小标宋简体"/>
          <w:color w:val="auto"/>
          <w:spacing w:val="2"/>
          <w:sz w:val="40"/>
          <w:szCs w:val="40"/>
          <w:highlight w:val="none"/>
          <w:lang w:val="en-US" w:eastAsia="zh-CN"/>
        </w:rPr>
        <w:t>办法</w:t>
      </w:r>
    </w:p>
    <w:p w14:paraId="11072E07">
      <w:pPr>
        <w:spacing w:before="299" w:line="212" w:lineRule="auto"/>
        <w:ind w:left="989"/>
        <w:jc w:val="center"/>
        <w:rPr>
          <w:rFonts w:hint="eastAsia" w:ascii="方正小标宋简体" w:hAnsi="方正小标宋简体" w:eastAsia="方正小标宋简体" w:cs="方正小标宋简体"/>
          <w:color w:val="auto"/>
          <w:spacing w:val="2"/>
          <w:sz w:val="40"/>
          <w:szCs w:val="40"/>
          <w:highlight w:val="none"/>
          <w:lang w:val="en-US" w:eastAsia="zh-CN"/>
        </w:rPr>
      </w:pPr>
    </w:p>
    <w:p w14:paraId="3A77B443">
      <w:pPr>
        <w:adjustRightInd w:val="0"/>
        <w:snapToGrid w:val="0"/>
        <w:spacing w:before="0" w:beforeLines="0" w:line="240" w:lineRule="auto"/>
        <w:ind w:firstLine="640" w:firstLineChars="200"/>
        <w:jc w:val="left"/>
        <w:outlineLvl w:val="0"/>
        <w:rPr>
          <w:rFonts w:hint="eastAsia" w:ascii="Times New Roman" w:hAnsi="Times New Roman" w:eastAsia="黑体" w:cs="黑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kern w:val="0"/>
          <w:sz w:val="32"/>
          <w:szCs w:val="32"/>
          <w:lang w:val="en-US" w:eastAsia="zh-CN"/>
        </w:rPr>
        <w:t>一、综合评价指标体系及各指标评分标准</w:t>
      </w:r>
    </w:p>
    <w:p w14:paraId="01693C7F">
      <w:pPr>
        <w:adjustRightInd w:val="0"/>
        <w:snapToGrid w:val="0"/>
        <w:spacing w:before="0" w:beforeLines="0" w:line="54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val="en-US" w:eastAsia="zh-CN"/>
        </w:rPr>
        <w:t>为全面、客观、综合地评价学生素质和发展潜力，根据兰州大学《关于做好2027年推荐优秀应届本科毕业生免试攻读研究生工作的通知》和《兰州大学2027年推荐优秀应届本科毕业生免试攻读研究生工作办法》等文件精神，结合艺术学院实际，经学院推免生遴选推荐委员会讨论通过，艺术学院2027年推荐优秀应届本科毕业生免试攻读研究生采用“综合测评入围、总成绩确定排名”的方式进行。</w:t>
      </w:r>
    </w:p>
    <w:p w14:paraId="49B77387">
      <w:pPr>
        <w:adjustRightInd w:val="0"/>
        <w:snapToGrid w:val="0"/>
        <w:spacing w:before="0" w:beforeLines="0" w:line="540" w:lineRule="exact"/>
        <w:ind w:firstLine="640" w:firstLineChars="200"/>
        <w:jc w:val="both"/>
        <w:rPr>
          <w:rFonts w:hint="default" w:ascii="Times New Roman" w:hAnsi="Times New Roman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val="en-US" w:eastAsia="zh-CN"/>
        </w:rPr>
        <w:t>学生总成绩由学业成绩和综合评价成绩加权构成，其中学业成绩占80%，综合评价成绩占20%，两项成绩均按百分制计。综合评价成绩包括综合素质、科研成果、专业水平、英语水平等构成。</w:t>
      </w:r>
    </w:p>
    <w:p w14:paraId="7917A409">
      <w:pPr>
        <w:adjustRightInd w:val="0"/>
        <w:snapToGrid w:val="0"/>
        <w:spacing w:before="0" w:beforeLines="0" w:line="54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val="en-US" w:eastAsia="zh-CN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val="en-US" w:eastAsia="zh-CN"/>
        </w:rPr>
        <w:t>学院综合评价坚持德智体美劳全面发展的评价导向，注重考察学生的综合素质、创新能力、实践能力和发展潜力，坚持全面评价与突出特长相结合，注重学生实际表现和代表性成果，避免将单一学业成绩、科研论文或学科竞赛作为评价学生的唯一依据，构建多维度、综合性的推免生评价体系。</w:t>
      </w:r>
    </w:p>
    <w:p w14:paraId="268B2E6B">
      <w:pPr>
        <w:spacing w:before="299" w:line="212" w:lineRule="auto"/>
        <w:ind w:firstLine="1256" w:firstLineChars="400"/>
        <w:jc w:val="center"/>
        <w:rPr>
          <w:rFonts w:hint="eastAsia" w:ascii="方正小标宋简体" w:hAnsi="方正小标宋简体" w:eastAsia="方正小标宋简体" w:cs="方正小标宋简体"/>
          <w:color w:val="auto"/>
          <w:spacing w:val="2"/>
          <w:sz w:val="31"/>
          <w:szCs w:val="31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2"/>
          <w:sz w:val="31"/>
          <w:szCs w:val="31"/>
          <w:highlight w:val="none"/>
        </w:rPr>
        <w:t>艺术学院 202</w:t>
      </w:r>
      <w:r>
        <w:rPr>
          <w:rFonts w:hint="eastAsia" w:ascii="方正小标宋简体" w:hAnsi="方正小标宋简体" w:eastAsia="方正小标宋简体" w:cs="方正小标宋简体"/>
          <w:color w:val="auto"/>
          <w:spacing w:val="2"/>
          <w:sz w:val="31"/>
          <w:szCs w:val="31"/>
          <w:highlight w:val="none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color w:val="auto"/>
          <w:spacing w:val="2"/>
          <w:sz w:val="31"/>
          <w:szCs w:val="31"/>
          <w:highlight w:val="none"/>
        </w:rPr>
        <w:t xml:space="preserve"> 届本科生推免综合评价指标体系</w:t>
      </w:r>
    </w:p>
    <w:tbl>
      <w:tblPr>
        <w:tblStyle w:val="6"/>
        <w:tblpPr w:leftFromText="180" w:rightFromText="180" w:vertAnchor="text" w:horzAnchor="page" w:tblpX="1428" w:tblpY="891"/>
        <w:tblOverlap w:val="never"/>
        <w:tblW w:w="13983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0"/>
        <w:gridCol w:w="1930"/>
        <w:gridCol w:w="2865"/>
        <w:gridCol w:w="3030"/>
        <w:gridCol w:w="4238"/>
      </w:tblGrid>
      <w:tr w14:paraId="32AB50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920" w:type="dxa"/>
            <w:vAlign w:val="top"/>
          </w:tcPr>
          <w:p w14:paraId="799146DD">
            <w:pPr>
              <w:pStyle w:val="7"/>
              <w:spacing w:before="230" w:line="223" w:lineRule="auto"/>
              <w:ind w:left="503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spacing w:val="-9"/>
                <w:highlight w:val="none"/>
              </w:rPr>
              <w:t>指标</w:t>
            </w:r>
          </w:p>
        </w:tc>
        <w:tc>
          <w:tcPr>
            <w:tcW w:w="4795" w:type="dxa"/>
            <w:gridSpan w:val="2"/>
            <w:vAlign w:val="top"/>
          </w:tcPr>
          <w:p w14:paraId="4C4F72FE">
            <w:pPr>
              <w:pStyle w:val="7"/>
              <w:spacing w:before="230" w:line="223" w:lineRule="auto"/>
              <w:ind w:firstLine="1988" w:firstLineChars="900"/>
              <w:jc w:val="both"/>
              <w:rPr>
                <w:rFonts w:hint="default" w:eastAsia="仿宋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  <w:lang w:val="en-US" w:eastAsia="zh-CN"/>
              </w:rPr>
              <w:t>项目类别</w:t>
            </w:r>
          </w:p>
        </w:tc>
        <w:tc>
          <w:tcPr>
            <w:tcW w:w="3030" w:type="dxa"/>
            <w:vAlign w:val="top"/>
          </w:tcPr>
          <w:p w14:paraId="6CE76224">
            <w:pPr>
              <w:pStyle w:val="7"/>
              <w:spacing w:before="229" w:line="224" w:lineRule="auto"/>
              <w:ind w:firstLine="994" w:firstLineChars="500"/>
              <w:rPr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pacing w:val="-11"/>
                <w:highlight w:val="none"/>
                <w:lang w:val="en-US" w:eastAsia="zh-CN"/>
              </w:rPr>
              <w:t>等级与</w:t>
            </w:r>
            <w:r>
              <w:rPr>
                <w:b/>
                <w:bCs/>
                <w:color w:val="auto"/>
                <w:spacing w:val="-11"/>
                <w:highlight w:val="none"/>
              </w:rPr>
              <w:t>分值</w:t>
            </w:r>
          </w:p>
        </w:tc>
        <w:tc>
          <w:tcPr>
            <w:tcW w:w="4238" w:type="dxa"/>
            <w:vAlign w:val="top"/>
          </w:tcPr>
          <w:p w14:paraId="3F32D9ED">
            <w:pPr>
              <w:pStyle w:val="7"/>
              <w:spacing w:before="229" w:line="224" w:lineRule="auto"/>
              <w:rPr>
                <w:rFonts w:hint="eastAsia"/>
                <w:b/>
                <w:bCs/>
                <w:color w:val="auto"/>
                <w:spacing w:val="-11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pacing w:val="-11"/>
                <w:highlight w:val="none"/>
                <w:lang w:val="en-US" w:eastAsia="zh-CN"/>
              </w:rPr>
              <w:t>备注（所有项目、成果、奖励只可计算一次且均为本科期间获得）</w:t>
            </w:r>
          </w:p>
        </w:tc>
      </w:tr>
      <w:tr w14:paraId="5B9464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1920" w:type="dxa"/>
            <w:vMerge w:val="restart"/>
            <w:vAlign w:val="center"/>
          </w:tcPr>
          <w:p w14:paraId="00A15345">
            <w:pPr>
              <w:spacing w:line="464" w:lineRule="auto"/>
              <w:jc w:val="both"/>
              <w:rPr>
                <w:rFonts w:hint="default" w:ascii="Times New Roman" w:hAnsi="Times New Roman" w:eastAsia="方正仿宋_GB2312" w:cs="Times New Roman"/>
                <w:color w:val="auto"/>
                <w:sz w:val="21"/>
                <w:highlight w:val="none"/>
              </w:rPr>
            </w:pPr>
          </w:p>
          <w:p w14:paraId="2FB0234A">
            <w:pPr>
              <w:pStyle w:val="7"/>
              <w:spacing w:before="72" w:line="225" w:lineRule="auto"/>
              <w:jc w:val="both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  <w:p w14:paraId="4BF08EF5">
            <w:pPr>
              <w:pStyle w:val="7"/>
              <w:spacing w:before="72" w:line="225" w:lineRule="auto"/>
              <w:ind w:firstLine="220" w:firstLineChars="10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  <w:p w14:paraId="7491D3C1">
            <w:pPr>
              <w:pStyle w:val="7"/>
              <w:spacing w:before="72" w:line="225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  <w:p w14:paraId="600CEC5E">
            <w:pPr>
              <w:pStyle w:val="7"/>
              <w:spacing w:before="72" w:line="225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  <w:t>1.德育</w:t>
            </w:r>
          </w:p>
          <w:p w14:paraId="79990541">
            <w:pPr>
              <w:pStyle w:val="7"/>
              <w:spacing w:before="72" w:line="225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val="en-US" w:eastAsia="zh-CN"/>
              </w:rPr>
              <w:t>上限20分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  <w:t>）</w:t>
            </w:r>
          </w:p>
        </w:tc>
        <w:tc>
          <w:tcPr>
            <w:tcW w:w="1930" w:type="dxa"/>
            <w:vMerge w:val="restart"/>
            <w:vAlign w:val="center"/>
          </w:tcPr>
          <w:p w14:paraId="4C278885">
            <w:pPr>
              <w:pStyle w:val="7"/>
              <w:spacing w:before="112"/>
              <w:ind w:right="103"/>
              <w:jc w:val="center"/>
              <w:rPr>
                <w:rFonts w:hint="eastAsia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  <w:t>评优奖励</w:t>
            </w:r>
          </w:p>
          <w:p w14:paraId="763D67E9">
            <w:pPr>
              <w:pStyle w:val="7"/>
              <w:spacing w:before="112"/>
              <w:ind w:right="103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865" w:type="dxa"/>
            <w:vAlign w:val="center"/>
          </w:tcPr>
          <w:p w14:paraId="229EA71D">
            <w:pPr>
              <w:pStyle w:val="7"/>
              <w:spacing w:before="112"/>
              <w:ind w:right="103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国家级</w:t>
            </w:r>
          </w:p>
        </w:tc>
        <w:tc>
          <w:tcPr>
            <w:tcW w:w="3030" w:type="dxa"/>
            <w:vAlign w:val="top"/>
          </w:tcPr>
          <w:p w14:paraId="46D5D0B4">
            <w:pPr>
              <w:spacing w:line="324" w:lineRule="auto"/>
              <w:jc w:val="both"/>
              <w:rPr>
                <w:rFonts w:hint="default" w:ascii="Times New Roman" w:hAnsi="Times New Roman" w:eastAsia="方正仿宋_GB2312" w:cs="Times New Roman"/>
                <w:color w:val="auto"/>
                <w:sz w:val="21"/>
                <w:highlight w:val="none"/>
              </w:rPr>
            </w:pPr>
          </w:p>
          <w:p w14:paraId="632010A3">
            <w:pPr>
              <w:pStyle w:val="7"/>
              <w:spacing w:before="1" w:line="236" w:lineRule="auto"/>
              <w:ind w:firstLine="1320" w:firstLineChars="600"/>
              <w:jc w:val="both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15</w:t>
            </w:r>
          </w:p>
        </w:tc>
        <w:tc>
          <w:tcPr>
            <w:tcW w:w="4238" w:type="dxa"/>
            <w:vMerge w:val="restart"/>
            <w:vAlign w:val="top"/>
          </w:tcPr>
          <w:p w14:paraId="2472B069">
            <w:pPr>
              <w:pStyle w:val="7"/>
              <w:spacing w:before="1" w:line="236" w:lineRule="auto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</w:rPr>
            </w:pPr>
          </w:p>
          <w:p w14:paraId="135063C5">
            <w:pPr>
              <w:pStyle w:val="7"/>
              <w:spacing w:before="1" w:line="236" w:lineRule="auto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</w:rPr>
              <w:t>1.此项专指由学院推荐获得的个人及团队各类荣誉称号。</w:t>
            </w:r>
          </w:p>
          <w:p w14:paraId="564A7536">
            <w:pPr>
              <w:pStyle w:val="7"/>
              <w:spacing w:before="1" w:line="236" w:lineRule="auto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</w:rPr>
              <w:t>2.同类称号/单个项目取最高分，不累加。</w:t>
            </w:r>
          </w:p>
          <w:p w14:paraId="083FB7B7">
            <w:pPr>
              <w:pStyle w:val="7"/>
              <w:spacing w:before="1" w:line="236" w:lineRule="auto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</w:rPr>
              <w:t>3.受学校“榜样的力量”表彰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7.5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</w:rPr>
              <w:t>。</w:t>
            </w:r>
          </w:p>
          <w:p w14:paraId="6C787028">
            <w:pPr>
              <w:pStyle w:val="7"/>
              <w:spacing w:before="1" w:line="236" w:lineRule="auto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</w:rPr>
              <w:t>4.各类优秀学员（营员）1；学校认定的五星级记者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</w:rPr>
              <w:t>，四星级记者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</w:rPr>
              <w:t>，三星级记者1。</w:t>
            </w:r>
          </w:p>
          <w:p w14:paraId="3C9ED0F0">
            <w:pPr>
              <w:pStyle w:val="7"/>
              <w:spacing w:before="1" w:line="236" w:lineRule="auto"/>
              <w:ind w:left="0" w:leftChars="0" w:firstLine="0" w:firstLineChars="0"/>
              <w:jc w:val="both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</w:rPr>
              <w:t>5.学校认定的五星级志愿者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</w:rPr>
              <w:t>，四星级志愿者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1.5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</w:rPr>
              <w:t>，三星级志愿者1.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</w:rPr>
              <w:t>，二星级志愿者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0.8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</w:rPr>
              <w:t>，一星级志愿者0.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</w:rPr>
              <w:t>。</w:t>
            </w:r>
          </w:p>
        </w:tc>
      </w:tr>
      <w:tr w14:paraId="1C0ADF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920" w:type="dxa"/>
            <w:vMerge w:val="continue"/>
            <w:vAlign w:val="center"/>
          </w:tcPr>
          <w:p w14:paraId="78F11318">
            <w:pPr>
              <w:pStyle w:val="7"/>
              <w:spacing w:before="72" w:line="225" w:lineRule="auto"/>
              <w:ind w:firstLine="220" w:firstLineChars="10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930" w:type="dxa"/>
            <w:vMerge w:val="continue"/>
            <w:vAlign w:val="top"/>
          </w:tcPr>
          <w:p w14:paraId="57D116C8">
            <w:pPr>
              <w:pStyle w:val="7"/>
              <w:spacing w:before="112"/>
              <w:ind w:right="103"/>
              <w:jc w:val="both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865" w:type="dxa"/>
            <w:vAlign w:val="top"/>
          </w:tcPr>
          <w:p w14:paraId="4DF7EFA0">
            <w:pPr>
              <w:pStyle w:val="7"/>
              <w:spacing w:before="112"/>
              <w:ind w:right="103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省级</w:t>
            </w:r>
          </w:p>
        </w:tc>
        <w:tc>
          <w:tcPr>
            <w:tcW w:w="3030" w:type="dxa"/>
            <w:vAlign w:val="top"/>
          </w:tcPr>
          <w:p w14:paraId="5335A7ED">
            <w:pPr>
              <w:pStyle w:val="7"/>
              <w:spacing w:before="1" w:line="236" w:lineRule="auto"/>
              <w:jc w:val="both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</w:pPr>
          </w:p>
          <w:p w14:paraId="344BF346">
            <w:pPr>
              <w:pStyle w:val="7"/>
              <w:spacing w:before="1" w:line="236" w:lineRule="auto"/>
              <w:ind w:firstLine="1070" w:firstLineChars="500"/>
              <w:jc w:val="both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 xml:space="preserve">     7.5</w:t>
            </w:r>
          </w:p>
        </w:tc>
        <w:tc>
          <w:tcPr>
            <w:tcW w:w="4238" w:type="dxa"/>
            <w:vMerge w:val="continue"/>
            <w:vAlign w:val="top"/>
          </w:tcPr>
          <w:p w14:paraId="37C89356">
            <w:pPr>
              <w:pStyle w:val="7"/>
              <w:spacing w:before="1" w:line="236" w:lineRule="auto"/>
              <w:ind w:firstLine="1070" w:firstLineChars="500"/>
              <w:jc w:val="both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</w:pPr>
          </w:p>
        </w:tc>
      </w:tr>
      <w:tr w14:paraId="70CDEF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1920" w:type="dxa"/>
            <w:vMerge w:val="continue"/>
            <w:vAlign w:val="center"/>
          </w:tcPr>
          <w:p w14:paraId="40D940E9">
            <w:pPr>
              <w:pStyle w:val="7"/>
              <w:spacing w:before="72" w:line="225" w:lineRule="auto"/>
              <w:ind w:firstLine="220" w:firstLineChars="10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930" w:type="dxa"/>
            <w:vMerge w:val="continue"/>
            <w:vAlign w:val="top"/>
          </w:tcPr>
          <w:p w14:paraId="4C6E7CD0">
            <w:pPr>
              <w:pStyle w:val="7"/>
              <w:spacing w:before="112"/>
              <w:ind w:right="103" w:firstLine="1325" w:firstLineChars="600"/>
              <w:jc w:val="both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865" w:type="dxa"/>
            <w:vAlign w:val="top"/>
          </w:tcPr>
          <w:p w14:paraId="2823FDAD">
            <w:pPr>
              <w:pStyle w:val="7"/>
              <w:spacing w:before="112"/>
              <w:ind w:right="103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地市级、校级</w:t>
            </w:r>
          </w:p>
        </w:tc>
        <w:tc>
          <w:tcPr>
            <w:tcW w:w="3030" w:type="dxa"/>
            <w:vAlign w:val="top"/>
          </w:tcPr>
          <w:p w14:paraId="39C35BC0">
            <w:pPr>
              <w:pStyle w:val="7"/>
              <w:spacing w:before="1" w:line="236" w:lineRule="auto"/>
              <w:ind w:left="196" w:firstLine="214" w:firstLineChars="100"/>
              <w:jc w:val="both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</w:pPr>
          </w:p>
          <w:p w14:paraId="470AA1DA">
            <w:pPr>
              <w:pStyle w:val="7"/>
              <w:spacing w:before="1" w:line="236" w:lineRule="auto"/>
              <w:ind w:left="196" w:firstLine="856" w:firstLineChars="400"/>
              <w:jc w:val="both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 xml:space="preserve">      6</w:t>
            </w:r>
          </w:p>
        </w:tc>
        <w:tc>
          <w:tcPr>
            <w:tcW w:w="4238" w:type="dxa"/>
            <w:vMerge w:val="continue"/>
            <w:vAlign w:val="top"/>
          </w:tcPr>
          <w:p w14:paraId="708EE8D2">
            <w:pPr>
              <w:pStyle w:val="7"/>
              <w:spacing w:before="1" w:line="236" w:lineRule="auto"/>
              <w:ind w:left="196" w:firstLine="856" w:firstLineChars="400"/>
              <w:jc w:val="both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</w:pPr>
          </w:p>
        </w:tc>
      </w:tr>
      <w:tr w14:paraId="14052D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1920" w:type="dxa"/>
            <w:vMerge w:val="continue"/>
            <w:vAlign w:val="center"/>
          </w:tcPr>
          <w:p w14:paraId="00EF2F89">
            <w:pPr>
              <w:pStyle w:val="7"/>
              <w:spacing w:before="72" w:line="225" w:lineRule="auto"/>
              <w:ind w:firstLine="220" w:firstLineChars="10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930" w:type="dxa"/>
            <w:vMerge w:val="continue"/>
            <w:vAlign w:val="top"/>
          </w:tcPr>
          <w:p w14:paraId="20F96C35">
            <w:pPr>
              <w:pStyle w:val="7"/>
              <w:spacing w:before="112"/>
              <w:ind w:right="103" w:firstLine="1767" w:firstLineChars="800"/>
              <w:jc w:val="both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865" w:type="dxa"/>
            <w:vAlign w:val="top"/>
          </w:tcPr>
          <w:p w14:paraId="1210294C">
            <w:pPr>
              <w:pStyle w:val="7"/>
              <w:spacing w:before="112"/>
              <w:ind w:right="103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院级</w:t>
            </w:r>
          </w:p>
        </w:tc>
        <w:tc>
          <w:tcPr>
            <w:tcW w:w="3030" w:type="dxa"/>
            <w:vAlign w:val="top"/>
          </w:tcPr>
          <w:p w14:paraId="73CA8355">
            <w:pPr>
              <w:pStyle w:val="7"/>
              <w:spacing w:before="1" w:line="236" w:lineRule="auto"/>
              <w:ind w:left="196" w:firstLine="1070" w:firstLineChars="500"/>
              <w:jc w:val="both"/>
              <w:rPr>
                <w:rFonts w:hint="eastAsia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</w:pPr>
          </w:p>
          <w:p w14:paraId="678B7DAD">
            <w:pPr>
              <w:pStyle w:val="7"/>
              <w:spacing w:before="1" w:line="236" w:lineRule="auto"/>
              <w:ind w:left="216" w:leftChars="103" w:firstLine="1040" w:firstLineChars="486"/>
              <w:jc w:val="both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2</w:t>
            </w:r>
          </w:p>
        </w:tc>
        <w:tc>
          <w:tcPr>
            <w:tcW w:w="4238" w:type="dxa"/>
            <w:vMerge w:val="continue"/>
            <w:vAlign w:val="top"/>
          </w:tcPr>
          <w:p w14:paraId="186FFAAA">
            <w:pPr>
              <w:pStyle w:val="7"/>
              <w:spacing w:before="1" w:line="236" w:lineRule="auto"/>
              <w:ind w:left="196" w:firstLine="856" w:firstLineChars="400"/>
              <w:jc w:val="both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</w:pPr>
          </w:p>
        </w:tc>
      </w:tr>
      <w:tr w14:paraId="6F1F70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1920" w:type="dxa"/>
            <w:vMerge w:val="continue"/>
            <w:vAlign w:val="center"/>
          </w:tcPr>
          <w:p w14:paraId="71B173BD">
            <w:pPr>
              <w:pStyle w:val="7"/>
              <w:spacing w:before="72" w:line="225" w:lineRule="auto"/>
              <w:ind w:firstLine="220" w:firstLineChars="10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930" w:type="dxa"/>
            <w:vAlign w:val="top"/>
          </w:tcPr>
          <w:p w14:paraId="3732E75E">
            <w:pPr>
              <w:pStyle w:val="7"/>
              <w:spacing w:before="112"/>
              <w:ind w:right="103"/>
              <w:jc w:val="both"/>
              <w:rPr>
                <w:rFonts w:hint="eastAsia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  <w:p w14:paraId="08962E51">
            <w:pPr>
              <w:pStyle w:val="7"/>
              <w:spacing w:before="112"/>
              <w:ind w:right="103" w:firstLine="442" w:firstLineChars="200"/>
              <w:jc w:val="both"/>
              <w:rPr>
                <w:rFonts w:hint="eastAsia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  <w:t>思想成长</w:t>
            </w:r>
          </w:p>
          <w:p w14:paraId="61ACFD4D">
            <w:pPr>
              <w:pStyle w:val="7"/>
              <w:spacing w:before="112"/>
              <w:ind w:right="103" w:firstLine="442" w:firstLineChars="200"/>
              <w:jc w:val="both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865" w:type="dxa"/>
            <w:vAlign w:val="top"/>
          </w:tcPr>
          <w:p w14:paraId="7F439DE1">
            <w:pPr>
              <w:pStyle w:val="7"/>
              <w:spacing w:before="112"/>
              <w:ind w:right="103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  <w:p w14:paraId="621B3C8A">
            <w:pPr>
              <w:pStyle w:val="7"/>
              <w:spacing w:before="112"/>
              <w:ind w:right="103" w:firstLine="220" w:firstLineChars="100"/>
              <w:jc w:val="both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思想成长</w:t>
            </w:r>
            <w:r>
              <w:rPr>
                <w:rFonts w:hint="eastAsia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类活动参与情况</w:t>
            </w:r>
          </w:p>
        </w:tc>
        <w:tc>
          <w:tcPr>
            <w:tcW w:w="3030" w:type="dxa"/>
            <w:vAlign w:val="top"/>
          </w:tcPr>
          <w:p w14:paraId="7658C811">
            <w:pPr>
              <w:pStyle w:val="7"/>
              <w:spacing w:before="1" w:line="236" w:lineRule="auto"/>
              <w:jc w:val="center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排名前20%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——5</w:t>
            </w:r>
          </w:p>
          <w:p w14:paraId="14BF2127">
            <w:pPr>
              <w:pStyle w:val="7"/>
              <w:spacing w:before="1" w:line="236" w:lineRule="auto"/>
              <w:jc w:val="center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排名为20%-40%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——4</w:t>
            </w:r>
          </w:p>
          <w:p w14:paraId="7E0FAC12">
            <w:pPr>
              <w:pStyle w:val="7"/>
              <w:spacing w:before="1" w:line="236" w:lineRule="auto"/>
              <w:jc w:val="center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排名为40%-60%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——3</w:t>
            </w:r>
          </w:p>
          <w:p w14:paraId="3398A5BC">
            <w:pPr>
              <w:pStyle w:val="7"/>
              <w:spacing w:before="1" w:line="236" w:lineRule="auto"/>
              <w:jc w:val="center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排名低于前60%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——2</w:t>
            </w:r>
          </w:p>
        </w:tc>
        <w:tc>
          <w:tcPr>
            <w:tcW w:w="4238" w:type="dxa"/>
            <w:vAlign w:val="top"/>
          </w:tcPr>
          <w:p w14:paraId="695A11EC">
            <w:pPr>
              <w:pStyle w:val="7"/>
              <w:spacing w:before="1" w:line="236" w:lineRule="auto"/>
              <w:jc w:val="both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B772F2A">
            <w:pPr>
              <w:pStyle w:val="7"/>
              <w:spacing w:before="1" w:line="236" w:lineRule="auto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分数对应第二课堂成绩单“思想成长”模块；班级排名以学校第二课堂系统导出数据为准。</w:t>
            </w:r>
          </w:p>
        </w:tc>
      </w:tr>
      <w:tr w14:paraId="0943B1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920" w:type="dxa"/>
            <w:vMerge w:val="restart"/>
            <w:vAlign w:val="center"/>
          </w:tcPr>
          <w:p w14:paraId="447D7C0C">
            <w:pPr>
              <w:spacing w:line="467" w:lineRule="auto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1"/>
                <w:highlight w:val="none"/>
              </w:rPr>
            </w:pPr>
          </w:p>
          <w:p w14:paraId="4C06FD0B">
            <w:pPr>
              <w:pStyle w:val="7"/>
              <w:spacing w:before="72" w:line="223" w:lineRule="auto"/>
              <w:ind w:left="286"/>
              <w:jc w:val="center"/>
              <w:rPr>
                <w:rFonts w:hint="default" w:ascii="Times New Roman" w:hAnsi="Times New Roman" w:eastAsia="方正仿宋_GB2312" w:cs="Times New Roman"/>
                <w:color w:val="auto"/>
                <w:spacing w:val="-4"/>
                <w:highlight w:val="none"/>
              </w:rPr>
            </w:pPr>
          </w:p>
          <w:p w14:paraId="27934C24">
            <w:pPr>
              <w:pStyle w:val="7"/>
              <w:spacing w:before="72" w:line="223" w:lineRule="auto"/>
              <w:ind w:left="286"/>
              <w:jc w:val="center"/>
              <w:rPr>
                <w:rFonts w:hint="default" w:ascii="Times New Roman" w:hAnsi="Times New Roman" w:eastAsia="方正仿宋_GB2312" w:cs="Times New Roman"/>
                <w:color w:val="auto"/>
                <w:spacing w:val="-4"/>
                <w:highlight w:val="none"/>
              </w:rPr>
            </w:pPr>
          </w:p>
          <w:p w14:paraId="1DCCBF69">
            <w:pPr>
              <w:pStyle w:val="7"/>
              <w:numPr>
                <w:ilvl w:val="0"/>
                <w:numId w:val="1"/>
              </w:numPr>
              <w:spacing w:before="72" w:line="225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  <w:t>智育</w:t>
            </w:r>
          </w:p>
          <w:p w14:paraId="1F3B8FE7">
            <w:pPr>
              <w:pStyle w:val="7"/>
              <w:numPr>
                <w:ilvl w:val="0"/>
                <w:numId w:val="0"/>
              </w:numPr>
              <w:spacing w:before="72" w:line="225" w:lineRule="auto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  <w:t>（上限45分）</w:t>
            </w:r>
          </w:p>
          <w:p w14:paraId="0F5649BC">
            <w:pPr>
              <w:spacing w:line="469" w:lineRule="auto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1"/>
                <w:highlight w:val="none"/>
              </w:rPr>
            </w:pPr>
          </w:p>
          <w:p w14:paraId="2F44A413">
            <w:pPr>
              <w:spacing w:line="469" w:lineRule="auto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1"/>
                <w:highlight w:val="none"/>
              </w:rPr>
            </w:pPr>
          </w:p>
          <w:p w14:paraId="138AEAB1">
            <w:pPr>
              <w:pStyle w:val="7"/>
              <w:spacing w:before="71" w:line="224" w:lineRule="auto"/>
              <w:ind w:left="288"/>
              <w:jc w:val="center"/>
              <w:rPr>
                <w:rFonts w:hint="default" w:ascii="Times New Roman" w:hAnsi="Times New Roman" w:eastAsia="方正仿宋_GB2312" w:cs="Times New Roman"/>
                <w:color w:val="auto"/>
                <w:spacing w:val="-5"/>
                <w:highlight w:val="none"/>
              </w:rPr>
            </w:pPr>
          </w:p>
          <w:p w14:paraId="08511FC2">
            <w:pPr>
              <w:pStyle w:val="7"/>
              <w:spacing w:before="71" w:line="224" w:lineRule="auto"/>
              <w:ind w:left="288"/>
              <w:jc w:val="center"/>
              <w:rPr>
                <w:rFonts w:hint="default" w:ascii="Times New Roman" w:hAnsi="Times New Roman" w:eastAsia="方正仿宋_GB2312" w:cs="Times New Roman"/>
                <w:color w:val="auto"/>
                <w:spacing w:val="-5"/>
                <w:highlight w:val="none"/>
              </w:rPr>
            </w:pPr>
          </w:p>
          <w:p w14:paraId="476202B1">
            <w:pPr>
              <w:pStyle w:val="7"/>
              <w:spacing w:before="71" w:line="224" w:lineRule="auto"/>
              <w:ind w:left="285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</w:rPr>
            </w:pPr>
          </w:p>
        </w:tc>
        <w:tc>
          <w:tcPr>
            <w:tcW w:w="1930" w:type="dxa"/>
            <w:vMerge w:val="restart"/>
            <w:vAlign w:val="center"/>
          </w:tcPr>
          <w:p w14:paraId="1E533D97">
            <w:pPr>
              <w:adjustRightInd w:val="0"/>
              <w:snapToGrid w:val="0"/>
              <w:spacing w:before="0" w:line="223" w:lineRule="auto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val="en-US" w:eastAsia="zh-CN"/>
              </w:rPr>
              <w:t>科研训练</w:t>
            </w:r>
          </w:p>
        </w:tc>
        <w:tc>
          <w:tcPr>
            <w:tcW w:w="2865" w:type="dxa"/>
            <w:vAlign w:val="center"/>
          </w:tcPr>
          <w:p w14:paraId="7EEB5335">
            <w:pPr>
              <w:adjustRightInd w:val="0"/>
              <w:snapToGrid w:val="0"/>
              <w:spacing w:before="0" w:line="223" w:lineRule="auto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pacing w:val="0"/>
                <w:kern w:val="0"/>
                <w:sz w:val="22"/>
                <w:szCs w:val="22"/>
                <w:highlight w:val="none"/>
                <w:lang w:val="en-US" w:eastAsia="zh-CN"/>
              </w:rPr>
              <w:t>国家级、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pacing w:val="0"/>
                <w:kern w:val="0"/>
                <w:sz w:val="22"/>
                <w:szCs w:val="22"/>
                <w:highlight w:val="none"/>
              </w:rPr>
              <w:t>省级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pacing w:val="0"/>
                <w:kern w:val="0"/>
                <w:sz w:val="22"/>
                <w:szCs w:val="22"/>
                <w:highlight w:val="none"/>
              </w:rPr>
              <w:t>校级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pacing w:val="0"/>
                <w:kern w:val="0"/>
                <w:sz w:val="22"/>
                <w:szCs w:val="22"/>
                <w:highlight w:val="none"/>
                <w:lang w:val="en-US" w:eastAsia="zh-CN"/>
              </w:rPr>
              <w:t>创新创业立项</w:t>
            </w:r>
          </w:p>
        </w:tc>
        <w:tc>
          <w:tcPr>
            <w:tcW w:w="3030" w:type="dxa"/>
            <w:vAlign w:val="center"/>
          </w:tcPr>
          <w:p w14:paraId="43CF5A0E">
            <w:pPr>
              <w:pStyle w:val="7"/>
              <w:spacing w:before="112"/>
              <w:ind w:left="0" w:leftChars="0" w:right="103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负责人加分：15、10、7</w:t>
            </w:r>
          </w:p>
        </w:tc>
        <w:tc>
          <w:tcPr>
            <w:tcW w:w="4238" w:type="dxa"/>
            <w:vMerge w:val="restart"/>
            <w:vAlign w:val="top"/>
          </w:tcPr>
          <w:p w14:paraId="06C2B7D0">
            <w:pPr>
              <w:adjustRightInd w:val="0"/>
              <w:snapToGrid w:val="0"/>
              <w:spacing w:before="0" w:line="224" w:lineRule="auto"/>
              <w:ind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color w:val="auto"/>
                <w:spacing w:val="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auto"/>
                <w:spacing w:val="0"/>
                <w:kern w:val="0"/>
                <w:sz w:val="22"/>
                <w:szCs w:val="22"/>
                <w:highlight w:val="none"/>
                <w:lang w:val="en-US" w:eastAsia="zh-CN"/>
              </w:rPr>
              <w:t>计分以项目负责人得分作为基准：团队第二名成员按基准分的0.8倍计分，第三、四名成员按基准分的0.6倍计分，第四名之后成员按基准分的0.5倍计分。仅挂名、未实际参与工作的人员，不予计分；获评校级优秀的项目，项目负责人额外加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color w:val="auto"/>
                <w:spacing w:val="0"/>
                <w:kern w:val="0"/>
                <w:sz w:val="22"/>
                <w:szCs w:val="22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auto"/>
                <w:spacing w:val="0"/>
                <w:kern w:val="0"/>
                <w:sz w:val="22"/>
                <w:szCs w:val="22"/>
                <w:highlight w:val="none"/>
                <w:lang w:val="en-US" w:eastAsia="zh-CN"/>
              </w:rPr>
              <w:t>分，其他团队成员每人额外加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color w:val="auto"/>
                <w:spacing w:val="0"/>
                <w:kern w:val="0"/>
                <w:sz w:val="22"/>
                <w:szCs w:val="22"/>
                <w:highlight w:val="none"/>
                <w:lang w:val="en-US" w:eastAsia="zh-CN"/>
              </w:rPr>
              <w:t>0.5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auto"/>
                <w:spacing w:val="0"/>
                <w:kern w:val="0"/>
                <w:sz w:val="22"/>
                <w:szCs w:val="22"/>
                <w:highlight w:val="none"/>
                <w:lang w:val="en-US" w:eastAsia="zh-CN"/>
              </w:rPr>
              <w:t>分，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创新创业项目加分标准为顺利通过结项答辩项目的加分标准，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auto"/>
                <w:spacing w:val="0"/>
                <w:kern w:val="0"/>
                <w:sz w:val="22"/>
                <w:szCs w:val="22"/>
                <w:highlight w:val="none"/>
                <w:lang w:val="en-US" w:eastAsia="zh-CN"/>
              </w:rPr>
              <w:t>在研项目在以上分数基础上扣</w:t>
            </w: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color w:val="auto"/>
                <w:spacing w:val="0"/>
                <w:kern w:val="0"/>
                <w:sz w:val="22"/>
                <w:szCs w:val="22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auto"/>
                <w:spacing w:val="0"/>
                <w:kern w:val="0"/>
                <w:sz w:val="22"/>
                <w:szCs w:val="22"/>
                <w:highlight w:val="none"/>
                <w:lang w:val="en-US" w:eastAsia="zh-CN"/>
              </w:rPr>
              <w:t>分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。创新创业项目和创新创业比赛，各认一项最高项。</w:t>
            </w:r>
          </w:p>
        </w:tc>
      </w:tr>
      <w:tr w14:paraId="63F888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20" w:type="dxa"/>
            <w:vMerge w:val="continue"/>
            <w:vAlign w:val="center"/>
          </w:tcPr>
          <w:p w14:paraId="5385BE6E">
            <w:pPr>
              <w:pStyle w:val="7"/>
              <w:spacing w:before="71" w:line="224" w:lineRule="auto"/>
              <w:ind w:left="285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</w:rPr>
            </w:pPr>
          </w:p>
        </w:tc>
        <w:tc>
          <w:tcPr>
            <w:tcW w:w="1930" w:type="dxa"/>
            <w:vMerge w:val="continue"/>
            <w:vAlign w:val="center"/>
          </w:tcPr>
          <w:p w14:paraId="0FAC1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5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2865" w:type="dxa"/>
            <w:vMerge w:val="restart"/>
            <w:vAlign w:val="center"/>
          </w:tcPr>
          <w:p w14:paraId="7AC874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5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pacing w:val="0"/>
                <w:kern w:val="0"/>
                <w:sz w:val="22"/>
                <w:szCs w:val="22"/>
                <w:highlight w:val="none"/>
                <w:lang w:val="en-US" w:eastAsia="zh-CN"/>
              </w:rPr>
              <w:t>“互联网+”、“挑战杯”、“创青春”创新创业大赛获奖</w:t>
            </w:r>
          </w:p>
        </w:tc>
        <w:tc>
          <w:tcPr>
            <w:tcW w:w="3030" w:type="dxa"/>
            <w:vAlign w:val="center"/>
          </w:tcPr>
          <w:p w14:paraId="605C2A1C">
            <w:pPr>
              <w:pStyle w:val="7"/>
              <w:spacing w:before="112"/>
              <w:ind w:left="0" w:leftChars="0" w:right="103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负责人加分：国家级一等奖15分、二等奖13分、三等奖11分；</w:t>
            </w:r>
          </w:p>
        </w:tc>
        <w:tc>
          <w:tcPr>
            <w:tcW w:w="4238" w:type="dxa"/>
            <w:vMerge w:val="continue"/>
            <w:vAlign w:val="top"/>
          </w:tcPr>
          <w:p w14:paraId="4E057C94">
            <w:pPr>
              <w:adjustRightInd w:val="0"/>
              <w:snapToGrid w:val="0"/>
              <w:spacing w:before="0" w:line="224" w:lineRule="auto"/>
              <w:jc w:val="both"/>
              <w:rPr>
                <w:rFonts w:hint="default" w:ascii="Times New Roman" w:hAnsi="Times New Roman" w:eastAsia="方正仿宋_GB2312" w:cs="Times New Roman"/>
                <w:b w:val="0"/>
                <w:bCs w:val="0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BB4C0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20" w:type="dxa"/>
            <w:vMerge w:val="continue"/>
            <w:vAlign w:val="center"/>
          </w:tcPr>
          <w:p w14:paraId="5DD01E21">
            <w:pPr>
              <w:pStyle w:val="7"/>
              <w:spacing w:before="71" w:line="224" w:lineRule="auto"/>
              <w:ind w:left="285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</w:rPr>
            </w:pPr>
          </w:p>
        </w:tc>
        <w:tc>
          <w:tcPr>
            <w:tcW w:w="1930" w:type="dxa"/>
            <w:vMerge w:val="continue"/>
            <w:vAlign w:val="center"/>
          </w:tcPr>
          <w:p w14:paraId="46BBB777">
            <w:pPr>
              <w:adjustRightInd w:val="0"/>
              <w:snapToGrid w:val="0"/>
              <w:spacing w:before="0" w:line="223" w:lineRule="auto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865" w:type="dxa"/>
            <w:vMerge w:val="continue"/>
            <w:vAlign w:val="center"/>
          </w:tcPr>
          <w:p w14:paraId="61961EB9">
            <w:pPr>
              <w:adjustRightInd w:val="0"/>
              <w:snapToGrid w:val="0"/>
              <w:spacing w:before="0" w:line="223" w:lineRule="auto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3030" w:type="dxa"/>
            <w:vAlign w:val="center"/>
          </w:tcPr>
          <w:p w14:paraId="4F2FC4A2">
            <w:pPr>
              <w:pStyle w:val="7"/>
              <w:spacing w:before="112"/>
              <w:ind w:left="0" w:leftChars="0" w:right="103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负责人加分：省级一等奖10分、二等奖9分、三等奖8分；</w:t>
            </w:r>
          </w:p>
        </w:tc>
        <w:tc>
          <w:tcPr>
            <w:tcW w:w="4238" w:type="dxa"/>
            <w:vMerge w:val="continue"/>
            <w:vAlign w:val="top"/>
          </w:tcPr>
          <w:p w14:paraId="104D3B25">
            <w:pPr>
              <w:adjustRightInd w:val="0"/>
              <w:snapToGrid w:val="0"/>
              <w:spacing w:before="0" w:line="224" w:lineRule="auto"/>
              <w:jc w:val="both"/>
              <w:rPr>
                <w:rFonts w:hint="default" w:ascii="Times New Roman" w:hAnsi="Times New Roman" w:eastAsia="方正仿宋_GB2312" w:cs="Times New Roman"/>
                <w:b w:val="0"/>
                <w:bCs w:val="0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7B444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920" w:type="dxa"/>
            <w:vMerge w:val="continue"/>
            <w:vAlign w:val="center"/>
          </w:tcPr>
          <w:p w14:paraId="00BBAC14">
            <w:pPr>
              <w:pStyle w:val="7"/>
              <w:spacing w:before="71" w:line="224" w:lineRule="auto"/>
              <w:ind w:left="285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</w:rPr>
            </w:pPr>
          </w:p>
        </w:tc>
        <w:tc>
          <w:tcPr>
            <w:tcW w:w="1930" w:type="dxa"/>
            <w:vMerge w:val="continue"/>
            <w:vAlign w:val="top"/>
          </w:tcPr>
          <w:p w14:paraId="5EE0AAF7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865" w:type="dxa"/>
            <w:vMerge w:val="continue"/>
            <w:vAlign w:val="top"/>
          </w:tcPr>
          <w:p w14:paraId="683CAE68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3030" w:type="dxa"/>
            <w:vAlign w:val="top"/>
          </w:tcPr>
          <w:p w14:paraId="70133434">
            <w:pPr>
              <w:pStyle w:val="7"/>
              <w:spacing w:before="112"/>
              <w:ind w:left="0" w:leftChars="0" w:right="103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负责人加分：校级一等奖7分、二等奖6分、三等奖5分；</w:t>
            </w:r>
          </w:p>
        </w:tc>
        <w:tc>
          <w:tcPr>
            <w:tcW w:w="4238" w:type="dxa"/>
            <w:vMerge w:val="continue"/>
            <w:vAlign w:val="top"/>
          </w:tcPr>
          <w:p w14:paraId="79B358F9">
            <w:pPr>
              <w:adjustRightInd w:val="0"/>
              <w:snapToGrid w:val="0"/>
              <w:spacing w:before="0" w:line="224" w:lineRule="auto"/>
              <w:jc w:val="both"/>
              <w:rPr>
                <w:rFonts w:hint="default" w:ascii="Times New Roman" w:hAnsi="Times New Roman" w:eastAsia="方正仿宋_GB2312" w:cs="Times New Roman"/>
                <w:b w:val="0"/>
                <w:bCs w:val="0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30767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20" w:type="dxa"/>
            <w:vMerge w:val="continue"/>
            <w:vAlign w:val="center"/>
          </w:tcPr>
          <w:p w14:paraId="019EFCFE">
            <w:pPr>
              <w:pStyle w:val="7"/>
              <w:spacing w:before="72" w:line="223" w:lineRule="auto"/>
              <w:ind w:left="286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</w:rPr>
            </w:pPr>
          </w:p>
        </w:tc>
        <w:tc>
          <w:tcPr>
            <w:tcW w:w="1930" w:type="dxa"/>
            <w:vAlign w:val="center"/>
          </w:tcPr>
          <w:p w14:paraId="3AB4F3D3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  <w:lang w:val="en-US" w:eastAsia="zh-CN"/>
              </w:rPr>
              <w:t>学术成果</w:t>
            </w:r>
          </w:p>
        </w:tc>
        <w:tc>
          <w:tcPr>
            <w:tcW w:w="2865" w:type="dxa"/>
            <w:vAlign w:val="top"/>
          </w:tcPr>
          <w:p w14:paraId="5038CCCD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</w:p>
          <w:p w14:paraId="520E2603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CSSCI/发明专利、CSSCI拓展版、普刊</w:t>
            </w:r>
          </w:p>
        </w:tc>
        <w:tc>
          <w:tcPr>
            <w:tcW w:w="3030" w:type="dxa"/>
            <w:vAlign w:val="center"/>
          </w:tcPr>
          <w:p w14:paraId="374DB9C8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15、10、5（一作/通讯）</w:t>
            </w:r>
          </w:p>
          <w:p w14:paraId="60EADD44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7、5、2（参与）</w:t>
            </w:r>
          </w:p>
        </w:tc>
        <w:tc>
          <w:tcPr>
            <w:tcW w:w="4238" w:type="dxa"/>
            <w:vAlign w:val="top"/>
          </w:tcPr>
          <w:p w14:paraId="642F0C28">
            <w:pPr>
              <w:pStyle w:val="7"/>
              <w:spacing w:before="112"/>
              <w:ind w:left="0" w:leftChars="0" w:right="103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导师为第一作者或通讯作者，学生为第二作者，可视为第一作者。发明专利须为国家知识产权局授权，本类别只认一项最高项，不累计加分。</w:t>
            </w:r>
          </w:p>
        </w:tc>
      </w:tr>
      <w:tr w14:paraId="73417F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 w:hRule="atLeast"/>
        </w:trPr>
        <w:tc>
          <w:tcPr>
            <w:tcW w:w="1920" w:type="dxa"/>
            <w:vMerge w:val="continue"/>
            <w:vAlign w:val="center"/>
          </w:tcPr>
          <w:p w14:paraId="76FF6D30">
            <w:pPr>
              <w:pStyle w:val="7"/>
              <w:spacing w:before="71" w:line="224" w:lineRule="auto"/>
              <w:ind w:left="288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</w:rPr>
            </w:pPr>
          </w:p>
        </w:tc>
        <w:tc>
          <w:tcPr>
            <w:tcW w:w="1930" w:type="dxa"/>
            <w:vAlign w:val="center"/>
          </w:tcPr>
          <w:p w14:paraId="0CD35E48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  <w:lang w:val="en-US" w:eastAsia="zh-CN"/>
              </w:rPr>
              <w:t>专业赛事</w:t>
            </w:r>
          </w:p>
        </w:tc>
        <w:tc>
          <w:tcPr>
            <w:tcW w:w="2865" w:type="dxa"/>
            <w:vAlign w:val="center"/>
          </w:tcPr>
          <w:p w14:paraId="5658FCA5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赛事获奖：A+级、A级、B级、C级</w:t>
            </w:r>
          </w:p>
        </w:tc>
        <w:tc>
          <w:tcPr>
            <w:tcW w:w="3030" w:type="dxa"/>
            <w:vAlign w:val="top"/>
          </w:tcPr>
          <w:p w14:paraId="5A5B64E0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按一、二、三等奖划分：</w:t>
            </w:r>
          </w:p>
          <w:p w14:paraId="66F52619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A+级：15、14、13</w:t>
            </w:r>
          </w:p>
          <w:p w14:paraId="558FDC53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A级：12、11、10</w:t>
            </w:r>
          </w:p>
          <w:p w14:paraId="6DFC144C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B级：9、8、7</w:t>
            </w:r>
          </w:p>
          <w:p w14:paraId="75FCCD2A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C级：6、5、4</w:t>
            </w:r>
          </w:p>
        </w:tc>
        <w:tc>
          <w:tcPr>
            <w:tcW w:w="4238" w:type="dxa"/>
            <w:vAlign w:val="top"/>
          </w:tcPr>
          <w:p w14:paraId="2291C0F7">
            <w:pPr>
              <w:pStyle w:val="7"/>
              <w:spacing w:before="112"/>
              <w:ind w:left="0" w:leftChars="0" w:right="103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赛事等级认定参照《兰州大学艺术学院学科竞赛赛事等级认定（音乐）》，团体类获奖：重唱、重奏类节目（15人以内）获奖按照对应分值的70%赋分，合唱、乐团（15人以上）类节目按照对应分值的30%赋分，本类别B级和C级总共只认一项最高项。</w:t>
            </w:r>
          </w:p>
        </w:tc>
      </w:tr>
      <w:tr w14:paraId="0ABA12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920" w:type="dxa"/>
            <w:vMerge w:val="continue"/>
            <w:vAlign w:val="center"/>
          </w:tcPr>
          <w:p w14:paraId="298F1BF3">
            <w:pPr>
              <w:pStyle w:val="7"/>
              <w:spacing w:before="71" w:line="224" w:lineRule="auto"/>
              <w:ind w:left="288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</w:rPr>
            </w:pPr>
          </w:p>
        </w:tc>
        <w:tc>
          <w:tcPr>
            <w:tcW w:w="1930" w:type="dxa"/>
            <w:vAlign w:val="center"/>
          </w:tcPr>
          <w:p w14:paraId="1DDCEC97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  <w:lang w:val="en-US" w:eastAsia="zh-CN"/>
              </w:rPr>
              <w:t>个人展演</w:t>
            </w:r>
          </w:p>
        </w:tc>
        <w:tc>
          <w:tcPr>
            <w:tcW w:w="2865" w:type="dxa"/>
            <w:vAlign w:val="center"/>
          </w:tcPr>
          <w:p w14:paraId="62EA268D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个人音乐会</w:t>
            </w:r>
          </w:p>
        </w:tc>
        <w:tc>
          <w:tcPr>
            <w:tcW w:w="3030" w:type="dxa"/>
            <w:vAlign w:val="center"/>
          </w:tcPr>
          <w:p w14:paraId="3CCE0C11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0-10</w:t>
            </w:r>
          </w:p>
        </w:tc>
        <w:tc>
          <w:tcPr>
            <w:tcW w:w="4238" w:type="dxa"/>
            <w:vAlign w:val="top"/>
          </w:tcPr>
          <w:p w14:paraId="40E70A80">
            <w:pPr>
              <w:pStyle w:val="7"/>
              <w:spacing w:before="112"/>
              <w:ind w:left="0" w:leftChars="0" w:right="103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每位学生仅限申报一项，且课程及毕业音乐会概不在此列。答辩时需提交节目单与含一项完整演出视频的U盘。评议小组将以该视频为唯一依据，对音乐会质量与水平进行综合评定并赋分。</w:t>
            </w:r>
          </w:p>
        </w:tc>
      </w:tr>
      <w:tr w14:paraId="1CBBEF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920" w:type="dxa"/>
            <w:vMerge w:val="continue"/>
            <w:vAlign w:val="center"/>
          </w:tcPr>
          <w:p w14:paraId="55268CC0">
            <w:pPr>
              <w:pStyle w:val="7"/>
              <w:spacing w:before="71" w:line="224" w:lineRule="auto"/>
              <w:ind w:left="285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</w:rPr>
            </w:pPr>
          </w:p>
        </w:tc>
        <w:tc>
          <w:tcPr>
            <w:tcW w:w="1930" w:type="dxa"/>
            <w:vAlign w:val="center"/>
          </w:tcPr>
          <w:p w14:paraId="1A14AAF4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  <w:lang w:val="en-US" w:eastAsia="zh-CN"/>
              </w:rPr>
              <w:t>外语水平</w:t>
            </w:r>
          </w:p>
        </w:tc>
        <w:tc>
          <w:tcPr>
            <w:tcW w:w="2865" w:type="dxa"/>
            <w:vAlign w:val="center"/>
          </w:tcPr>
          <w:p w14:paraId="01F7932A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外语四级、外语六级、雅思/托福</w:t>
            </w:r>
          </w:p>
        </w:tc>
        <w:tc>
          <w:tcPr>
            <w:tcW w:w="3030" w:type="dxa"/>
            <w:vAlign w:val="center"/>
          </w:tcPr>
          <w:p w14:paraId="56DCF9BF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4、6、8</w:t>
            </w:r>
          </w:p>
        </w:tc>
        <w:tc>
          <w:tcPr>
            <w:tcW w:w="4238" w:type="dxa"/>
            <w:vAlign w:val="top"/>
          </w:tcPr>
          <w:p w14:paraId="3A8414FD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外语水平加分标准：外语四级≥425；外语六级≥425；雅思≥6分；托福≥80分；本类别只认一项最高项，不累计加分。</w:t>
            </w:r>
          </w:p>
        </w:tc>
      </w:tr>
      <w:tr w14:paraId="4BD932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920" w:type="dxa"/>
            <w:vMerge w:val="restart"/>
            <w:vAlign w:val="center"/>
          </w:tcPr>
          <w:p w14:paraId="7C1DBE5E">
            <w:pPr>
              <w:pStyle w:val="7"/>
              <w:spacing w:before="72"/>
              <w:ind w:left="505" w:right="269" w:hanging="214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-5"/>
                <w:highlight w:val="none"/>
                <w:lang w:val="en-US" w:eastAsia="zh-CN"/>
              </w:rPr>
            </w:pPr>
          </w:p>
          <w:p w14:paraId="611B5D28">
            <w:pPr>
              <w:pStyle w:val="7"/>
              <w:spacing w:before="72"/>
              <w:ind w:right="269" w:firstLine="21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-5"/>
                <w:highlight w:val="none"/>
                <w:lang w:val="en-US" w:eastAsia="zh-CN"/>
              </w:rPr>
            </w:pPr>
          </w:p>
          <w:p w14:paraId="609AE04B">
            <w:pPr>
              <w:pStyle w:val="7"/>
              <w:spacing w:before="72"/>
              <w:ind w:right="269" w:firstLine="21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-5"/>
                <w:highlight w:val="none"/>
                <w:lang w:val="en-US" w:eastAsia="zh-CN"/>
              </w:rPr>
            </w:pPr>
          </w:p>
          <w:p w14:paraId="46BC36A2">
            <w:pPr>
              <w:pStyle w:val="7"/>
              <w:spacing w:before="72"/>
              <w:ind w:right="269" w:firstLine="21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-5"/>
                <w:highlight w:val="none"/>
                <w:lang w:val="en-US" w:eastAsia="zh-CN"/>
              </w:rPr>
            </w:pPr>
          </w:p>
          <w:p w14:paraId="43B1BBD3">
            <w:pPr>
              <w:pStyle w:val="7"/>
              <w:spacing w:before="72"/>
              <w:ind w:left="218" w:leftChars="104" w:right="269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-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-5"/>
                <w:highlight w:val="none"/>
                <w:lang w:val="en-US" w:eastAsia="zh-CN"/>
              </w:rPr>
              <w:t>3.体育</w:t>
            </w:r>
          </w:p>
          <w:p w14:paraId="2D70986A">
            <w:pPr>
              <w:pStyle w:val="7"/>
              <w:spacing w:before="72"/>
              <w:ind w:left="218" w:leftChars="104" w:right="269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-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val="en-US" w:eastAsia="zh-CN"/>
              </w:rPr>
              <w:t>上限5分）</w:t>
            </w:r>
          </w:p>
        </w:tc>
        <w:tc>
          <w:tcPr>
            <w:tcW w:w="1930" w:type="dxa"/>
            <w:vMerge w:val="restart"/>
            <w:vAlign w:val="center"/>
          </w:tcPr>
          <w:p w14:paraId="0BC1619B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  <w:p w14:paraId="3F0994F4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  <w:t>体育赛事</w:t>
            </w:r>
          </w:p>
        </w:tc>
        <w:tc>
          <w:tcPr>
            <w:tcW w:w="2865" w:type="dxa"/>
            <w:vAlign w:val="top"/>
          </w:tcPr>
          <w:p w14:paraId="0FEB87ED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国家级一、二、三等奖</w:t>
            </w:r>
          </w:p>
        </w:tc>
        <w:tc>
          <w:tcPr>
            <w:tcW w:w="3030" w:type="dxa"/>
            <w:vAlign w:val="top"/>
          </w:tcPr>
          <w:p w14:paraId="6C6D588E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5、4、3</w:t>
            </w:r>
          </w:p>
          <w:p w14:paraId="5EC389D9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4238" w:type="dxa"/>
            <w:vMerge w:val="restart"/>
            <w:vAlign w:val="top"/>
          </w:tcPr>
          <w:p w14:paraId="179D3078">
            <w:pPr>
              <w:pStyle w:val="7"/>
              <w:spacing w:before="112"/>
              <w:ind w:left="0" w:leftChars="0" w:right="103" w:firstLine="0" w:firstLineChars="0"/>
              <w:jc w:val="both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  <w:p w14:paraId="754D4397">
            <w:pPr>
              <w:pStyle w:val="7"/>
              <w:spacing w:before="112"/>
              <w:ind w:left="0" w:leftChars="0" w:right="103" w:firstLine="0" w:firstLineChars="0"/>
              <w:jc w:val="both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1.奖项等级划分：取前8名时，第1-3名为一等奖，第4-6名为二等奖，第7-8名为三等奖；取前3名时，第1、2、3名依次对应一、二、三等奖。</w:t>
            </w:r>
          </w:p>
          <w:p w14:paraId="603C61BF">
            <w:pPr>
              <w:pStyle w:val="7"/>
              <w:spacing w:before="112"/>
              <w:ind w:left="0" w:leftChars="0" w:right="103" w:firstLine="0" w:firstLineChars="0"/>
              <w:jc w:val="both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2.运动会赛事打破纪录者，按基准分的2倍计分。</w:t>
            </w:r>
          </w:p>
          <w:p w14:paraId="30448FCD">
            <w:pPr>
              <w:pStyle w:val="7"/>
              <w:spacing w:before="112"/>
              <w:ind w:left="0" w:leftChars="0" w:right="103" w:firstLine="0" w:firstLineChars="0"/>
              <w:jc w:val="both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3.国家级优秀奖计2分，省级优秀奖计1分，校级优秀奖计0.5分，院级优秀奖计0.2分。</w:t>
            </w:r>
            <w:r>
              <w:rPr>
                <w:rFonts w:hint="eastAsia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4.参与体育活动每场0.1分，累计上限0.5分，结合活动记录、活动证明材料认定。</w:t>
            </w:r>
          </w:p>
          <w:p w14:paraId="6BF392B5">
            <w:pPr>
              <w:pStyle w:val="7"/>
              <w:spacing w:before="112"/>
              <w:ind w:left="0" w:leftChars="0" w:right="103" w:firstLine="0" w:firstLineChars="0"/>
              <w:jc w:val="both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.其他特殊情形，由学院统一认定。</w:t>
            </w:r>
          </w:p>
        </w:tc>
      </w:tr>
      <w:tr w14:paraId="604818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920" w:type="dxa"/>
            <w:vMerge w:val="continue"/>
            <w:vAlign w:val="center"/>
          </w:tcPr>
          <w:p w14:paraId="73E07A9E">
            <w:pPr>
              <w:pStyle w:val="7"/>
              <w:spacing w:before="72"/>
              <w:ind w:right="269" w:firstLine="21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-5"/>
                <w:highlight w:val="none"/>
                <w:lang w:val="en-US" w:eastAsia="zh-CN"/>
              </w:rPr>
            </w:pPr>
          </w:p>
        </w:tc>
        <w:tc>
          <w:tcPr>
            <w:tcW w:w="1930" w:type="dxa"/>
            <w:vMerge w:val="continue"/>
            <w:vAlign w:val="top"/>
          </w:tcPr>
          <w:p w14:paraId="291AE95E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865" w:type="dxa"/>
            <w:vAlign w:val="top"/>
          </w:tcPr>
          <w:p w14:paraId="58A96913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省级一、二、三等奖</w:t>
            </w:r>
          </w:p>
        </w:tc>
        <w:tc>
          <w:tcPr>
            <w:tcW w:w="3030" w:type="dxa"/>
            <w:vAlign w:val="top"/>
          </w:tcPr>
          <w:p w14:paraId="503E73F6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4、3、2</w:t>
            </w:r>
          </w:p>
          <w:p w14:paraId="0A452188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4238" w:type="dxa"/>
            <w:vMerge w:val="continue"/>
            <w:vAlign w:val="top"/>
          </w:tcPr>
          <w:p w14:paraId="7B653F99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</w:tr>
      <w:tr w14:paraId="16B23D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920" w:type="dxa"/>
            <w:vMerge w:val="continue"/>
            <w:vAlign w:val="center"/>
          </w:tcPr>
          <w:p w14:paraId="056C3189">
            <w:pPr>
              <w:pStyle w:val="7"/>
              <w:spacing w:before="72"/>
              <w:ind w:right="269" w:firstLine="21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-5"/>
                <w:highlight w:val="none"/>
                <w:lang w:val="en-US" w:eastAsia="zh-CN"/>
              </w:rPr>
            </w:pPr>
          </w:p>
        </w:tc>
        <w:tc>
          <w:tcPr>
            <w:tcW w:w="1930" w:type="dxa"/>
            <w:vMerge w:val="continue"/>
            <w:vAlign w:val="top"/>
          </w:tcPr>
          <w:p w14:paraId="19764383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865" w:type="dxa"/>
            <w:vAlign w:val="top"/>
          </w:tcPr>
          <w:p w14:paraId="372F2BDF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地市级、校级</w:t>
            </w:r>
          </w:p>
          <w:p w14:paraId="415349FF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一、二、三等奖</w:t>
            </w:r>
          </w:p>
          <w:p w14:paraId="667B1BC0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3030" w:type="dxa"/>
            <w:vAlign w:val="top"/>
          </w:tcPr>
          <w:p w14:paraId="34C68F81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3、2、1</w:t>
            </w:r>
          </w:p>
          <w:p w14:paraId="166CB038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4238" w:type="dxa"/>
            <w:vMerge w:val="continue"/>
            <w:vAlign w:val="top"/>
          </w:tcPr>
          <w:p w14:paraId="657F42D2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</w:tr>
      <w:tr w14:paraId="723257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920" w:type="dxa"/>
            <w:vMerge w:val="continue"/>
            <w:vAlign w:val="center"/>
          </w:tcPr>
          <w:p w14:paraId="0EF445B9">
            <w:pPr>
              <w:pStyle w:val="7"/>
              <w:spacing w:before="72"/>
              <w:ind w:right="269" w:firstLine="21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-5"/>
                <w:highlight w:val="none"/>
                <w:lang w:val="en-US" w:eastAsia="zh-CN"/>
              </w:rPr>
            </w:pPr>
          </w:p>
        </w:tc>
        <w:tc>
          <w:tcPr>
            <w:tcW w:w="1930" w:type="dxa"/>
            <w:vMerge w:val="continue"/>
            <w:vAlign w:val="top"/>
          </w:tcPr>
          <w:p w14:paraId="7DCAE904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865" w:type="dxa"/>
            <w:vAlign w:val="top"/>
          </w:tcPr>
          <w:p w14:paraId="1BFAFD7D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院级一、二、三等奖</w:t>
            </w:r>
          </w:p>
        </w:tc>
        <w:tc>
          <w:tcPr>
            <w:tcW w:w="3030" w:type="dxa"/>
            <w:vAlign w:val="top"/>
          </w:tcPr>
          <w:p w14:paraId="14349BDF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2、1、0.5</w:t>
            </w:r>
          </w:p>
          <w:p w14:paraId="60C52CCE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4238" w:type="dxa"/>
            <w:vMerge w:val="continue"/>
            <w:vAlign w:val="top"/>
          </w:tcPr>
          <w:p w14:paraId="020E921D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</w:tr>
      <w:tr w14:paraId="145860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 w:hRule="atLeast"/>
        </w:trPr>
        <w:tc>
          <w:tcPr>
            <w:tcW w:w="1920" w:type="dxa"/>
            <w:vMerge w:val="continue"/>
            <w:vAlign w:val="center"/>
          </w:tcPr>
          <w:p w14:paraId="69567902">
            <w:pPr>
              <w:pStyle w:val="7"/>
              <w:spacing w:before="72"/>
              <w:ind w:right="269" w:firstLine="21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-5"/>
                <w:highlight w:val="none"/>
                <w:lang w:val="en-US" w:eastAsia="zh-CN"/>
              </w:rPr>
            </w:pPr>
          </w:p>
        </w:tc>
        <w:tc>
          <w:tcPr>
            <w:tcW w:w="1930" w:type="dxa"/>
            <w:vAlign w:val="center"/>
          </w:tcPr>
          <w:p w14:paraId="50893F53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  <w:t>参与活动</w:t>
            </w:r>
          </w:p>
        </w:tc>
        <w:tc>
          <w:tcPr>
            <w:tcW w:w="2865" w:type="dxa"/>
            <w:vAlign w:val="top"/>
          </w:tcPr>
          <w:p w14:paraId="5CE5EB0C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由学院推荐或组织参加各项校级</w:t>
            </w:r>
            <w:r>
              <w:rPr>
                <w:rFonts w:hint="eastAsia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体育</w:t>
            </w: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活动</w:t>
            </w:r>
          </w:p>
          <w:p w14:paraId="2EE6A214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（“一二·九”、校运会等）</w:t>
            </w:r>
          </w:p>
        </w:tc>
        <w:tc>
          <w:tcPr>
            <w:tcW w:w="3030" w:type="dxa"/>
            <w:vAlign w:val="center"/>
          </w:tcPr>
          <w:p w14:paraId="5F727DDA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0.5</w:t>
            </w:r>
          </w:p>
        </w:tc>
        <w:tc>
          <w:tcPr>
            <w:tcW w:w="4238" w:type="dxa"/>
            <w:vMerge w:val="continue"/>
            <w:vAlign w:val="top"/>
          </w:tcPr>
          <w:p w14:paraId="4DE304AF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</w:tr>
      <w:tr w14:paraId="4175E2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 w:hRule="atLeast"/>
        </w:trPr>
        <w:tc>
          <w:tcPr>
            <w:tcW w:w="1920" w:type="dxa"/>
            <w:vMerge w:val="restart"/>
            <w:vAlign w:val="center"/>
          </w:tcPr>
          <w:p w14:paraId="725EEF2C">
            <w:pPr>
              <w:spacing w:line="328" w:lineRule="auto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1"/>
                <w:highlight w:val="none"/>
              </w:rPr>
            </w:pPr>
          </w:p>
          <w:p w14:paraId="2E49891D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  <w:p w14:paraId="64C0C0B3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  <w:p w14:paraId="12CCFFA4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  <w:p w14:paraId="583F09FA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  <w:p w14:paraId="471CB7E0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  <w:p w14:paraId="5E3245B4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  <w:p w14:paraId="200662C4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  <w:p w14:paraId="4EA1BD35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  <w:p w14:paraId="7B212C88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  <w:t>4.美育</w:t>
            </w:r>
          </w:p>
          <w:p w14:paraId="76544D56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val="en-US" w:eastAsia="zh-CN"/>
              </w:rPr>
              <w:t>上限15分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  <w:t>）</w:t>
            </w:r>
          </w:p>
          <w:p w14:paraId="64C33B6D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</w:pPr>
          </w:p>
          <w:p w14:paraId="0C838E16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</w:pPr>
          </w:p>
          <w:p w14:paraId="0DE95164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</w:pPr>
          </w:p>
          <w:p w14:paraId="4769B1D4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</w:pPr>
          </w:p>
          <w:p w14:paraId="3F187AF9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</w:pPr>
          </w:p>
          <w:p w14:paraId="073E9065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</w:pPr>
          </w:p>
          <w:p w14:paraId="412FF5D4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</w:pPr>
          </w:p>
          <w:p w14:paraId="2DCCAD85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</w:pPr>
          </w:p>
          <w:p w14:paraId="5A184A38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</w:pPr>
          </w:p>
          <w:p w14:paraId="7B9C2E21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</w:pPr>
          </w:p>
          <w:p w14:paraId="043C5BCD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</w:pPr>
          </w:p>
          <w:p w14:paraId="028538BE">
            <w:pPr>
              <w:pStyle w:val="7"/>
              <w:spacing w:before="18" w:line="223" w:lineRule="auto"/>
              <w:jc w:val="both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930" w:type="dxa"/>
            <w:vMerge w:val="restart"/>
            <w:vAlign w:val="center"/>
          </w:tcPr>
          <w:p w14:paraId="43D7871F">
            <w:pPr>
              <w:pStyle w:val="7"/>
              <w:spacing w:before="112"/>
              <w:ind w:left="0" w:leftChars="0" w:right="103"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  <w:t>美育展演</w:t>
            </w:r>
          </w:p>
        </w:tc>
        <w:tc>
          <w:tcPr>
            <w:tcW w:w="2865" w:type="dxa"/>
            <w:vAlign w:val="center"/>
          </w:tcPr>
          <w:p w14:paraId="74594626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校级/院级文艺汇演、文化活动</w:t>
            </w:r>
          </w:p>
          <w:p w14:paraId="0AFD68BC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（上限4分）</w:t>
            </w:r>
          </w:p>
        </w:tc>
        <w:tc>
          <w:tcPr>
            <w:tcW w:w="3030" w:type="dxa"/>
            <w:vAlign w:val="top"/>
          </w:tcPr>
          <w:p w14:paraId="16533D3D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参与并获奖得1分；</w:t>
            </w:r>
          </w:p>
          <w:p w14:paraId="628CF959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仅参与得0.5分。</w:t>
            </w:r>
          </w:p>
        </w:tc>
        <w:tc>
          <w:tcPr>
            <w:tcW w:w="4238" w:type="dxa"/>
            <w:vMerge w:val="restart"/>
            <w:vAlign w:val="top"/>
          </w:tcPr>
          <w:p w14:paraId="4D15E811">
            <w:pPr>
              <w:pStyle w:val="7"/>
              <w:numPr>
                <w:ilvl w:val="0"/>
                <w:numId w:val="0"/>
              </w:numPr>
              <w:spacing w:before="112"/>
              <w:ind w:right="103" w:rightChars="0"/>
              <w:jc w:val="left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.本模块仅限面向全校开展的公共文艺汇演、公共文化展示活动（如校园十大歌手、新生文艺汇演、学院面向全校的美育品牌活动等）。专业学科竞赛、专业汇报展演归入其他评价模块，不在本项计分。每学期内同一系列活动取最高分，不重复累计计分。</w:t>
            </w:r>
          </w:p>
          <w:p w14:paraId="077EFD40">
            <w:pPr>
              <w:pStyle w:val="7"/>
              <w:numPr>
                <w:ilvl w:val="0"/>
                <w:numId w:val="0"/>
              </w:numPr>
              <w:spacing w:before="112"/>
              <w:ind w:right="103" w:rightChars="0"/>
              <w:jc w:val="left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2.所有项目申报须提交活动通知、获奖证书、参演证明或节目单等佐证材料予以认定；仅观摩活动不予以计分。</w:t>
            </w:r>
          </w:p>
        </w:tc>
      </w:tr>
      <w:tr w14:paraId="433544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920" w:type="dxa"/>
            <w:vMerge w:val="continue"/>
            <w:vAlign w:val="top"/>
          </w:tcPr>
          <w:p w14:paraId="1C2EED9B">
            <w:pPr>
              <w:pStyle w:val="7"/>
              <w:spacing w:before="72" w:line="239" w:lineRule="auto"/>
              <w:ind w:left="132" w:right="103" w:hanging="15"/>
              <w:jc w:val="both"/>
              <w:rPr>
                <w:rFonts w:hint="default" w:ascii="Times New Roman" w:hAnsi="Times New Roman" w:eastAsia="方正仿宋_GB2312" w:cs="Times New Roman"/>
                <w:color w:val="auto"/>
              </w:rPr>
            </w:pPr>
          </w:p>
        </w:tc>
        <w:tc>
          <w:tcPr>
            <w:tcW w:w="1930" w:type="dxa"/>
            <w:vMerge w:val="continue"/>
            <w:vAlign w:val="center"/>
          </w:tcPr>
          <w:p w14:paraId="2768F09B">
            <w:pPr>
              <w:pStyle w:val="7"/>
              <w:spacing w:before="112"/>
              <w:ind w:left="0" w:leftChars="0" w:right="103"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865" w:type="dxa"/>
            <w:vAlign w:val="center"/>
          </w:tcPr>
          <w:p w14:paraId="1E4A9204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参与学院组织的大型美育品牌活动（上限2分）</w:t>
            </w:r>
          </w:p>
        </w:tc>
        <w:tc>
          <w:tcPr>
            <w:tcW w:w="3030" w:type="dxa"/>
            <w:vAlign w:val="top"/>
          </w:tcPr>
          <w:p w14:paraId="5CAD4F85">
            <w:pPr>
              <w:pStyle w:val="7"/>
              <w:spacing w:before="112"/>
              <w:ind w:left="0" w:leftChars="0" w:right="103" w:firstLine="0" w:firstLineChars="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</w:p>
          <w:p w14:paraId="28DA2FDC">
            <w:pPr>
              <w:pStyle w:val="7"/>
              <w:spacing w:before="112"/>
              <w:ind w:left="0" w:leftChars="0" w:right="103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</w:t>
            </w:r>
          </w:p>
        </w:tc>
        <w:tc>
          <w:tcPr>
            <w:tcW w:w="4238" w:type="dxa"/>
            <w:vMerge w:val="continue"/>
            <w:vAlign w:val="top"/>
          </w:tcPr>
          <w:p w14:paraId="07B0F55D">
            <w:pPr>
              <w:pStyle w:val="7"/>
              <w:spacing w:before="112"/>
              <w:ind w:left="0" w:leftChars="0" w:right="103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</w:tr>
      <w:tr w14:paraId="591631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20" w:type="dxa"/>
            <w:vMerge w:val="continue"/>
            <w:vAlign w:val="top"/>
          </w:tcPr>
          <w:p w14:paraId="5FDCA15F">
            <w:pPr>
              <w:pStyle w:val="7"/>
              <w:spacing w:before="18" w:line="223" w:lineRule="auto"/>
              <w:jc w:val="left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</w:pPr>
          </w:p>
        </w:tc>
        <w:tc>
          <w:tcPr>
            <w:tcW w:w="1930" w:type="dxa"/>
            <w:vAlign w:val="center"/>
          </w:tcPr>
          <w:p w14:paraId="124C8CB9">
            <w:pPr>
              <w:pStyle w:val="7"/>
              <w:spacing w:before="112"/>
              <w:ind w:left="0" w:leftChars="0" w:right="103"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  <w:t>美育服务</w:t>
            </w:r>
          </w:p>
        </w:tc>
        <w:tc>
          <w:tcPr>
            <w:tcW w:w="2865" w:type="dxa"/>
            <w:vAlign w:val="center"/>
          </w:tcPr>
          <w:p w14:paraId="1CEAF286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  <w:p w14:paraId="389721EE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参与校内公益美育志愿、美育教育普及活动（上限5分）</w:t>
            </w:r>
          </w:p>
          <w:p w14:paraId="4BFD5E94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3030" w:type="dxa"/>
            <w:vAlign w:val="center"/>
          </w:tcPr>
          <w:p w14:paraId="033E73E1">
            <w:pPr>
              <w:pStyle w:val="7"/>
              <w:spacing w:before="112"/>
              <w:ind w:left="0" w:leftChars="0" w:right="103" w:firstLine="0" w:firstLineChars="0"/>
              <w:jc w:val="both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  <w:p w14:paraId="6D6C612E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5</w:t>
            </w:r>
          </w:p>
        </w:tc>
        <w:tc>
          <w:tcPr>
            <w:tcW w:w="4238" w:type="dxa"/>
            <w:vAlign w:val="center"/>
          </w:tcPr>
          <w:p w14:paraId="3774C02B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  <w:p w14:paraId="18516AEE">
            <w:pPr>
              <w:pStyle w:val="7"/>
              <w:spacing w:before="112"/>
              <w:ind w:left="0" w:leftChars="0" w:right="103" w:firstLine="0" w:firstLineChars="0"/>
              <w:jc w:val="left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每场1分，本项累计上限5分，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每学期内同系列活动不累加，</w:t>
            </w: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结合活动记录、活动证明材料认定。</w:t>
            </w:r>
          </w:p>
        </w:tc>
      </w:tr>
      <w:tr w14:paraId="4FB06E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920" w:type="dxa"/>
            <w:vMerge w:val="restart"/>
            <w:vAlign w:val="center"/>
          </w:tcPr>
          <w:p w14:paraId="320FE282">
            <w:pPr>
              <w:pStyle w:val="7"/>
              <w:spacing w:before="18" w:line="223" w:lineRule="auto"/>
              <w:ind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  <w:t>劳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  <w:t>育</w:t>
            </w:r>
          </w:p>
          <w:p w14:paraId="6AF02FE4">
            <w:pPr>
              <w:pStyle w:val="7"/>
              <w:spacing w:before="72" w:line="239" w:lineRule="auto"/>
              <w:ind w:left="132" w:right="103" w:hanging="15"/>
              <w:jc w:val="center"/>
              <w:rPr>
                <w:rFonts w:hint="default" w:ascii="Times New Roman" w:hAnsi="Times New Roman" w:eastAsia="方正仿宋_GB2312" w:cs="Times New Roman"/>
                <w:color w:val="auto"/>
                <w:spacing w:val="-1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val="en-US" w:eastAsia="zh-CN"/>
              </w:rPr>
              <w:t>上限15分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pacing w:val="0"/>
                <w:kern w:val="0"/>
                <w:sz w:val="22"/>
                <w:szCs w:val="22"/>
                <w:highlight w:val="none"/>
                <w:lang w:eastAsia="zh-CN"/>
              </w:rPr>
              <w:t>）</w:t>
            </w:r>
          </w:p>
        </w:tc>
        <w:tc>
          <w:tcPr>
            <w:tcW w:w="1930" w:type="dxa"/>
            <w:vMerge w:val="restart"/>
            <w:vAlign w:val="center"/>
          </w:tcPr>
          <w:p w14:paraId="71104B7B">
            <w:pPr>
              <w:pStyle w:val="7"/>
              <w:spacing w:before="112"/>
              <w:ind w:left="0" w:leftChars="0" w:right="103"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  <w:t>社会实践</w:t>
            </w:r>
          </w:p>
        </w:tc>
        <w:tc>
          <w:tcPr>
            <w:tcW w:w="2865" w:type="dxa"/>
            <w:vAlign w:val="center"/>
          </w:tcPr>
          <w:p w14:paraId="4BD55B1B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项目获省级及以上优秀</w:t>
            </w:r>
          </w:p>
        </w:tc>
        <w:tc>
          <w:tcPr>
            <w:tcW w:w="3030" w:type="dxa"/>
            <w:vAlign w:val="top"/>
          </w:tcPr>
          <w:p w14:paraId="688EC2C1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负责人3，成员2</w:t>
            </w:r>
          </w:p>
        </w:tc>
        <w:tc>
          <w:tcPr>
            <w:tcW w:w="4238" w:type="dxa"/>
            <w:vMerge w:val="restart"/>
            <w:vAlign w:val="top"/>
          </w:tcPr>
          <w:p w14:paraId="53F75D21">
            <w:pPr>
              <w:pStyle w:val="7"/>
              <w:spacing w:before="112"/>
              <w:ind w:right="103"/>
              <w:jc w:val="both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1.同一项目取最高分，不累加；</w:t>
            </w:r>
          </w:p>
          <w:p w14:paraId="4A0C1220">
            <w:pPr>
              <w:pStyle w:val="7"/>
              <w:spacing w:before="112"/>
              <w:ind w:left="0" w:leftChars="0" w:right="103" w:firstLine="0" w:firstLineChars="0"/>
              <w:jc w:val="both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2.个人实践得分按照团队实践折半计算。</w:t>
            </w:r>
          </w:p>
        </w:tc>
      </w:tr>
      <w:tr w14:paraId="44135C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920" w:type="dxa"/>
            <w:vMerge w:val="continue"/>
            <w:vAlign w:val="top"/>
          </w:tcPr>
          <w:p w14:paraId="714A1FFA">
            <w:pPr>
              <w:pStyle w:val="7"/>
              <w:spacing w:before="72" w:line="239" w:lineRule="auto"/>
              <w:ind w:left="132" w:right="103" w:hanging="15"/>
              <w:jc w:val="center"/>
              <w:rPr>
                <w:rFonts w:hint="default" w:ascii="Times New Roman" w:hAnsi="Times New Roman" w:eastAsia="方正仿宋_GB2312" w:cs="Times New Roman"/>
                <w:color w:val="auto"/>
                <w:spacing w:val="-1"/>
                <w:highlight w:val="none"/>
              </w:rPr>
            </w:pPr>
          </w:p>
        </w:tc>
        <w:tc>
          <w:tcPr>
            <w:tcW w:w="1930" w:type="dxa"/>
            <w:vMerge w:val="continue"/>
            <w:vAlign w:val="center"/>
          </w:tcPr>
          <w:p w14:paraId="04822D77">
            <w:pPr>
              <w:pStyle w:val="7"/>
              <w:spacing w:before="112"/>
              <w:ind w:left="0" w:leftChars="0" w:right="103"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865" w:type="dxa"/>
            <w:vAlign w:val="center"/>
          </w:tcPr>
          <w:p w14:paraId="62B79C85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项目获评校级优秀</w:t>
            </w:r>
          </w:p>
        </w:tc>
        <w:tc>
          <w:tcPr>
            <w:tcW w:w="3030" w:type="dxa"/>
            <w:vAlign w:val="top"/>
          </w:tcPr>
          <w:p w14:paraId="08667DF8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负责人2，成员1</w:t>
            </w:r>
          </w:p>
        </w:tc>
        <w:tc>
          <w:tcPr>
            <w:tcW w:w="4238" w:type="dxa"/>
            <w:vMerge w:val="continue"/>
            <w:vAlign w:val="top"/>
          </w:tcPr>
          <w:p w14:paraId="53938EC4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</w:tr>
      <w:tr w14:paraId="215E30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920" w:type="dxa"/>
            <w:vMerge w:val="continue"/>
            <w:vAlign w:val="top"/>
          </w:tcPr>
          <w:p w14:paraId="759FB88E">
            <w:pPr>
              <w:pStyle w:val="7"/>
              <w:spacing w:before="72" w:line="239" w:lineRule="auto"/>
              <w:ind w:left="132" w:right="103" w:hanging="15"/>
              <w:jc w:val="center"/>
              <w:rPr>
                <w:rFonts w:hint="default" w:ascii="Times New Roman" w:hAnsi="Times New Roman" w:eastAsia="方正仿宋_GB2312" w:cs="Times New Roman"/>
                <w:color w:val="auto"/>
                <w:spacing w:val="-1"/>
                <w:highlight w:val="none"/>
                <w:lang w:eastAsia="zh-CN"/>
              </w:rPr>
            </w:pPr>
          </w:p>
        </w:tc>
        <w:tc>
          <w:tcPr>
            <w:tcW w:w="1930" w:type="dxa"/>
            <w:vMerge w:val="restart"/>
            <w:vAlign w:val="center"/>
          </w:tcPr>
          <w:p w14:paraId="11C224B8">
            <w:pPr>
              <w:pStyle w:val="7"/>
              <w:spacing w:before="112"/>
              <w:ind w:left="0" w:leftChars="0" w:right="103"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  <w:t>学生工作</w:t>
            </w:r>
          </w:p>
        </w:tc>
        <w:tc>
          <w:tcPr>
            <w:tcW w:w="2865" w:type="dxa"/>
            <w:vAlign w:val="center"/>
          </w:tcPr>
          <w:p w14:paraId="303F8A64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党支部支委</w:t>
            </w:r>
          </w:p>
        </w:tc>
        <w:tc>
          <w:tcPr>
            <w:tcW w:w="3030" w:type="dxa"/>
            <w:vAlign w:val="top"/>
          </w:tcPr>
          <w:p w14:paraId="7DA01887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支部书记5，其他支委3</w:t>
            </w:r>
          </w:p>
        </w:tc>
        <w:tc>
          <w:tcPr>
            <w:tcW w:w="4238" w:type="dxa"/>
            <w:vMerge w:val="restart"/>
            <w:vAlign w:val="top"/>
          </w:tcPr>
          <w:p w14:paraId="0423EDB2">
            <w:pPr>
              <w:pStyle w:val="7"/>
              <w:spacing w:before="112"/>
              <w:ind w:left="0" w:leftChars="0" w:right="103" w:firstLine="0" w:firstLineChars="0"/>
              <w:jc w:val="both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  <w:p w14:paraId="28FD75FE">
            <w:pPr>
              <w:pStyle w:val="7"/>
              <w:spacing w:before="112"/>
              <w:ind w:left="0" w:leftChars="0" w:right="103" w:firstLine="0" w:firstLineChars="0"/>
              <w:jc w:val="left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1.任职满一年且年度考核合格方可计分；辞职、被解聘人员不予加分。</w:t>
            </w:r>
          </w:p>
          <w:p w14:paraId="298C5F27">
            <w:pPr>
              <w:pStyle w:val="7"/>
              <w:spacing w:before="112"/>
              <w:ind w:left="0" w:leftChars="0" w:right="103" w:firstLine="0" w:firstLineChars="0"/>
              <w:jc w:val="left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2.宿舍长所负责宿舍，在因使用违禁电器被通报批评，或卫生检查累计3次及以上被通报批评，或晚点名情况未按时报备累计5次及以上的，该宿舍长本年度不予加分。</w:t>
            </w:r>
          </w:p>
          <w:p w14:paraId="1B914F55">
            <w:pPr>
              <w:pStyle w:val="7"/>
              <w:spacing w:before="112"/>
              <w:ind w:left="0" w:leftChars="0" w:right="103" w:firstLine="0" w:firstLineChars="0"/>
              <w:jc w:val="left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3.宿舍检查获评优秀的，宿舍成员每人每次加0.5分，本项单人累计上限1分。</w:t>
            </w:r>
          </w:p>
          <w:p w14:paraId="15A005BB">
            <w:pPr>
              <w:pStyle w:val="7"/>
              <w:spacing w:before="112"/>
              <w:ind w:left="0" w:leftChars="0" w:right="103" w:firstLine="0" w:firstLineChars="0"/>
              <w:jc w:val="left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4.班级学生干部与院校学生干部可以累计加分，同为校院两级学生干部，取最高项加分，不累计加分。</w:t>
            </w:r>
          </w:p>
        </w:tc>
      </w:tr>
      <w:tr w14:paraId="560DF7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920" w:type="dxa"/>
            <w:vMerge w:val="continue"/>
            <w:vAlign w:val="top"/>
          </w:tcPr>
          <w:p w14:paraId="1CF1DEC7">
            <w:pPr>
              <w:pStyle w:val="7"/>
              <w:spacing w:before="72" w:line="239" w:lineRule="auto"/>
              <w:ind w:left="132" w:right="103" w:hanging="15"/>
              <w:jc w:val="both"/>
              <w:rPr>
                <w:rFonts w:hint="default" w:ascii="Times New Roman" w:hAnsi="Times New Roman" w:eastAsia="方正仿宋_GB2312" w:cs="Times New Roman"/>
                <w:color w:val="auto"/>
              </w:rPr>
            </w:pPr>
          </w:p>
        </w:tc>
        <w:tc>
          <w:tcPr>
            <w:tcW w:w="1930" w:type="dxa"/>
            <w:vMerge w:val="continue"/>
            <w:vAlign w:val="center"/>
          </w:tcPr>
          <w:p w14:paraId="4913F546">
            <w:pPr>
              <w:pStyle w:val="7"/>
              <w:spacing w:before="112"/>
              <w:ind w:left="0" w:leftChars="0" w:right="103"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865" w:type="dxa"/>
            <w:vMerge w:val="restart"/>
            <w:vAlign w:val="center"/>
          </w:tcPr>
          <w:p w14:paraId="108AEE6E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其他学生组织</w:t>
            </w:r>
          </w:p>
        </w:tc>
        <w:tc>
          <w:tcPr>
            <w:tcW w:w="3030" w:type="dxa"/>
            <w:vAlign w:val="top"/>
          </w:tcPr>
          <w:p w14:paraId="14423FF2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团委副书记（学生兼职）、</w:t>
            </w:r>
          </w:p>
          <w:p w14:paraId="2EE4E994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主席团成员5</w:t>
            </w:r>
          </w:p>
        </w:tc>
        <w:tc>
          <w:tcPr>
            <w:tcW w:w="4238" w:type="dxa"/>
            <w:vMerge w:val="continue"/>
            <w:vAlign w:val="top"/>
          </w:tcPr>
          <w:p w14:paraId="65DD46E4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</w:tr>
      <w:tr w14:paraId="30249B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920" w:type="dxa"/>
            <w:vMerge w:val="continue"/>
            <w:vAlign w:val="top"/>
          </w:tcPr>
          <w:p w14:paraId="149C1266">
            <w:pPr>
              <w:pStyle w:val="7"/>
              <w:spacing w:before="72" w:line="239" w:lineRule="auto"/>
              <w:ind w:left="132" w:right="103" w:hanging="15"/>
              <w:jc w:val="both"/>
              <w:rPr>
                <w:rFonts w:hint="default" w:ascii="Times New Roman" w:hAnsi="Times New Roman" w:eastAsia="方正仿宋_GB2312" w:cs="Times New Roman"/>
                <w:color w:val="auto"/>
              </w:rPr>
            </w:pPr>
          </w:p>
        </w:tc>
        <w:tc>
          <w:tcPr>
            <w:tcW w:w="1930" w:type="dxa"/>
            <w:vMerge w:val="continue"/>
            <w:vAlign w:val="center"/>
          </w:tcPr>
          <w:p w14:paraId="7D277654">
            <w:pPr>
              <w:pStyle w:val="7"/>
              <w:spacing w:before="112"/>
              <w:ind w:left="0" w:leftChars="0" w:right="103"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865" w:type="dxa"/>
            <w:vMerge w:val="continue"/>
            <w:vAlign w:val="center"/>
          </w:tcPr>
          <w:p w14:paraId="69683B10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3030" w:type="dxa"/>
            <w:vAlign w:val="top"/>
          </w:tcPr>
          <w:p w14:paraId="3D1D9053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学生组织主要负责人、</w:t>
            </w:r>
          </w:p>
          <w:p w14:paraId="2711E48F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社团团长3</w:t>
            </w:r>
          </w:p>
        </w:tc>
        <w:tc>
          <w:tcPr>
            <w:tcW w:w="4238" w:type="dxa"/>
            <w:vMerge w:val="continue"/>
            <w:vAlign w:val="top"/>
          </w:tcPr>
          <w:p w14:paraId="0F8C8F25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</w:tr>
      <w:tr w14:paraId="51A8A9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920" w:type="dxa"/>
            <w:vMerge w:val="continue"/>
            <w:vAlign w:val="top"/>
          </w:tcPr>
          <w:p w14:paraId="3BC6EDC1">
            <w:pPr>
              <w:pStyle w:val="7"/>
              <w:spacing w:before="72" w:line="239" w:lineRule="auto"/>
              <w:ind w:left="132" w:right="103" w:hanging="15"/>
              <w:jc w:val="both"/>
              <w:rPr>
                <w:rFonts w:hint="default" w:ascii="Times New Roman" w:hAnsi="Times New Roman" w:eastAsia="方正仿宋_GB2312" w:cs="Times New Roman"/>
                <w:color w:val="auto"/>
                <w:spacing w:val="-1"/>
                <w:highlight w:val="none"/>
              </w:rPr>
            </w:pPr>
          </w:p>
        </w:tc>
        <w:tc>
          <w:tcPr>
            <w:tcW w:w="1930" w:type="dxa"/>
            <w:vMerge w:val="continue"/>
            <w:vAlign w:val="center"/>
          </w:tcPr>
          <w:p w14:paraId="2334605E">
            <w:pPr>
              <w:pStyle w:val="7"/>
              <w:spacing w:before="112"/>
              <w:ind w:left="0" w:leftChars="0" w:right="103"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865" w:type="dxa"/>
            <w:vMerge w:val="continue"/>
            <w:vAlign w:val="center"/>
          </w:tcPr>
          <w:p w14:paraId="62F75D29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3030" w:type="dxa"/>
            <w:vAlign w:val="top"/>
          </w:tcPr>
          <w:p w14:paraId="37A3F1AC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学生组织干事1</w:t>
            </w:r>
          </w:p>
        </w:tc>
        <w:tc>
          <w:tcPr>
            <w:tcW w:w="4238" w:type="dxa"/>
            <w:vMerge w:val="continue"/>
            <w:vAlign w:val="top"/>
          </w:tcPr>
          <w:p w14:paraId="7C2CA4AC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</w:tr>
      <w:tr w14:paraId="2C8985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920" w:type="dxa"/>
            <w:vMerge w:val="continue"/>
            <w:vAlign w:val="top"/>
          </w:tcPr>
          <w:p w14:paraId="11390952">
            <w:pPr>
              <w:pStyle w:val="7"/>
              <w:spacing w:before="72" w:line="239" w:lineRule="auto"/>
              <w:ind w:left="132" w:right="103" w:hanging="15"/>
              <w:jc w:val="both"/>
              <w:rPr>
                <w:rFonts w:hint="default" w:ascii="Times New Roman" w:hAnsi="Times New Roman" w:eastAsia="方正仿宋_GB2312" w:cs="Times New Roman"/>
                <w:color w:val="auto"/>
                <w:spacing w:val="-1"/>
                <w:highlight w:val="none"/>
              </w:rPr>
            </w:pPr>
          </w:p>
        </w:tc>
        <w:tc>
          <w:tcPr>
            <w:tcW w:w="1930" w:type="dxa"/>
            <w:vMerge w:val="continue"/>
            <w:vAlign w:val="center"/>
          </w:tcPr>
          <w:p w14:paraId="4B8DB072">
            <w:pPr>
              <w:pStyle w:val="7"/>
              <w:spacing w:before="112"/>
              <w:ind w:left="0" w:leftChars="0" w:right="103"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865" w:type="dxa"/>
            <w:vAlign w:val="center"/>
          </w:tcPr>
          <w:p w14:paraId="13AC0288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班长、团支书</w:t>
            </w:r>
          </w:p>
        </w:tc>
        <w:tc>
          <w:tcPr>
            <w:tcW w:w="3030" w:type="dxa"/>
            <w:vAlign w:val="top"/>
          </w:tcPr>
          <w:p w14:paraId="7D986706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3</w:t>
            </w:r>
          </w:p>
        </w:tc>
        <w:tc>
          <w:tcPr>
            <w:tcW w:w="4238" w:type="dxa"/>
            <w:vMerge w:val="continue"/>
            <w:vAlign w:val="top"/>
          </w:tcPr>
          <w:p w14:paraId="49474D7D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</w:tr>
      <w:tr w14:paraId="4DCCBD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920" w:type="dxa"/>
            <w:vMerge w:val="continue"/>
            <w:vAlign w:val="top"/>
          </w:tcPr>
          <w:p w14:paraId="7C1741CD">
            <w:pPr>
              <w:pStyle w:val="7"/>
              <w:spacing w:before="72" w:line="239" w:lineRule="auto"/>
              <w:ind w:left="132" w:right="103" w:hanging="15"/>
              <w:jc w:val="both"/>
              <w:rPr>
                <w:rFonts w:hint="default" w:ascii="Times New Roman" w:hAnsi="Times New Roman" w:eastAsia="方正仿宋_GB2312" w:cs="Times New Roman"/>
                <w:color w:val="auto"/>
                <w:spacing w:val="-1"/>
                <w:highlight w:val="none"/>
              </w:rPr>
            </w:pPr>
          </w:p>
        </w:tc>
        <w:tc>
          <w:tcPr>
            <w:tcW w:w="1930" w:type="dxa"/>
            <w:vMerge w:val="continue"/>
            <w:vAlign w:val="center"/>
          </w:tcPr>
          <w:p w14:paraId="51FAD571">
            <w:pPr>
              <w:pStyle w:val="7"/>
              <w:spacing w:before="112"/>
              <w:ind w:left="0" w:leftChars="0" w:right="103"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865" w:type="dxa"/>
            <w:vAlign w:val="center"/>
          </w:tcPr>
          <w:p w14:paraId="6F2ED9B3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班委成员</w:t>
            </w:r>
          </w:p>
        </w:tc>
        <w:tc>
          <w:tcPr>
            <w:tcW w:w="3030" w:type="dxa"/>
            <w:vAlign w:val="top"/>
          </w:tcPr>
          <w:p w14:paraId="0113418E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1</w:t>
            </w:r>
          </w:p>
        </w:tc>
        <w:tc>
          <w:tcPr>
            <w:tcW w:w="4238" w:type="dxa"/>
            <w:vMerge w:val="continue"/>
            <w:vAlign w:val="top"/>
          </w:tcPr>
          <w:p w14:paraId="7EFE8633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</w:tr>
      <w:tr w14:paraId="157F2B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920" w:type="dxa"/>
            <w:vMerge w:val="continue"/>
            <w:vAlign w:val="top"/>
          </w:tcPr>
          <w:p w14:paraId="0D27EFAC">
            <w:pPr>
              <w:pStyle w:val="7"/>
              <w:spacing w:before="72" w:line="239" w:lineRule="auto"/>
              <w:ind w:left="132" w:right="103" w:hanging="15"/>
              <w:jc w:val="both"/>
              <w:rPr>
                <w:rFonts w:hint="default" w:ascii="Times New Roman" w:hAnsi="Times New Roman" w:eastAsia="方正仿宋_GB2312" w:cs="Times New Roman"/>
                <w:color w:val="auto"/>
                <w:spacing w:val="-1"/>
                <w:highlight w:val="none"/>
              </w:rPr>
            </w:pPr>
          </w:p>
        </w:tc>
        <w:tc>
          <w:tcPr>
            <w:tcW w:w="1930" w:type="dxa"/>
            <w:vMerge w:val="continue"/>
            <w:vAlign w:val="center"/>
          </w:tcPr>
          <w:p w14:paraId="7670054F">
            <w:pPr>
              <w:pStyle w:val="7"/>
              <w:spacing w:before="112"/>
              <w:ind w:left="0" w:leftChars="0" w:right="103"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865" w:type="dxa"/>
            <w:vAlign w:val="center"/>
          </w:tcPr>
          <w:p w14:paraId="71D97AF8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副班主任</w:t>
            </w:r>
          </w:p>
        </w:tc>
        <w:tc>
          <w:tcPr>
            <w:tcW w:w="3030" w:type="dxa"/>
            <w:vAlign w:val="top"/>
          </w:tcPr>
          <w:p w14:paraId="2DF5FAC3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3</w:t>
            </w:r>
          </w:p>
        </w:tc>
        <w:tc>
          <w:tcPr>
            <w:tcW w:w="4238" w:type="dxa"/>
            <w:vMerge w:val="continue"/>
            <w:vAlign w:val="top"/>
          </w:tcPr>
          <w:p w14:paraId="6AAD80D1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</w:tr>
      <w:tr w14:paraId="5390A9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920" w:type="dxa"/>
            <w:vMerge w:val="continue"/>
            <w:vAlign w:val="top"/>
          </w:tcPr>
          <w:p w14:paraId="60FE0045">
            <w:pPr>
              <w:pStyle w:val="7"/>
              <w:spacing w:before="72" w:line="239" w:lineRule="auto"/>
              <w:ind w:left="132" w:right="103" w:hanging="15"/>
              <w:jc w:val="both"/>
              <w:rPr>
                <w:rFonts w:hint="default" w:ascii="Times New Roman" w:hAnsi="Times New Roman" w:eastAsia="方正仿宋_GB2312" w:cs="Times New Roman"/>
                <w:color w:val="auto"/>
                <w:spacing w:val="-1"/>
                <w:highlight w:val="none"/>
              </w:rPr>
            </w:pPr>
          </w:p>
        </w:tc>
        <w:tc>
          <w:tcPr>
            <w:tcW w:w="1930" w:type="dxa"/>
            <w:vMerge w:val="continue"/>
            <w:vAlign w:val="center"/>
          </w:tcPr>
          <w:p w14:paraId="4FB4FA06">
            <w:pPr>
              <w:pStyle w:val="7"/>
              <w:spacing w:before="112"/>
              <w:ind w:left="0" w:leftChars="0" w:right="103"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865" w:type="dxa"/>
            <w:vAlign w:val="center"/>
          </w:tcPr>
          <w:p w14:paraId="78415749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宿舍长</w:t>
            </w:r>
          </w:p>
        </w:tc>
        <w:tc>
          <w:tcPr>
            <w:tcW w:w="3030" w:type="dxa"/>
            <w:vAlign w:val="top"/>
          </w:tcPr>
          <w:p w14:paraId="4BA7C17A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1</w:t>
            </w:r>
          </w:p>
        </w:tc>
        <w:tc>
          <w:tcPr>
            <w:tcW w:w="4238" w:type="dxa"/>
            <w:vMerge w:val="continue"/>
            <w:vAlign w:val="top"/>
          </w:tcPr>
          <w:p w14:paraId="61FFD825">
            <w:pPr>
              <w:pStyle w:val="7"/>
              <w:spacing w:before="112"/>
              <w:ind w:left="0" w:leftChars="0" w:right="103" w:firstLine="0" w:firstLine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</w:tc>
      </w:tr>
      <w:tr w14:paraId="252B99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920" w:type="dxa"/>
            <w:vMerge w:val="continue"/>
            <w:vAlign w:val="top"/>
          </w:tcPr>
          <w:p w14:paraId="1C404261">
            <w:pPr>
              <w:pStyle w:val="7"/>
              <w:spacing w:before="72" w:line="239" w:lineRule="auto"/>
              <w:ind w:left="132" w:right="103" w:hanging="15"/>
              <w:jc w:val="both"/>
              <w:rPr>
                <w:rFonts w:hint="default" w:ascii="Times New Roman" w:hAnsi="Times New Roman" w:eastAsia="方正仿宋_GB2312" w:cs="Times New Roman"/>
                <w:color w:val="auto"/>
                <w:spacing w:val="-1"/>
                <w:highlight w:val="none"/>
              </w:rPr>
            </w:pPr>
          </w:p>
        </w:tc>
        <w:tc>
          <w:tcPr>
            <w:tcW w:w="1930" w:type="dxa"/>
            <w:vAlign w:val="center"/>
          </w:tcPr>
          <w:p w14:paraId="77B17789">
            <w:pPr>
              <w:pStyle w:val="7"/>
              <w:spacing w:before="112"/>
              <w:ind w:left="0" w:leftChars="0" w:right="103"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  <w:t>志愿公益</w:t>
            </w:r>
          </w:p>
        </w:tc>
        <w:tc>
          <w:tcPr>
            <w:tcW w:w="2865" w:type="dxa"/>
            <w:vAlign w:val="top"/>
          </w:tcPr>
          <w:p w14:paraId="6739E9A2">
            <w:pPr>
              <w:pStyle w:val="7"/>
              <w:spacing w:before="112"/>
              <w:ind w:right="103" w:right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  <w:p w14:paraId="45D608F9">
            <w:pPr>
              <w:pStyle w:val="7"/>
              <w:spacing w:before="112"/>
              <w:ind w:right="103" w:rightChars="0" w:firstLine="220" w:firstLineChars="100"/>
              <w:jc w:val="both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志愿公益</w:t>
            </w:r>
            <w:r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类活动参与情况</w:t>
            </w:r>
          </w:p>
        </w:tc>
        <w:tc>
          <w:tcPr>
            <w:tcW w:w="3030" w:type="dxa"/>
            <w:vAlign w:val="top"/>
          </w:tcPr>
          <w:p w14:paraId="4AACDA5C">
            <w:pPr>
              <w:pStyle w:val="7"/>
              <w:spacing w:before="1" w:line="236" w:lineRule="auto"/>
              <w:ind w:firstLine="428" w:firstLineChars="200"/>
              <w:jc w:val="both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排名前20%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——4</w:t>
            </w:r>
          </w:p>
          <w:p w14:paraId="139C41AB">
            <w:pPr>
              <w:pStyle w:val="7"/>
              <w:spacing w:before="1" w:line="236" w:lineRule="auto"/>
              <w:jc w:val="center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排名为20%-40%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——3</w:t>
            </w:r>
          </w:p>
          <w:p w14:paraId="52E3F873">
            <w:pPr>
              <w:pStyle w:val="7"/>
              <w:spacing w:before="1" w:line="236" w:lineRule="auto"/>
              <w:jc w:val="center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排名为40%-60%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——2</w:t>
            </w:r>
          </w:p>
          <w:p w14:paraId="778E54A8">
            <w:pPr>
              <w:pStyle w:val="7"/>
              <w:spacing w:before="1" w:line="236" w:lineRule="auto"/>
              <w:ind w:firstLine="428" w:firstLineChars="200"/>
              <w:jc w:val="both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排名低于前60%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——1</w:t>
            </w:r>
          </w:p>
        </w:tc>
        <w:tc>
          <w:tcPr>
            <w:tcW w:w="4238" w:type="dxa"/>
            <w:vAlign w:val="center"/>
          </w:tcPr>
          <w:p w14:paraId="7092D87E">
            <w:pPr>
              <w:pStyle w:val="7"/>
              <w:spacing w:before="1" w:line="236" w:lineRule="auto"/>
              <w:jc w:val="left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分数对应第二课堂成绩单“志愿公益”模块；班级排名以学校第二课堂系统导出数据为准。</w:t>
            </w:r>
          </w:p>
        </w:tc>
      </w:tr>
      <w:tr w14:paraId="655392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920" w:type="dxa"/>
            <w:vMerge w:val="continue"/>
            <w:vAlign w:val="top"/>
          </w:tcPr>
          <w:p w14:paraId="7FE929F1">
            <w:pPr>
              <w:pStyle w:val="7"/>
              <w:spacing w:before="72" w:line="239" w:lineRule="auto"/>
              <w:ind w:left="132" w:right="103" w:hanging="15"/>
              <w:jc w:val="both"/>
              <w:rPr>
                <w:rFonts w:hint="default" w:ascii="Times New Roman" w:hAnsi="Times New Roman" w:eastAsia="方正仿宋_GB2312" w:cs="Times New Roman"/>
                <w:color w:val="auto"/>
                <w:spacing w:val="-1"/>
                <w:highlight w:val="none"/>
              </w:rPr>
            </w:pPr>
          </w:p>
        </w:tc>
        <w:tc>
          <w:tcPr>
            <w:tcW w:w="1930" w:type="dxa"/>
            <w:vAlign w:val="center"/>
          </w:tcPr>
          <w:p w14:paraId="5CADDCAE">
            <w:pPr>
              <w:pStyle w:val="7"/>
              <w:spacing w:before="112"/>
              <w:ind w:left="0" w:leftChars="0" w:right="103" w:firstLine="221" w:firstLineChars="10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color w:val="auto"/>
                <w:highlight w:val="none"/>
                <w:lang w:val="en-US" w:eastAsia="zh-CN"/>
              </w:rPr>
              <w:t>生产劳动</w:t>
            </w:r>
          </w:p>
        </w:tc>
        <w:tc>
          <w:tcPr>
            <w:tcW w:w="2865" w:type="dxa"/>
            <w:shd w:val="clear" w:color="auto" w:fill="auto"/>
            <w:vAlign w:val="top"/>
          </w:tcPr>
          <w:p w14:paraId="07883F84">
            <w:pPr>
              <w:pStyle w:val="7"/>
              <w:spacing w:before="112"/>
              <w:ind w:right="103" w:rightChars="0"/>
              <w:jc w:val="center"/>
              <w:rPr>
                <w:rFonts w:hint="default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</w:pPr>
          </w:p>
          <w:p w14:paraId="4ADDE8B1">
            <w:pPr>
              <w:pStyle w:val="7"/>
              <w:spacing w:before="112"/>
              <w:ind w:right="103" w:rightChars="0" w:firstLine="220" w:firstLineChars="100"/>
              <w:jc w:val="both"/>
              <w:rPr>
                <w:rFonts w:hint="default" w:ascii="Times New Roman" w:hAnsi="Times New Roman" w:eastAsia="方正仿宋_GB2312" w:cs="Times New Roman"/>
                <w:snapToGrid w:val="0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highlight w:val="none"/>
                <w:lang w:val="en-US" w:eastAsia="zh-CN"/>
              </w:rPr>
              <w:t>生产劳动活动参与情况</w:t>
            </w:r>
          </w:p>
        </w:tc>
        <w:tc>
          <w:tcPr>
            <w:tcW w:w="3030" w:type="dxa"/>
            <w:shd w:val="clear" w:color="auto" w:fill="auto"/>
            <w:vAlign w:val="top"/>
          </w:tcPr>
          <w:p w14:paraId="3E8CF7E5">
            <w:pPr>
              <w:pStyle w:val="7"/>
              <w:spacing w:before="1" w:line="236" w:lineRule="auto"/>
              <w:ind w:firstLine="428" w:firstLineChars="200"/>
              <w:jc w:val="both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排名前20%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——4</w:t>
            </w:r>
          </w:p>
          <w:p w14:paraId="133F1C19">
            <w:pPr>
              <w:pStyle w:val="7"/>
              <w:spacing w:before="1" w:line="236" w:lineRule="auto"/>
              <w:jc w:val="center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排名为20%-40%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——3</w:t>
            </w:r>
          </w:p>
          <w:p w14:paraId="39F843E8">
            <w:pPr>
              <w:pStyle w:val="7"/>
              <w:spacing w:before="1" w:line="236" w:lineRule="auto"/>
              <w:jc w:val="center"/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排名为40%-60%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——2</w:t>
            </w:r>
          </w:p>
          <w:p w14:paraId="13FDB243">
            <w:pPr>
              <w:pStyle w:val="7"/>
              <w:spacing w:before="1" w:line="236" w:lineRule="auto"/>
              <w:ind w:firstLine="428" w:firstLineChars="200"/>
              <w:jc w:val="both"/>
              <w:rPr>
                <w:rFonts w:hint="default" w:ascii="Times New Roman" w:hAnsi="Times New Roman" w:eastAsia="方正仿宋_GB2312" w:cs="Times New Roman"/>
                <w:snapToGrid w:val="0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排名低于前60%</w:t>
            </w:r>
            <w:r>
              <w:rPr>
                <w:rFonts w:hint="eastAsia" w:ascii="Times New Roman" w:hAnsi="Times New Roman" w:eastAsia="方正仿宋_GB2312" w:cs="Times New Roman"/>
                <w:color w:val="auto"/>
                <w:spacing w:val="-3"/>
                <w:highlight w:val="none"/>
                <w:lang w:val="en-US" w:eastAsia="zh-CN"/>
              </w:rPr>
              <w:t>——1</w:t>
            </w:r>
          </w:p>
        </w:tc>
        <w:tc>
          <w:tcPr>
            <w:tcW w:w="4238" w:type="dxa"/>
            <w:shd w:val="clear" w:color="auto" w:fill="auto"/>
            <w:vAlign w:val="center"/>
          </w:tcPr>
          <w:p w14:paraId="387A3CA1">
            <w:pPr>
              <w:pStyle w:val="7"/>
              <w:spacing w:before="1" w:line="236" w:lineRule="auto"/>
              <w:jc w:val="left"/>
              <w:rPr>
                <w:rFonts w:hint="default" w:ascii="Times New Roman" w:hAnsi="Times New Roman" w:eastAsia="方正仿宋_GB2312" w:cs="Times New Roman"/>
                <w:snapToGrid w:val="0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napToGrid w:val="0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分数对应第二课堂成绩单“</w:t>
            </w:r>
            <w:r>
              <w:rPr>
                <w:rFonts w:hint="eastAsia" w:ascii="Times New Roman" w:hAnsi="Times New Roman" w:eastAsia="方正仿宋_GB2312" w:cs="Times New Roman"/>
                <w:snapToGrid w:val="0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生产劳动</w:t>
            </w:r>
            <w:r>
              <w:rPr>
                <w:rFonts w:hint="default" w:ascii="Times New Roman" w:hAnsi="Times New Roman" w:eastAsia="方正仿宋_GB2312" w:cs="Times New Roman"/>
                <w:snapToGrid w:val="0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”模块；班级排名以学校第二课堂系统导出数据为准。</w:t>
            </w:r>
          </w:p>
        </w:tc>
      </w:tr>
    </w:tbl>
    <w:p w14:paraId="35C92518">
      <w:pPr>
        <w:spacing w:before="299" w:line="212" w:lineRule="auto"/>
        <w:ind w:firstLine="1256" w:firstLineChars="400"/>
        <w:jc w:val="center"/>
        <w:rPr>
          <w:rFonts w:hint="eastAsia" w:ascii="方正小标宋简体" w:hAnsi="方正小标宋简体" w:eastAsia="方正小标宋简体" w:cs="方正小标宋简体"/>
          <w:color w:val="auto"/>
          <w:spacing w:val="2"/>
          <w:sz w:val="31"/>
          <w:szCs w:val="31"/>
          <w:highlight w:val="none"/>
        </w:rPr>
      </w:pPr>
    </w:p>
    <w:p w14:paraId="244CF332">
      <w:pPr>
        <w:spacing w:before="299" w:line="212" w:lineRule="auto"/>
        <w:ind w:firstLine="1256" w:firstLineChars="400"/>
        <w:jc w:val="center"/>
        <w:rPr>
          <w:rFonts w:hint="eastAsia" w:ascii="方正小标宋简体" w:hAnsi="方正小标宋简体" w:eastAsia="方正小标宋简体" w:cs="方正小标宋简体"/>
          <w:color w:val="auto"/>
          <w:spacing w:val="2"/>
          <w:sz w:val="31"/>
          <w:szCs w:val="31"/>
          <w:highlight w:val="none"/>
        </w:rPr>
      </w:pPr>
    </w:p>
    <w:p w14:paraId="33863183">
      <w:pPr>
        <w:spacing w:before="299" w:line="212" w:lineRule="auto"/>
        <w:ind w:firstLine="1256" w:firstLineChars="400"/>
        <w:jc w:val="center"/>
        <w:rPr>
          <w:rFonts w:hint="eastAsia" w:ascii="方正小标宋简体" w:hAnsi="方正小标宋简体" w:eastAsia="方正小标宋简体" w:cs="方正小标宋简体"/>
          <w:color w:val="auto"/>
          <w:spacing w:val="2"/>
          <w:sz w:val="31"/>
          <w:szCs w:val="31"/>
          <w:highlight w:val="none"/>
        </w:rPr>
      </w:pPr>
    </w:p>
    <w:p w14:paraId="58475760">
      <w:pPr>
        <w:rPr>
          <w:rFonts w:ascii="Arial"/>
          <w:color w:val="auto"/>
          <w:sz w:val="21"/>
          <w:highlight w:val="none"/>
        </w:rPr>
      </w:pPr>
    </w:p>
    <w:p w14:paraId="6D53DDDE">
      <w:pPr>
        <w:rPr>
          <w:rFonts w:ascii="Arial"/>
          <w:color w:val="auto"/>
          <w:sz w:val="21"/>
          <w:highlight w:val="none"/>
        </w:rPr>
      </w:pPr>
    </w:p>
    <w:p w14:paraId="7858F565">
      <w:pPr>
        <w:rPr>
          <w:rFonts w:ascii="Arial"/>
          <w:color w:val="auto"/>
          <w:sz w:val="21"/>
          <w:highlight w:val="none"/>
        </w:rPr>
      </w:pPr>
    </w:p>
    <w:p w14:paraId="2E30B1DD">
      <w:pPr>
        <w:rPr>
          <w:rFonts w:ascii="Arial"/>
          <w:color w:val="auto"/>
          <w:sz w:val="21"/>
          <w:highlight w:val="none"/>
        </w:rPr>
      </w:pPr>
    </w:p>
    <w:p w14:paraId="7E96350C">
      <w:pPr>
        <w:rPr>
          <w:rFonts w:ascii="Arial"/>
          <w:color w:val="auto"/>
          <w:sz w:val="21"/>
          <w:highlight w:val="none"/>
        </w:rPr>
      </w:pPr>
    </w:p>
    <w:p w14:paraId="1BCDF446">
      <w:pPr>
        <w:rPr>
          <w:rFonts w:ascii="Arial"/>
          <w:color w:val="auto"/>
          <w:sz w:val="21"/>
          <w:highlight w:val="none"/>
        </w:rPr>
        <w:sectPr>
          <w:pgSz w:w="16839" w:h="11906" w:orient="landscape"/>
          <w:pgMar w:top="1687" w:right="1431" w:bottom="1167" w:left="0" w:header="0" w:footer="0" w:gutter="0"/>
          <w:cols w:space="720" w:num="1"/>
        </w:sectPr>
      </w:pPr>
    </w:p>
    <w:p w14:paraId="66160088">
      <w:pPr>
        <w:adjustRightInd w:val="0"/>
        <w:snapToGrid w:val="0"/>
        <w:spacing w:before="0" w:beforeLines="0" w:line="240" w:lineRule="auto"/>
        <w:ind w:firstLine="640" w:firstLineChars="200"/>
        <w:jc w:val="left"/>
        <w:outlineLvl w:val="0"/>
        <w:rPr>
          <w:rFonts w:ascii="Times New Roman" w:hAnsi="Times New Roman" w:eastAsia="方正小标宋简体" w:cs="方正小标宋简体"/>
          <w:color w:val="auto"/>
          <w:kern w:val="0"/>
          <w:sz w:val="36"/>
          <w:szCs w:val="36"/>
        </w:rPr>
      </w:pPr>
      <w:r>
        <w:rPr>
          <w:rFonts w:hint="eastAsia" w:ascii="Times New Roman" w:hAnsi="Times New Roman" w:eastAsia="黑体" w:cs="黑体"/>
          <w:color w:val="auto"/>
          <w:kern w:val="0"/>
          <w:sz w:val="32"/>
          <w:szCs w:val="32"/>
          <w:lang w:val="en-US" w:eastAsia="zh-CN"/>
        </w:rPr>
        <w:t>二、审核方案</w:t>
      </w:r>
    </w:p>
    <w:p w14:paraId="302E10E1">
      <w:pPr>
        <w:keepNext w:val="0"/>
        <w:keepLines w:val="0"/>
        <w:widowControl w:val="0"/>
        <w:suppressLineNumbers w:val="0"/>
        <w:adjustRightInd w:val="0"/>
        <w:snapToGrid w:val="0"/>
        <w:spacing w:beforeLines="0" w:line="540" w:lineRule="exact"/>
        <w:ind w:firstLine="640" w:firstLineChars="200"/>
        <w:jc w:val="both"/>
        <w:outlineLvl w:val="1"/>
        <w:rPr>
          <w:rFonts w:hint="eastAsia" w:ascii="Times New Roman" w:hAnsi="Times New Roman" w:eastAsia="楷体_GB2312" w:cs="楷体_GB2312"/>
          <w:color w:val="auto"/>
          <w:kern w:val="0"/>
          <w:sz w:val="32"/>
          <w:szCs w:val="32"/>
          <w:lang w:eastAsia="zh-CN" w:bidi="ar-SA"/>
        </w:rPr>
      </w:pPr>
      <w:r>
        <w:rPr>
          <w:rFonts w:hint="eastAsia" w:ascii="Times New Roman" w:hAnsi="Times New Roman" w:eastAsia="楷体_GB2312" w:cs="楷体_GB2312"/>
          <w:color w:val="auto"/>
          <w:kern w:val="0"/>
          <w:sz w:val="32"/>
          <w:szCs w:val="32"/>
          <w:lang w:eastAsia="zh-CN" w:bidi="ar-SA"/>
        </w:rPr>
        <w:t>（一）综合评价初审</w:t>
      </w:r>
    </w:p>
    <w:p w14:paraId="3E6E05A3">
      <w:pPr>
        <w:keepNext w:val="0"/>
        <w:keepLines w:val="0"/>
        <w:widowControl w:val="0"/>
        <w:suppressLineNumbers w:val="0"/>
        <w:adjustRightInd w:val="0"/>
        <w:snapToGrid w:val="0"/>
        <w:spacing w:beforeLines="0" w:line="540" w:lineRule="exact"/>
        <w:ind w:firstLine="640" w:firstLineChars="200"/>
        <w:jc w:val="both"/>
        <w:outlineLvl w:val="1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val="en-US" w:eastAsia="zh-CN" w:bidi="ar-SA"/>
        </w:rPr>
        <w:t>各审核评议小组依据《艺术学院2027年推荐优秀应届本科毕业生免试攻读研究生工作办法》，按照学院公布的评价指标、评分标准和工作程序，对学生提交材料的完整性、规范性和有效性进行审核，并逐项予以认定和评分。</w:t>
      </w:r>
    </w:p>
    <w:p w14:paraId="658F510A">
      <w:pPr>
        <w:keepNext w:val="0"/>
        <w:keepLines w:val="0"/>
        <w:widowControl w:val="0"/>
        <w:suppressLineNumbers w:val="0"/>
        <w:adjustRightInd w:val="0"/>
        <w:snapToGrid w:val="0"/>
        <w:spacing w:beforeLines="0" w:line="540" w:lineRule="exact"/>
        <w:ind w:firstLine="640" w:firstLineChars="200"/>
        <w:jc w:val="both"/>
        <w:outlineLvl w:val="1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val="en-US" w:eastAsia="zh-CN" w:bidi="ar-SA"/>
        </w:rPr>
        <w:t>涉及课程成绩、外语成绩、综合素质测评等已有学校或学院正式记录的数据，原则上以相关管理系统及正式认定结果为准。涉及科研成果、竞赛获奖、科研训练、研究能力和创新潜质等需进行专业判断的材料，由智育审核评议小组负责鉴定。具有纸质原始文件的，应查验原件；无纸质原始文件的，应提供官方网站查询渠道或具有法律效力的支撑证明材料。对团队科研成果、联合参赛、与指导教师联合发表论文等情况，应重点审核学生本人实际贡献。相关成果经审核认定后，按照评分标准确定得分；未通过认定的，不予加分。学生须对所提交材料的真实性、准确性和本人实际贡献作出书面承诺。</w:t>
      </w:r>
    </w:p>
    <w:p w14:paraId="27B41A68">
      <w:pPr>
        <w:keepNext w:val="0"/>
        <w:keepLines w:val="0"/>
        <w:widowControl w:val="0"/>
        <w:suppressLineNumbers w:val="0"/>
        <w:adjustRightInd w:val="0"/>
        <w:snapToGrid w:val="0"/>
        <w:spacing w:beforeLines="0" w:line="540" w:lineRule="exact"/>
        <w:ind w:firstLine="640" w:firstLineChars="200"/>
        <w:jc w:val="both"/>
        <w:outlineLvl w:val="1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val="en-US" w:eastAsia="zh-CN" w:bidi="ar-SA"/>
        </w:rPr>
        <w:t>学院对纳入综合评价的重点加分项目组织考核鉴定及公开答辩，重点考察学生专业能力、科研水平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val="en-US" w:eastAsia="zh-CN" w:bidi="ar-SA"/>
        </w:rPr>
        <w:t>和创新质量，答辩过程全程录音录像。经审核发现存在抄袭、剽窃、造假、冒名、虚报个人贡献或其他影响公平公正情形的材料，不予认定；涉嫌违规违纪的，按学校有关规定处理。</w:t>
      </w:r>
    </w:p>
    <w:p w14:paraId="0FB79154">
      <w:pPr>
        <w:keepNext w:val="0"/>
        <w:keepLines w:val="0"/>
        <w:widowControl w:val="0"/>
        <w:suppressLineNumbers w:val="0"/>
        <w:adjustRightInd w:val="0"/>
        <w:snapToGrid w:val="0"/>
        <w:spacing w:beforeLines="0" w:line="540" w:lineRule="exact"/>
        <w:ind w:firstLine="640" w:firstLineChars="200"/>
        <w:jc w:val="both"/>
        <w:outlineLvl w:val="1"/>
        <w:rPr>
          <w:rFonts w:hint="eastAsia" w:ascii="Times New Roman" w:hAnsi="Times New Roman" w:eastAsia="楷体_GB2312" w:cs="楷体_GB2312"/>
          <w:color w:val="auto"/>
          <w:kern w:val="0"/>
          <w:sz w:val="32"/>
          <w:szCs w:val="32"/>
          <w:lang w:eastAsia="zh-CN" w:bidi="ar-SA"/>
        </w:rPr>
      </w:pPr>
      <w:r>
        <w:rPr>
          <w:rFonts w:hint="eastAsia" w:ascii="Times New Roman" w:hAnsi="Times New Roman" w:eastAsia="楷体_GB2312" w:cs="楷体_GB2312"/>
          <w:color w:val="auto"/>
          <w:kern w:val="0"/>
          <w:sz w:val="32"/>
          <w:szCs w:val="32"/>
          <w:lang w:eastAsia="zh-CN" w:bidi="ar-SA"/>
        </w:rPr>
        <w:t>（二）综合评价复核</w:t>
      </w:r>
    </w:p>
    <w:p w14:paraId="0480E6E7">
      <w:pPr>
        <w:keepNext w:val="0"/>
        <w:keepLines w:val="0"/>
        <w:widowControl w:val="0"/>
        <w:suppressLineNumbers w:val="0"/>
        <w:adjustRightInd w:val="0"/>
        <w:snapToGrid w:val="0"/>
        <w:spacing w:beforeLines="0" w:line="540" w:lineRule="exact"/>
        <w:ind w:firstLine="640" w:firstLineChars="200"/>
        <w:jc w:val="both"/>
        <w:outlineLvl w:val="1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eastAsia="zh-CN" w:bidi="ar-SA"/>
        </w:rPr>
        <w:t>各审核评议小组完成初次审核和评分后，应在组内交叉对材料认定结果、评分依据、单项得分、单项分值上限以及综合评价总分进行逐项复核，重点检查是否存在漏项、错项、重复计分、超限计分及计算错误等问题。涉及学业成绩、外语成绩、综合素质测评等基础数据的，应核对原始数据来源及计算过程；涉及科研成果、竞赛获奖、科研训练及其他加分项目的，应再次核验相关证明材料及其认定依据。对团队成果等存在个人贡献认定的项目，应重点复核学生本人实际贡献与最终评分是否相符。复核中发现材料、评分或计算存在错误的，应及时更正，并由相关人员再次核对确认。</w:t>
      </w:r>
    </w:p>
    <w:p w14:paraId="2F2223C7">
      <w:pPr>
        <w:keepNext w:val="0"/>
        <w:keepLines w:val="0"/>
        <w:widowControl w:val="0"/>
        <w:suppressLineNumbers w:val="0"/>
        <w:adjustRightInd w:val="0"/>
        <w:snapToGrid w:val="0"/>
        <w:spacing w:beforeLines="0" w:line="540" w:lineRule="exact"/>
        <w:ind w:firstLine="640" w:firstLineChars="200"/>
        <w:jc w:val="both"/>
        <w:outlineLvl w:val="1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eastAsia="zh-CN" w:bidi="ar-SA"/>
        </w:rPr>
        <w:t>对学生提出异议、材料真实性存疑、不同学生同类材料评分存在明显差异，或其他可能影响推免工作公平公正的情况，学院应及时组织专项复核，必要时可组织相关学科专家重新鉴定，或提交学院推免生遴选推荐委员会集体研究。复核过程应形成书面记录，并由相关人员签字确认。</w:t>
      </w:r>
    </w:p>
    <w:p w14:paraId="5FFC9B4D">
      <w:pPr>
        <w:keepNext w:val="0"/>
        <w:keepLines w:val="0"/>
        <w:widowControl w:val="0"/>
        <w:suppressLineNumbers w:val="0"/>
        <w:adjustRightInd w:val="0"/>
        <w:snapToGrid w:val="0"/>
        <w:spacing w:beforeLines="0" w:line="540" w:lineRule="exact"/>
        <w:ind w:firstLine="640" w:firstLineChars="200"/>
        <w:jc w:val="both"/>
        <w:outlineLvl w:val="1"/>
        <w:rPr>
          <w:rFonts w:hint="eastAsia" w:ascii="Times New Roman" w:hAnsi="Times New Roman" w:eastAsia="楷体_GB2312" w:cs="楷体_GB2312"/>
          <w:color w:val="auto"/>
          <w:kern w:val="0"/>
          <w:sz w:val="32"/>
          <w:szCs w:val="32"/>
          <w:lang w:eastAsia="zh-CN" w:bidi="ar-SA"/>
        </w:rPr>
      </w:pPr>
      <w:r>
        <w:rPr>
          <w:rFonts w:hint="eastAsia" w:ascii="Times New Roman" w:hAnsi="Times New Roman" w:eastAsia="楷体_GB2312" w:cs="楷体_GB2312"/>
          <w:color w:val="auto"/>
          <w:kern w:val="0"/>
          <w:sz w:val="32"/>
          <w:szCs w:val="32"/>
          <w:lang w:eastAsia="zh-CN" w:bidi="ar-SA"/>
        </w:rPr>
        <w:t>（三）综合评价结果审议与确定</w:t>
      </w:r>
    </w:p>
    <w:p w14:paraId="3598C350">
      <w:pPr>
        <w:keepNext w:val="0"/>
        <w:keepLines w:val="0"/>
        <w:widowControl w:val="0"/>
        <w:suppressLineNumbers w:val="0"/>
        <w:adjustRightInd w:val="0"/>
        <w:snapToGrid w:val="0"/>
        <w:spacing w:beforeLines="0" w:line="540" w:lineRule="exact"/>
        <w:ind w:firstLine="640" w:firstLineChars="200"/>
        <w:jc w:val="both"/>
        <w:outlineLvl w:val="1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eastAsia="zh-CN" w:bidi="ar-SA"/>
        </w:rPr>
        <w:t>各审核评议小组完成审核和交叉复核后，学院汇总各项评价结果，按规定计算学生综合评价成绩，并将综合评价结果、推免总成绩及排名情况提交学院推免生遴选推荐委员会集体审议。委员会对综合评价指标体系及评分标准的执行情况、材料审核及复核程序、加分项目认定情况、成绩计算及排名结果等进行全面审议。未经规定程序审核、复核和集体审议的，不得作为确定拟推免名单的依据。</w:t>
      </w:r>
    </w:p>
    <w:p w14:paraId="240D0E77">
      <w:pPr>
        <w:keepNext w:val="0"/>
        <w:keepLines w:val="0"/>
        <w:widowControl w:val="0"/>
        <w:suppressLineNumbers w:val="0"/>
        <w:adjustRightInd w:val="0"/>
        <w:snapToGrid w:val="0"/>
        <w:spacing w:beforeLines="0" w:line="540" w:lineRule="exact"/>
        <w:ind w:firstLine="640" w:firstLineChars="200"/>
        <w:jc w:val="both"/>
        <w:outlineLvl w:val="1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eastAsia="zh-CN" w:bidi="ar-SA"/>
        </w:rPr>
        <w:t>经审核确认的综合评价加分项目及拟推免名单，分别按照学校要求进行公示。公示期间收到异议的，学院应及时调查核实；经核实确有错误的，应按规定予以更正，并根据实际情况重新进行公示。涉及重大、复杂或可能影响推免结果的事项，应提交学院推免生遴选推荐委员会集体研究。</w:t>
      </w:r>
    </w:p>
    <w:p w14:paraId="359E3B0A">
      <w:pPr>
        <w:keepNext w:val="0"/>
        <w:keepLines w:val="0"/>
        <w:widowControl w:val="0"/>
        <w:suppressLineNumbers w:val="0"/>
        <w:adjustRightInd w:val="0"/>
        <w:snapToGrid w:val="0"/>
        <w:spacing w:beforeLines="0" w:line="540" w:lineRule="exact"/>
        <w:ind w:firstLine="640" w:firstLineChars="200"/>
        <w:jc w:val="both"/>
        <w:outlineLvl w:val="1"/>
        <w:rPr>
          <w:rFonts w:hint="eastAsia" w:ascii="Times New Roman" w:hAnsi="Times New Roman" w:eastAsia="楷体_GB2312" w:cs="楷体_GB2312"/>
          <w:color w:val="auto"/>
          <w:kern w:val="0"/>
          <w:sz w:val="32"/>
          <w:szCs w:val="32"/>
          <w:lang w:bidi="ar-SA"/>
        </w:rPr>
      </w:pPr>
      <w:r>
        <w:rPr>
          <w:rFonts w:hint="eastAsia" w:ascii="Times New Roman" w:hAnsi="Times New Roman" w:eastAsia="楷体_GB2312" w:cs="楷体_GB2312"/>
          <w:color w:val="auto"/>
          <w:kern w:val="0"/>
          <w:sz w:val="32"/>
          <w:szCs w:val="32"/>
          <w:lang w:eastAsia="zh-CN" w:bidi="ar-SA"/>
        </w:rPr>
        <w:t>（</w:t>
      </w:r>
      <w:r>
        <w:rPr>
          <w:rFonts w:hint="eastAsia" w:ascii="Times New Roman" w:hAnsi="Times New Roman" w:eastAsia="楷体_GB2312" w:cs="楷体_GB2312"/>
          <w:color w:val="auto"/>
          <w:kern w:val="0"/>
          <w:sz w:val="32"/>
          <w:szCs w:val="32"/>
          <w:lang w:val="en-US" w:eastAsia="zh-CN" w:bidi="ar-SA"/>
        </w:rPr>
        <w:t>四</w:t>
      </w:r>
      <w:r>
        <w:rPr>
          <w:rFonts w:hint="eastAsia" w:ascii="Times New Roman" w:hAnsi="Times New Roman" w:eastAsia="楷体_GB2312" w:cs="楷体_GB2312"/>
          <w:color w:val="auto"/>
          <w:kern w:val="0"/>
          <w:sz w:val="32"/>
          <w:szCs w:val="32"/>
          <w:lang w:eastAsia="zh-CN" w:bidi="ar-SA"/>
        </w:rPr>
        <w:t>）</w:t>
      </w:r>
      <w:r>
        <w:rPr>
          <w:rFonts w:hint="eastAsia" w:ascii="Times New Roman" w:hAnsi="Times New Roman" w:eastAsia="楷体_GB2312" w:cs="楷体_GB2312"/>
          <w:color w:val="auto"/>
          <w:kern w:val="0"/>
          <w:sz w:val="32"/>
          <w:szCs w:val="32"/>
          <w:lang w:bidi="ar-SA"/>
        </w:rPr>
        <w:t>材料管理</w:t>
      </w:r>
    </w:p>
    <w:p w14:paraId="6323B1A1">
      <w:pPr>
        <w:pStyle w:val="3"/>
        <w:widowControl/>
        <w:adjustRightInd w:val="0"/>
        <w:snapToGrid w:val="0"/>
        <w:spacing w:beforeAutospacing="0" w:afterAutospacing="0" w:line="540" w:lineRule="exact"/>
        <w:ind w:left="0" w:leftChars="0" w:firstLine="640" w:firstLineChars="200"/>
        <w:jc w:val="both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bidi="ar-SA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bidi="ar-SA"/>
        </w:rPr>
        <w:t>学院应规范做好综合评价全过程记录，对学生申请材料、审核记录、复核记录、专家评议意见、答辩材料、评分结果、公示材料及异议处理材料等进行签字存档。学生申请材料、评分记录等所有纸介质材料均须进行电子扫描保存且至少保留1年，电子扫描版至少保留5年，录音录像电子材料至少保留5年，确保推免综合评价工作全过程可查询、可追溯。</w:t>
      </w:r>
    </w:p>
    <w:p w14:paraId="167E2D9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8" w:firstLineChars="200"/>
        <w:textAlignment w:val="baseline"/>
        <w:rPr>
          <w:rFonts w:hint="eastAsia" w:ascii="方正仿宋_GB2312" w:hAnsi="方正仿宋_GB2312" w:eastAsia="方正仿宋_GB2312" w:cs="方正仿宋_GB2312"/>
          <w:color w:val="auto"/>
          <w:spacing w:val="2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  <w:embedRegular r:id="rId1" w:fontKey="{A4BCBD88-6729-4289-BE80-EFE1E655562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9FEB9A1-009C-4B92-979F-5D5B764D234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98A12BD-6514-4D11-BF82-3736745591D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60953D22-A355-4156-A45D-1BC454298D53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D59C561D-271D-4236-B8CD-789B486B7FB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68F34DD8-D2DB-43EC-8380-2E15AD3692AD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7" w:fontKey="{B74386FA-B31E-4DC0-9099-EC9D5F1ACFB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D3BA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09F526">
                          <w:pPr>
                            <w:pStyle w:val="2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第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页 共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17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09F526">
                    <w:pPr>
                      <w:pStyle w:val="2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第 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</w:rPr>
                      <w:t xml:space="preserve"> 页 共 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NUMPAGES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17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D36EB6"/>
    <w:multiLevelType w:val="singleLevel"/>
    <w:tmpl w:val="5AD36EB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7317212"/>
    <w:rsid w:val="073701A4"/>
    <w:rsid w:val="0EAA2659"/>
    <w:rsid w:val="115658F2"/>
    <w:rsid w:val="12C04DF7"/>
    <w:rsid w:val="17C538AF"/>
    <w:rsid w:val="20936574"/>
    <w:rsid w:val="25644DA4"/>
    <w:rsid w:val="27D9123A"/>
    <w:rsid w:val="301015CC"/>
    <w:rsid w:val="35B12CA3"/>
    <w:rsid w:val="3AEB2930"/>
    <w:rsid w:val="3B225844"/>
    <w:rsid w:val="4A011DA0"/>
    <w:rsid w:val="4CE0009C"/>
    <w:rsid w:val="50740B35"/>
    <w:rsid w:val="52F25F9E"/>
    <w:rsid w:val="54880DE9"/>
    <w:rsid w:val="5F7C29CE"/>
    <w:rsid w:val="61344722"/>
    <w:rsid w:val="6D891B7E"/>
    <w:rsid w:val="70120BD0"/>
    <w:rsid w:val="70EC7FBF"/>
    <w:rsid w:val="735C4276"/>
    <w:rsid w:val="761732A0"/>
    <w:rsid w:val="7A211361"/>
    <w:rsid w:val="7E171357"/>
    <w:rsid w:val="7F1338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3999</Words>
  <Characters>4177</Characters>
  <TotalTime>31</TotalTime>
  <ScaleCrop>false</ScaleCrop>
  <LinksUpToDate>false</LinksUpToDate>
  <CharactersWithSpaces>4190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2025-09-05T09:45:00Z</dcterms:created>
  <dc:creator>zhaochuang</dc:creator>
  <cp:lastModifiedBy>标准音</cp:lastModifiedBy>
  <cp:lastPrinted>2026-09-08T07:52:00Z</cp:lastPrinted>
  <dcterms:modified xsi:type="dcterms:W3CDTF">2026-09-08T15:39:32Z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2025-09-05T10:03:33Z</vt:filetime>
  </property>
  <property fmtid="{D5CDD505-2E9C-101B-9397-08002B2CF9AE}" pid="4" name="KSOTemplateDocerSaveRecord">
    <vt:lpwstr>eyJoZGlkIjoiNWZkYmJjODgxNzY2MDA0MzY4YjlkYzY5NzFhZmFkMzAiLCJ1c2VySWQiOiIyNzgxNDQ5NDgifQ==</vt:lpwstr>
  </property>
  <property fmtid="{D5CDD505-2E9C-101B-9397-08002B2CF9AE}" pid="5" name="KSOProductBuildVer">
    <vt:lpwstr>2052-12.1.0.28043</vt:lpwstr>
  </property>
  <property fmtid="{D5CDD505-2E9C-101B-9397-08002B2CF9AE}" pid="6" name="ICV">
    <vt:lpwstr>5CE2A63295FD46C4A78804934E1B15C8_13</vt:lpwstr>
  </property>
</Properties>
</file>