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2DD18" w14:textId="77777777" w:rsidR="00D843FC" w:rsidRDefault="00000000">
      <w:pPr>
        <w:jc w:val="center"/>
        <w:rPr>
          <w:sz w:val="44"/>
          <w:szCs w:val="44"/>
        </w:rPr>
      </w:pPr>
      <w:r>
        <w:rPr>
          <w:rFonts w:ascii="方正小标宋简体" w:eastAsia="方正小标宋简体" w:hAnsi="宋体" w:hint="eastAsia"/>
          <w:sz w:val="44"/>
          <w:szCs w:val="44"/>
        </w:rPr>
        <w:t>数学与统计学院综合评价指标评价体系</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882"/>
        <w:gridCol w:w="6651"/>
      </w:tblGrid>
      <w:tr w:rsidR="00D843FC" w14:paraId="488E992F" w14:textId="77777777">
        <w:trPr>
          <w:trHeight w:val="779"/>
        </w:trPr>
        <w:tc>
          <w:tcPr>
            <w:tcW w:w="1081" w:type="dxa"/>
            <w:vAlign w:val="center"/>
          </w:tcPr>
          <w:p w14:paraId="1DE70C7E" w14:textId="77777777" w:rsidR="00D843FC" w:rsidRDefault="00000000">
            <w:pPr>
              <w:jc w:val="center"/>
              <w:rPr>
                <w:rFonts w:ascii="方正仿宋_GB2312" w:eastAsia="方正仿宋_GB2312" w:hAnsi="方正仿宋_GB2312" w:cs="方正仿宋_GB2312"/>
                <w:b/>
                <w:bCs/>
                <w:sz w:val="28"/>
                <w:szCs w:val="28"/>
              </w:rPr>
            </w:pPr>
            <w:r>
              <w:rPr>
                <w:rFonts w:ascii="方正仿宋_GB2312" w:eastAsia="方正仿宋_GB2312" w:hAnsi="方正仿宋_GB2312" w:cs="方正仿宋_GB2312" w:hint="eastAsia"/>
                <w:b/>
                <w:bCs/>
                <w:sz w:val="28"/>
                <w:szCs w:val="28"/>
              </w:rPr>
              <w:t>指标</w:t>
            </w:r>
          </w:p>
        </w:tc>
        <w:tc>
          <w:tcPr>
            <w:tcW w:w="882" w:type="dxa"/>
            <w:vAlign w:val="center"/>
          </w:tcPr>
          <w:p w14:paraId="130593C7" w14:textId="77777777" w:rsidR="00D843FC" w:rsidRDefault="00000000">
            <w:pPr>
              <w:jc w:val="center"/>
              <w:rPr>
                <w:rFonts w:ascii="方正仿宋_GB2312" w:eastAsia="方正仿宋_GB2312" w:hAnsi="方正仿宋_GB2312" w:cs="方正仿宋_GB2312"/>
                <w:b/>
                <w:bCs/>
                <w:sz w:val="28"/>
                <w:szCs w:val="28"/>
              </w:rPr>
            </w:pPr>
            <w:r>
              <w:rPr>
                <w:rFonts w:ascii="方正仿宋_GB2312" w:eastAsia="方正仿宋_GB2312" w:hAnsi="方正仿宋_GB2312" w:cs="方正仿宋_GB2312" w:hint="eastAsia"/>
                <w:b/>
                <w:bCs/>
                <w:sz w:val="28"/>
                <w:szCs w:val="28"/>
              </w:rPr>
              <w:t>得分占比</w:t>
            </w:r>
          </w:p>
        </w:tc>
        <w:tc>
          <w:tcPr>
            <w:tcW w:w="0" w:type="auto"/>
            <w:vAlign w:val="center"/>
          </w:tcPr>
          <w:p w14:paraId="2FD56F51" w14:textId="77777777" w:rsidR="00D843FC" w:rsidRDefault="00000000">
            <w:pPr>
              <w:jc w:val="center"/>
              <w:rPr>
                <w:rFonts w:ascii="方正仿宋_GB2312" w:eastAsia="方正仿宋_GB2312" w:hAnsi="方正仿宋_GB2312" w:cs="方正仿宋_GB2312"/>
                <w:b/>
                <w:bCs/>
                <w:sz w:val="28"/>
                <w:szCs w:val="28"/>
              </w:rPr>
            </w:pPr>
            <w:r>
              <w:rPr>
                <w:rFonts w:ascii="方正仿宋_GB2312" w:eastAsia="方正仿宋_GB2312" w:hAnsi="方正仿宋_GB2312" w:cs="方正仿宋_GB2312" w:hint="eastAsia"/>
                <w:b/>
                <w:bCs/>
                <w:sz w:val="28"/>
                <w:szCs w:val="28"/>
              </w:rPr>
              <w:t>评分标准</w:t>
            </w:r>
          </w:p>
        </w:tc>
      </w:tr>
      <w:tr w:rsidR="00D843FC" w14:paraId="2BA797A9" w14:textId="77777777">
        <w:trPr>
          <w:trHeight w:val="1134"/>
        </w:trPr>
        <w:tc>
          <w:tcPr>
            <w:tcW w:w="1081" w:type="dxa"/>
            <w:textDirection w:val="tbLrV"/>
            <w:vAlign w:val="center"/>
          </w:tcPr>
          <w:p w14:paraId="43844A07" w14:textId="77777777" w:rsidR="00D843FC"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综合素质</w:t>
            </w:r>
          </w:p>
        </w:tc>
        <w:tc>
          <w:tcPr>
            <w:tcW w:w="882" w:type="dxa"/>
            <w:vAlign w:val="center"/>
          </w:tcPr>
          <w:p w14:paraId="1404F04C" w14:textId="77777777" w:rsidR="00D843FC"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30%</w:t>
            </w:r>
          </w:p>
        </w:tc>
        <w:tc>
          <w:tcPr>
            <w:tcW w:w="0" w:type="auto"/>
            <w:vAlign w:val="center"/>
          </w:tcPr>
          <w:p w14:paraId="2603BDEC"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满分值 100分。结合学生的问题意识、语言逻辑表达能力、思维及反应能力、数学素质、创新潜力等方面综合打分。</w:t>
            </w:r>
          </w:p>
        </w:tc>
      </w:tr>
      <w:tr w:rsidR="00D843FC" w14:paraId="7C0AE61E" w14:textId="77777777">
        <w:trPr>
          <w:trHeight w:val="1417"/>
        </w:trPr>
        <w:tc>
          <w:tcPr>
            <w:tcW w:w="1081" w:type="dxa"/>
            <w:textDirection w:val="tbLrV"/>
            <w:vAlign w:val="center"/>
          </w:tcPr>
          <w:p w14:paraId="24EB2483" w14:textId="77777777" w:rsidR="00D843FC"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科研成果</w:t>
            </w:r>
          </w:p>
        </w:tc>
        <w:tc>
          <w:tcPr>
            <w:tcW w:w="882" w:type="dxa"/>
            <w:vAlign w:val="center"/>
          </w:tcPr>
          <w:p w14:paraId="7ED1B912" w14:textId="77777777" w:rsidR="00D843FC"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5%</w:t>
            </w:r>
          </w:p>
        </w:tc>
        <w:tc>
          <w:tcPr>
            <w:tcW w:w="0" w:type="auto"/>
            <w:vAlign w:val="center"/>
          </w:tcPr>
          <w:p w14:paraId="2C015BE2" w14:textId="77777777" w:rsidR="00D843FC" w:rsidRPr="00903782"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本科阶段在SCI期刊（核心期刊按照SCI期刊论文标准的50%计分）上以独立作者或第一作者发表（含导师第一作者、学生本人第二作者）的（含已接收，需要接收函）与学业相关的最高水平科研论文计</w:t>
            </w:r>
            <w:r w:rsidRPr="00903782">
              <w:rPr>
                <w:rFonts w:ascii="方正仿宋_GB2312" w:eastAsia="方正仿宋_GB2312" w:hAnsi="方正仿宋_GB2312" w:cs="方正仿宋_GB2312" w:hint="eastAsia"/>
                <w:sz w:val="28"/>
                <w:szCs w:val="28"/>
              </w:rPr>
              <w:t>100分，</w:t>
            </w:r>
            <w:proofErr w:type="gramStart"/>
            <w:r w:rsidRPr="00903782">
              <w:rPr>
                <w:rFonts w:ascii="方正仿宋_GB2312" w:eastAsia="方正仿宋_GB2312" w:hAnsi="方正仿宋_GB2312" w:cs="方正仿宋_GB2312" w:hint="eastAsia"/>
                <w:sz w:val="28"/>
                <w:szCs w:val="28"/>
              </w:rPr>
              <w:t>二作计30分</w:t>
            </w:r>
            <w:proofErr w:type="gramEnd"/>
            <w:r w:rsidRPr="00903782">
              <w:rPr>
                <w:rFonts w:ascii="方正仿宋_GB2312" w:eastAsia="方正仿宋_GB2312" w:hAnsi="方正仿宋_GB2312" w:cs="方正仿宋_GB2312" w:hint="eastAsia"/>
                <w:sz w:val="28"/>
                <w:szCs w:val="28"/>
              </w:rPr>
              <w:t>，</w:t>
            </w:r>
            <w:proofErr w:type="gramStart"/>
            <w:r w:rsidRPr="00903782">
              <w:rPr>
                <w:rFonts w:ascii="方正仿宋_GB2312" w:eastAsia="方正仿宋_GB2312" w:hAnsi="方正仿宋_GB2312" w:cs="方正仿宋_GB2312" w:hint="eastAsia"/>
                <w:sz w:val="28"/>
                <w:szCs w:val="28"/>
              </w:rPr>
              <w:t>三作计10分</w:t>
            </w:r>
            <w:proofErr w:type="gramEnd"/>
            <w:r w:rsidRPr="00903782">
              <w:rPr>
                <w:rFonts w:ascii="方正仿宋_GB2312" w:eastAsia="方正仿宋_GB2312" w:hAnsi="方正仿宋_GB2312" w:cs="方正仿宋_GB2312" w:hint="eastAsia"/>
                <w:sz w:val="28"/>
                <w:szCs w:val="28"/>
              </w:rPr>
              <w:t>。</w:t>
            </w:r>
          </w:p>
          <w:p w14:paraId="26341D25"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以独立作者或第一作者（含导师第一作者、学生本人第二作者）获得授权的与学业相关的最高水平发明专利（不包括实用新型专利、外观设计专利，不包括国外发明专利）计100分，进入实质审查阶段计50分，已受理阶段计20分。</w:t>
            </w:r>
          </w:p>
          <w:p w14:paraId="263DA2D1"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科研成果只取其中最具代表性的一篇或者一个计分，不重复计分。</w:t>
            </w:r>
          </w:p>
        </w:tc>
      </w:tr>
      <w:tr w:rsidR="00D843FC" w14:paraId="6D18DAB7" w14:textId="77777777">
        <w:trPr>
          <w:trHeight w:val="1417"/>
        </w:trPr>
        <w:tc>
          <w:tcPr>
            <w:tcW w:w="1081" w:type="dxa"/>
            <w:textDirection w:val="tbLrV"/>
            <w:vAlign w:val="center"/>
          </w:tcPr>
          <w:p w14:paraId="563E12B3" w14:textId="77777777" w:rsidR="00D843FC"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竞赛获奖</w:t>
            </w:r>
          </w:p>
        </w:tc>
        <w:tc>
          <w:tcPr>
            <w:tcW w:w="882" w:type="dxa"/>
            <w:vAlign w:val="center"/>
          </w:tcPr>
          <w:p w14:paraId="794C47FD" w14:textId="77777777" w:rsidR="00D843FC" w:rsidRDefault="00000000">
            <w:pPr>
              <w:spacing w:line="360" w:lineRule="auto"/>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5%</w:t>
            </w:r>
          </w:p>
        </w:tc>
        <w:tc>
          <w:tcPr>
            <w:tcW w:w="0" w:type="auto"/>
            <w:vAlign w:val="center"/>
          </w:tcPr>
          <w:p w14:paraId="020B5FF1"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本科阶段独立参加或作为主力成员参加与学业相关的国内权威科研竞赛（全国赛）并获得一等奖及以上奖励（国际赛事参照执行，但不得低于国内赛事相关要</w:t>
            </w:r>
            <w:r>
              <w:rPr>
                <w:rFonts w:ascii="方正仿宋_GB2312" w:eastAsia="方正仿宋_GB2312" w:hAnsi="方正仿宋_GB2312" w:cs="方正仿宋_GB2312" w:hint="eastAsia"/>
                <w:sz w:val="28"/>
                <w:szCs w:val="28"/>
              </w:rPr>
              <w:lastRenderedPageBreak/>
              <w:t>求）计100分，二等奖计90分，三等奖计80分，</w:t>
            </w:r>
            <w:proofErr w:type="gramStart"/>
            <w:r>
              <w:rPr>
                <w:rFonts w:ascii="方正仿宋_GB2312" w:eastAsia="方正仿宋_GB2312" w:hAnsi="方正仿宋_GB2312" w:cs="方正仿宋_GB2312" w:hint="eastAsia"/>
                <w:sz w:val="28"/>
                <w:szCs w:val="28"/>
              </w:rPr>
              <w:t>优秀奖计70分</w:t>
            </w:r>
            <w:proofErr w:type="gramEnd"/>
            <w:r>
              <w:rPr>
                <w:rFonts w:ascii="方正仿宋_GB2312" w:eastAsia="方正仿宋_GB2312" w:hAnsi="方正仿宋_GB2312" w:cs="方正仿宋_GB2312" w:hint="eastAsia"/>
                <w:sz w:val="28"/>
                <w:szCs w:val="28"/>
              </w:rPr>
              <w:t>。</w:t>
            </w:r>
          </w:p>
          <w:p w14:paraId="2B410FC0"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本科阶段独立参加或作为主力成员参加与学业相关的国内权威科研竞赛（赛区赛）并获得一等奖及以上奖励计70分，二等奖计60分，三等奖计50分，</w:t>
            </w:r>
            <w:proofErr w:type="gramStart"/>
            <w:r>
              <w:rPr>
                <w:rFonts w:ascii="方正仿宋_GB2312" w:eastAsia="方正仿宋_GB2312" w:hAnsi="方正仿宋_GB2312" w:cs="方正仿宋_GB2312" w:hint="eastAsia"/>
                <w:sz w:val="28"/>
                <w:szCs w:val="28"/>
              </w:rPr>
              <w:t>优秀奖计40分</w:t>
            </w:r>
            <w:proofErr w:type="gramEnd"/>
            <w:r>
              <w:rPr>
                <w:rFonts w:ascii="方正仿宋_GB2312" w:eastAsia="方正仿宋_GB2312" w:hAnsi="方正仿宋_GB2312" w:cs="方正仿宋_GB2312" w:hint="eastAsia"/>
                <w:sz w:val="28"/>
                <w:szCs w:val="28"/>
              </w:rPr>
              <w:t>。</w:t>
            </w:r>
          </w:p>
          <w:p w14:paraId="28AA417D"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本科阶段独立参加或作为主力成员参加与学业相关的国内权威科研竞赛（省赛）并获得一等奖及以上奖励计40分，二等奖计30分，三等奖计20分，</w:t>
            </w:r>
            <w:proofErr w:type="gramStart"/>
            <w:r>
              <w:rPr>
                <w:rFonts w:ascii="方正仿宋_GB2312" w:eastAsia="方正仿宋_GB2312" w:hAnsi="方正仿宋_GB2312" w:cs="方正仿宋_GB2312" w:hint="eastAsia"/>
                <w:sz w:val="28"/>
                <w:szCs w:val="28"/>
              </w:rPr>
              <w:t>优秀奖计10分</w:t>
            </w:r>
            <w:proofErr w:type="gramEnd"/>
            <w:r>
              <w:rPr>
                <w:rFonts w:ascii="方正仿宋_GB2312" w:eastAsia="方正仿宋_GB2312" w:hAnsi="方正仿宋_GB2312" w:cs="方正仿宋_GB2312" w:hint="eastAsia"/>
                <w:sz w:val="28"/>
                <w:szCs w:val="28"/>
              </w:rPr>
              <w:t>。</w:t>
            </w:r>
          </w:p>
          <w:p w14:paraId="42E6694C"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竞赛获奖只取其中最具代表性或最高级别的一个计分，不重复计分。</w:t>
            </w:r>
          </w:p>
        </w:tc>
      </w:tr>
      <w:tr w:rsidR="00D843FC" w14:paraId="32C26BF2" w14:textId="77777777">
        <w:trPr>
          <w:trHeight w:val="3866"/>
        </w:trPr>
        <w:tc>
          <w:tcPr>
            <w:tcW w:w="1081" w:type="dxa"/>
            <w:textDirection w:val="tbLrV"/>
            <w:vAlign w:val="center"/>
          </w:tcPr>
          <w:p w14:paraId="3402BF43" w14:textId="77777777" w:rsidR="00D843FC"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lastRenderedPageBreak/>
              <w:t>科研训练情况及研究能力</w:t>
            </w:r>
          </w:p>
        </w:tc>
        <w:tc>
          <w:tcPr>
            <w:tcW w:w="882" w:type="dxa"/>
            <w:vAlign w:val="center"/>
          </w:tcPr>
          <w:p w14:paraId="22F13DBC" w14:textId="77777777" w:rsidR="00D843FC"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20%</w:t>
            </w:r>
          </w:p>
        </w:tc>
        <w:tc>
          <w:tcPr>
            <w:tcW w:w="0" w:type="auto"/>
            <w:vAlign w:val="center"/>
          </w:tcPr>
          <w:p w14:paraId="5A6C6E66"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满分值 100分。结合学生的科研训练情况及研究能力综合打分。</w:t>
            </w:r>
          </w:p>
        </w:tc>
      </w:tr>
      <w:tr w:rsidR="00D843FC" w14:paraId="27DC9A77" w14:textId="77777777">
        <w:trPr>
          <w:trHeight w:val="1562"/>
        </w:trPr>
        <w:tc>
          <w:tcPr>
            <w:tcW w:w="1081" w:type="dxa"/>
            <w:textDirection w:val="tbLrV"/>
            <w:vAlign w:val="center"/>
          </w:tcPr>
          <w:p w14:paraId="6C501C28" w14:textId="77777777" w:rsidR="00D843FC"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创新潜质</w:t>
            </w:r>
          </w:p>
        </w:tc>
        <w:tc>
          <w:tcPr>
            <w:tcW w:w="882" w:type="dxa"/>
            <w:vAlign w:val="center"/>
          </w:tcPr>
          <w:p w14:paraId="752FE9E9" w14:textId="77777777" w:rsidR="00D843FC"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30%</w:t>
            </w:r>
          </w:p>
        </w:tc>
        <w:tc>
          <w:tcPr>
            <w:tcW w:w="0" w:type="auto"/>
            <w:vAlign w:val="center"/>
          </w:tcPr>
          <w:p w14:paraId="140F1A91" w14:textId="77777777" w:rsidR="00D843FC" w:rsidRDefault="00D843FC">
            <w:pPr>
              <w:spacing w:line="360" w:lineRule="auto"/>
              <w:ind w:firstLineChars="200" w:firstLine="560"/>
              <w:rPr>
                <w:rFonts w:ascii="方正仿宋_GB2312" w:eastAsia="方正仿宋_GB2312" w:hAnsi="方正仿宋_GB2312" w:cs="方正仿宋_GB2312"/>
                <w:sz w:val="28"/>
                <w:szCs w:val="28"/>
              </w:rPr>
            </w:pPr>
          </w:p>
          <w:p w14:paraId="1A5CD4D2"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满分值 100分。倾向重点考核学生对自身的专业素质、科研潜在的创造力评分。</w:t>
            </w:r>
          </w:p>
          <w:p w14:paraId="48CA5E03" w14:textId="77777777" w:rsidR="00D843FC" w:rsidRDefault="00D843FC">
            <w:pPr>
              <w:spacing w:line="360" w:lineRule="auto"/>
              <w:ind w:firstLineChars="200" w:firstLine="560"/>
              <w:rPr>
                <w:rFonts w:ascii="方正仿宋_GB2312" w:eastAsia="方正仿宋_GB2312" w:hAnsi="方正仿宋_GB2312" w:cs="方正仿宋_GB2312"/>
                <w:sz w:val="28"/>
                <w:szCs w:val="28"/>
              </w:rPr>
            </w:pPr>
          </w:p>
        </w:tc>
      </w:tr>
      <w:tr w:rsidR="00D843FC" w14:paraId="75870749" w14:textId="77777777">
        <w:trPr>
          <w:trHeight w:val="1417"/>
        </w:trPr>
        <w:tc>
          <w:tcPr>
            <w:tcW w:w="1081" w:type="dxa"/>
            <w:textDirection w:val="tbLrV"/>
            <w:vAlign w:val="center"/>
          </w:tcPr>
          <w:p w14:paraId="610AB5F0" w14:textId="77777777" w:rsidR="00D843FC"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lastRenderedPageBreak/>
              <w:t>志愿服务经历</w:t>
            </w:r>
          </w:p>
        </w:tc>
        <w:tc>
          <w:tcPr>
            <w:tcW w:w="882" w:type="dxa"/>
            <w:vAlign w:val="center"/>
          </w:tcPr>
          <w:p w14:paraId="6C5B5FAF" w14:textId="77777777" w:rsidR="00D843FC"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5%</w:t>
            </w:r>
          </w:p>
        </w:tc>
        <w:tc>
          <w:tcPr>
            <w:tcW w:w="0" w:type="auto"/>
            <w:vAlign w:val="center"/>
          </w:tcPr>
          <w:p w14:paraId="3E73E022"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本科阶段成为注册志愿者（“志愿汇”注册，下同），参加志愿服务时间累计达到100 小时以上或经校团委认定公布的“一星志愿者”（及以上星级）计100分。</w:t>
            </w:r>
          </w:p>
          <w:p w14:paraId="212E8536"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个人成为注册志愿者且获得国家级志愿服务荣誉称号的计100分，个人成为注册志愿者且获得省级志愿服务荣誉称号的计80分，个人成为注册志愿者且获得地级市志愿服务荣誉称号的计60分，个人成为注册志愿者且获得县级市志愿服务荣誉称号的计40分，个人成为注册志愿者且获得校级志愿服务荣誉称号的计20分，个人成为注册志愿者的计5分。</w:t>
            </w:r>
          </w:p>
          <w:p w14:paraId="240F3F3C"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志愿服务只取其中最高级别的一个计分，不重复计分。</w:t>
            </w:r>
          </w:p>
        </w:tc>
      </w:tr>
      <w:tr w:rsidR="00D843FC" w14:paraId="7B2EC9FA" w14:textId="77777777">
        <w:trPr>
          <w:trHeight w:val="2160"/>
        </w:trPr>
        <w:tc>
          <w:tcPr>
            <w:tcW w:w="1081" w:type="dxa"/>
            <w:textDirection w:val="tbLrV"/>
            <w:vAlign w:val="center"/>
          </w:tcPr>
          <w:p w14:paraId="7CD87E4E" w14:textId="77777777" w:rsidR="00D843FC"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国际组织实习</w:t>
            </w:r>
          </w:p>
        </w:tc>
        <w:tc>
          <w:tcPr>
            <w:tcW w:w="882" w:type="dxa"/>
            <w:vAlign w:val="center"/>
          </w:tcPr>
          <w:p w14:paraId="2A0A45CB" w14:textId="77777777" w:rsidR="00D843FC"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5%</w:t>
            </w:r>
          </w:p>
        </w:tc>
        <w:tc>
          <w:tcPr>
            <w:tcW w:w="0" w:type="auto"/>
            <w:vAlign w:val="center"/>
          </w:tcPr>
          <w:p w14:paraId="19D4C11F"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本科阶段有国际组织实习经历且被认定合格的计100分。</w:t>
            </w:r>
          </w:p>
          <w:p w14:paraId="3BF7BB4B" w14:textId="77777777" w:rsidR="00D843FC"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其他不予计分。</w:t>
            </w:r>
          </w:p>
        </w:tc>
      </w:tr>
    </w:tbl>
    <w:p w14:paraId="7B0B9FDA" w14:textId="77777777" w:rsidR="00D843FC" w:rsidRDefault="00D843FC"/>
    <w:sectPr w:rsidR="00D843F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82AE0024-23BE-4B77-A244-F9734232CECC}"/>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embedRegular r:id="rId2" w:fontKey="{2FC6D7E0-5E7A-455A-8F00-F3E6D425E370}"/>
  </w:font>
  <w:font w:name="方正小标宋简体">
    <w:charset w:val="86"/>
    <w:family w:val="script"/>
    <w:pitch w:val="default"/>
    <w:sig w:usb0="00000001" w:usb1="08000000" w:usb2="00000000" w:usb3="00000000" w:csb0="00040000" w:csb1="00000000"/>
    <w:embedRegular r:id="rId3" w:subsetted="1" w:fontKey="{E83D37D4-5017-4465-A1CA-A055C07A9990}"/>
  </w:font>
  <w:font w:name="方正仿宋_GB2312">
    <w:charset w:val="86"/>
    <w:family w:val="auto"/>
    <w:pitch w:val="default"/>
    <w:sig w:usb0="A00002BF" w:usb1="184F6CFA" w:usb2="00000012" w:usb3="00000000" w:csb0="00040001" w:csb1="00000000"/>
    <w:embedRegular r:id="rId4" w:subsetted="1" w:fontKey="{DF400961-68AF-4FFB-9E0A-664192F824B9}"/>
    <w:embedBold r:id="rId5" w:subsetted="1" w:fontKey="{1AE1D790-32B6-4274-AB63-3A2314C3CC78}"/>
  </w:font>
  <w:font w:name="Calibri Light">
    <w:panose1 w:val="020F0302020204030204"/>
    <w:charset w:val="00"/>
    <w:family w:val="swiss"/>
    <w:pitch w:val="variable"/>
    <w:sig w:usb0="E4002EFF" w:usb1="C200247B" w:usb2="00000009" w:usb3="00000000" w:csb0="000001FF" w:csb1="00000000"/>
    <w:embedRegular r:id="rId6" w:fontKey="{55FDC0A7-F333-4846-8C24-9FAF87F8B99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F0A27D9"/>
    <w:rsid w:val="004C5EC8"/>
    <w:rsid w:val="00903782"/>
    <w:rsid w:val="00D843FC"/>
    <w:rsid w:val="6F0A2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0C2CE08-82F0-40D4-958E-DEE2F8F28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549</Characters>
  <Application>Microsoft Office Word</Application>
  <DocSecurity>0</DocSecurity>
  <Lines>39</Lines>
  <Paragraphs>34</Paragraphs>
  <ScaleCrop>false</ScaleCrop>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修改者</dc:creator>
  <cp:lastModifiedBy>Pengju He</cp:lastModifiedBy>
  <cp:revision>2</cp:revision>
  <dcterms:created xsi:type="dcterms:W3CDTF">2025-09-06T09:20:00Z</dcterms:created>
  <dcterms:modified xsi:type="dcterms:W3CDTF">2025-09-06T09:20:00Z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96716F7757394FC4A37C3C5887DCC83B_11</vt:lpwstr>
  </property>
  <property fmtid="{D5CDD505-2E9C-101B-9397-08002B2CF9AE}" pid="4" name="KSOTemplateDocerSaveRecord">
    <vt:lpwstr>eyJoZGlkIjoiMDBiZTI2ZjUyYTk5ZDg2NDQ5YmZjNmMxYzVmYjBiYzkiLCJ1c2VySWQiOiIyODYwMTMwODAifQ==</vt:lpwstr>
  </property>
</Properties>
</file>