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7461F">
      <w:pPr>
        <w:jc w:val="center"/>
        <w:rPr>
          <w:b/>
          <w:bCs/>
          <w:sz w:val="36"/>
          <w:szCs w:val="44"/>
          <w:highlight w:val="none"/>
        </w:rPr>
      </w:pPr>
      <w:r>
        <w:rPr>
          <w:rFonts w:hint="eastAsia" w:ascii="方正小标宋简体" w:hAnsi="宋体" w:eastAsia="方正小标宋简体" w:cs="Times New Roman"/>
          <w:bCs/>
          <w:sz w:val="36"/>
          <w:szCs w:val="36"/>
          <w:highlight w:val="none"/>
        </w:rPr>
        <w:t>兰州大学哲学社会学院综合评价指标体系</w:t>
      </w:r>
    </w:p>
    <w:tbl>
      <w:tblPr>
        <w:tblStyle w:val="6"/>
        <w:tblW w:w="8415" w:type="dxa"/>
        <w:tblInd w:w="1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0"/>
        <w:gridCol w:w="1025"/>
        <w:gridCol w:w="4763"/>
        <w:gridCol w:w="1477"/>
      </w:tblGrid>
      <w:tr w14:paraId="4F6F5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150" w:type="dxa"/>
            <w:tcBorders>
              <w:tl2br w:val="nil"/>
            </w:tcBorders>
            <w:shd w:val="clear" w:color="auto" w:fill="91ACE0"/>
          </w:tcPr>
          <w:p w14:paraId="37A2238A">
            <w:pPr>
              <w:spacing w:line="288" w:lineRule="auto"/>
              <w:jc w:val="center"/>
              <w:rPr>
                <w:rFonts w:ascii="方正楷体_GB2312" w:hAnsi="方正楷体_GB2312" w:eastAsia="方正楷体_GB2312" w:cs="方正楷体_GB2312"/>
                <w:b/>
                <w:bCs/>
                <w:color w:val="000000"/>
                <w:sz w:val="30"/>
                <w:szCs w:val="30"/>
                <w:highlight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color w:val="000000"/>
                <w:spacing w:val="1"/>
                <w:sz w:val="30"/>
                <w:szCs w:val="30"/>
                <w:highlight w:val="none"/>
                <w:lang w:eastAsia="en-US"/>
              </w:rPr>
              <w:t>指标</w:t>
            </w:r>
          </w:p>
        </w:tc>
        <w:tc>
          <w:tcPr>
            <w:tcW w:w="1025" w:type="dxa"/>
            <w:shd w:val="clear" w:color="auto" w:fill="91ACE0"/>
          </w:tcPr>
          <w:p w14:paraId="68FC6AC9">
            <w:pPr>
              <w:autoSpaceDE w:val="0"/>
              <w:autoSpaceDN w:val="0"/>
              <w:spacing w:line="288" w:lineRule="auto"/>
              <w:jc w:val="center"/>
              <w:rPr>
                <w:rFonts w:ascii="方正楷体_GB2312" w:hAnsi="方正楷体_GB2312" w:eastAsia="方正楷体_GB2312" w:cs="方正楷体_GB2312"/>
                <w:b/>
                <w:bCs/>
                <w:color w:val="000000"/>
                <w:sz w:val="30"/>
                <w:szCs w:val="30"/>
                <w:highlight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color w:val="000000"/>
                <w:spacing w:val="1"/>
                <w:sz w:val="30"/>
                <w:szCs w:val="30"/>
                <w:highlight w:val="none"/>
                <w:lang w:eastAsia="en-US"/>
              </w:rPr>
              <w:t>占比</w:t>
            </w:r>
          </w:p>
        </w:tc>
        <w:tc>
          <w:tcPr>
            <w:tcW w:w="4763" w:type="dxa"/>
            <w:shd w:val="clear" w:color="auto" w:fill="91ACE0"/>
          </w:tcPr>
          <w:p w14:paraId="09811BC2">
            <w:pPr>
              <w:spacing w:line="288" w:lineRule="auto"/>
              <w:jc w:val="center"/>
              <w:rPr>
                <w:rFonts w:ascii="方正楷体_GB2312" w:hAnsi="方正楷体_GB2312" w:eastAsia="方正楷体_GB2312" w:cs="方正楷体_GB2312"/>
                <w:b/>
                <w:color w:val="000000"/>
                <w:sz w:val="30"/>
                <w:szCs w:val="30"/>
                <w:highlight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color w:val="000000"/>
                <w:spacing w:val="1"/>
                <w:sz w:val="30"/>
                <w:szCs w:val="30"/>
                <w:highlight w:val="none"/>
                <w:lang w:eastAsia="en-US"/>
              </w:rPr>
              <w:t>评分方法</w:t>
            </w:r>
          </w:p>
        </w:tc>
        <w:tc>
          <w:tcPr>
            <w:tcW w:w="1477" w:type="dxa"/>
            <w:shd w:val="clear" w:color="auto" w:fill="91ACE0"/>
            <w:vAlign w:val="center"/>
          </w:tcPr>
          <w:p w14:paraId="5BBD8EFC">
            <w:pPr>
              <w:spacing w:line="288" w:lineRule="auto"/>
              <w:jc w:val="center"/>
              <w:rPr>
                <w:rFonts w:hint="eastAsia" w:ascii="方正楷体_GB2312" w:hAnsi="方正楷体_GB2312" w:eastAsia="方正楷体_GB2312" w:cs="方正楷体_GB2312"/>
                <w:b/>
                <w:color w:val="000000"/>
                <w:spacing w:val="1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color w:val="000000"/>
                <w:spacing w:val="1"/>
                <w:sz w:val="30"/>
                <w:szCs w:val="30"/>
                <w:highlight w:val="none"/>
                <w:lang w:val="en-US" w:eastAsia="zh-CN"/>
              </w:rPr>
              <w:t>上限分值</w:t>
            </w:r>
          </w:p>
        </w:tc>
      </w:tr>
      <w:tr w14:paraId="15DA5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50" w:type="dxa"/>
            <w:shd w:val="clear" w:color="auto" w:fill="FFFFFF"/>
            <w:vAlign w:val="center"/>
          </w:tcPr>
          <w:p w14:paraId="51EA370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综合素质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16611D5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30%</w:t>
            </w:r>
          </w:p>
        </w:tc>
        <w:tc>
          <w:tcPr>
            <w:tcW w:w="4763" w:type="dxa"/>
            <w:shd w:val="clear" w:color="auto" w:fill="FFFFFF"/>
            <w:vAlign w:val="top"/>
          </w:tcPr>
          <w:p w14:paraId="2E16A2DF">
            <w:pPr>
              <w:widowControl/>
              <w:jc w:val="both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评议小组结合学生的问题意识、语言逻辑表达能力、思维及反应能力、研究能力、创新潜力5个方面综合打分。</w:t>
            </w:r>
          </w:p>
        </w:tc>
        <w:tc>
          <w:tcPr>
            <w:tcW w:w="1477" w:type="dxa"/>
            <w:shd w:val="clear" w:color="auto" w:fill="FFFFFF"/>
            <w:vAlign w:val="center"/>
          </w:tcPr>
          <w:p w14:paraId="6DF1A1C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100分</w:t>
            </w:r>
          </w:p>
        </w:tc>
      </w:tr>
      <w:tr w14:paraId="5DA45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5" w:hRule="atLeast"/>
        </w:trPr>
        <w:tc>
          <w:tcPr>
            <w:tcW w:w="1150" w:type="dxa"/>
            <w:vMerge w:val="restart"/>
            <w:shd w:val="clear" w:color="auto" w:fill="FFFFFF"/>
            <w:vAlign w:val="center"/>
          </w:tcPr>
          <w:p w14:paraId="54CA2DA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科研训练</w:t>
            </w:r>
          </w:p>
        </w:tc>
        <w:tc>
          <w:tcPr>
            <w:tcW w:w="1025" w:type="dxa"/>
            <w:vMerge w:val="restart"/>
            <w:shd w:val="clear" w:color="auto" w:fill="FFFFFF"/>
            <w:vAlign w:val="center"/>
          </w:tcPr>
          <w:p w14:paraId="7832B05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20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en-US" w:bidi="ar"/>
              </w:rPr>
              <w:t>%</w:t>
            </w:r>
          </w:p>
        </w:tc>
        <w:tc>
          <w:tcPr>
            <w:tcW w:w="4763" w:type="dxa"/>
            <w:shd w:val="clear" w:color="auto" w:fill="FFFFFF"/>
          </w:tcPr>
          <w:p w14:paraId="074A736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学生参与的科研训练须完成立项且成功结项，取最具代表性科研训练，同一指标中有多项得分时不累加。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br w:type="textWrapping"/>
            </w:r>
            <w:r>
              <w:rPr>
                <w:rFonts w:ascii="微软雅黑" w:hAnsi="微软雅黑"/>
                <w:color w:val="333333"/>
                <w:highlight w:val="none"/>
                <w:shd w:val="clear" w:color="auto" w:fill="FFFFFF"/>
              </w:rPr>
              <w:t>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政学者、国家级大学生创新创业训练计划：主持人50-100分，成员10-49分</w:t>
            </w:r>
          </w:p>
          <w:p w14:paraId="5F0E3F9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省级大学生创业训练计划：主持人25-50分，成员0-24分</w:t>
            </w:r>
          </w:p>
          <w:p w14:paraId="0C8DE21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校级大学生创业训练计划、院级“走近哲学·走进社会”科研培育项目：主持人15-30分，成员0-14分</w:t>
            </w:r>
          </w:p>
        </w:tc>
        <w:tc>
          <w:tcPr>
            <w:tcW w:w="1477" w:type="dxa"/>
            <w:vMerge w:val="restart"/>
            <w:shd w:val="clear" w:color="auto" w:fill="FFFFFF"/>
            <w:vAlign w:val="center"/>
          </w:tcPr>
          <w:p w14:paraId="3C0B530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100分</w:t>
            </w:r>
          </w:p>
        </w:tc>
      </w:tr>
      <w:tr w14:paraId="7E7A0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150" w:type="dxa"/>
            <w:vMerge w:val="continue"/>
            <w:shd w:val="clear" w:color="auto" w:fill="FFFFFF"/>
            <w:vAlign w:val="center"/>
          </w:tcPr>
          <w:p w14:paraId="21F51201">
            <w:pPr>
              <w:widowControl/>
              <w:jc w:val="center"/>
              <w:rPr>
                <w:highlight w:val="none"/>
              </w:rPr>
            </w:pPr>
          </w:p>
        </w:tc>
        <w:tc>
          <w:tcPr>
            <w:tcW w:w="1025" w:type="dxa"/>
            <w:vMerge w:val="continue"/>
            <w:shd w:val="clear" w:color="auto" w:fill="FFFFFF"/>
            <w:vAlign w:val="center"/>
          </w:tcPr>
          <w:p w14:paraId="550624E9">
            <w:pPr>
              <w:widowControl/>
              <w:jc w:val="center"/>
              <w:rPr>
                <w:highlight w:val="none"/>
              </w:rPr>
            </w:pPr>
          </w:p>
        </w:tc>
        <w:tc>
          <w:tcPr>
            <w:tcW w:w="4763" w:type="dxa"/>
            <w:shd w:val="clear" w:color="auto" w:fill="FFFFFF"/>
          </w:tcPr>
          <w:p w14:paraId="75C2C93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备注：评议小组结合学生提交的具体科研训练情况进行打分。</w:t>
            </w:r>
          </w:p>
        </w:tc>
        <w:tc>
          <w:tcPr>
            <w:tcW w:w="1477" w:type="dxa"/>
            <w:vMerge w:val="continue"/>
            <w:shd w:val="clear" w:color="auto" w:fill="FFFFFF"/>
            <w:vAlign w:val="center"/>
          </w:tcPr>
          <w:p w14:paraId="144E9C5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</w:tr>
      <w:tr w14:paraId="44201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1" w:hRule="atLeast"/>
        </w:trPr>
        <w:tc>
          <w:tcPr>
            <w:tcW w:w="1150" w:type="dxa"/>
            <w:vMerge w:val="restart"/>
            <w:shd w:val="clear" w:color="auto" w:fill="FFFFFF"/>
            <w:vAlign w:val="center"/>
          </w:tcPr>
          <w:p w14:paraId="2374BAE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en-US" w:bidi="ar"/>
              </w:rPr>
              <w:t>竞赛获奖</w:t>
            </w:r>
          </w:p>
        </w:tc>
        <w:tc>
          <w:tcPr>
            <w:tcW w:w="1025" w:type="dxa"/>
            <w:vMerge w:val="restart"/>
            <w:shd w:val="clear" w:color="auto" w:fill="FFFFFF"/>
            <w:vAlign w:val="center"/>
          </w:tcPr>
          <w:p w14:paraId="5823450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eastAsia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en-US" w:bidi="ar"/>
              </w:rPr>
              <w:t>%</w:t>
            </w:r>
          </w:p>
          <w:p w14:paraId="3BFB163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4763" w:type="dxa"/>
            <w:shd w:val="clear" w:color="auto" w:fill="FFFFFF"/>
          </w:tcPr>
          <w:p w14:paraId="5132565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须与所学专业相关的学术学科竞赛、专业大赛，取最具代表性奖项，同一等级中有多项得分时不累加。</w:t>
            </w:r>
          </w:p>
          <w:p w14:paraId="0131BF3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 xml:space="preserve">国家级奖励：特等奖100分、一等奖（冠军/金奖）80分、二等奖（亚军/银奖）60分、三等奖（季军/铜奖）50分、优秀奖40分； </w:t>
            </w:r>
          </w:p>
          <w:p w14:paraId="49D9764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 xml:space="preserve">省部级奖励：特等奖50分、一等奖（冠军/金奖）40分、二等奖（亚军/银奖）30分、三等奖（季军/铜奖）25分、优秀奖20分； </w:t>
            </w:r>
          </w:p>
          <w:p w14:paraId="48C01D4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校级奖励：特等奖30分、一等奖（冠军/金奖）25分、二等奖（亚军/银奖）20分、三等奖（季军/铜奖）15分、优秀奖10分。</w:t>
            </w:r>
          </w:p>
        </w:tc>
        <w:tc>
          <w:tcPr>
            <w:tcW w:w="1477" w:type="dxa"/>
            <w:vMerge w:val="restart"/>
            <w:shd w:val="clear" w:color="auto" w:fill="FFFFFF"/>
            <w:vAlign w:val="center"/>
          </w:tcPr>
          <w:p w14:paraId="564AE4F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100分</w:t>
            </w:r>
          </w:p>
        </w:tc>
      </w:tr>
      <w:tr w14:paraId="4121A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150" w:type="dxa"/>
            <w:vMerge w:val="continue"/>
            <w:shd w:val="clear" w:color="auto" w:fill="FFFFFF"/>
            <w:vAlign w:val="center"/>
          </w:tcPr>
          <w:p w14:paraId="283E150D">
            <w:pPr>
              <w:widowControl/>
              <w:jc w:val="center"/>
              <w:rPr>
                <w:highlight w:val="none"/>
              </w:rPr>
            </w:pPr>
          </w:p>
        </w:tc>
        <w:tc>
          <w:tcPr>
            <w:tcW w:w="1025" w:type="dxa"/>
            <w:vMerge w:val="continue"/>
            <w:shd w:val="clear" w:color="auto" w:fill="FFFFFF"/>
            <w:vAlign w:val="center"/>
          </w:tcPr>
          <w:p w14:paraId="659E8D69">
            <w:pPr>
              <w:widowControl/>
              <w:jc w:val="center"/>
              <w:rPr>
                <w:highlight w:val="none"/>
              </w:rPr>
            </w:pPr>
          </w:p>
        </w:tc>
        <w:tc>
          <w:tcPr>
            <w:tcW w:w="4763" w:type="dxa"/>
            <w:shd w:val="clear" w:color="auto" w:fill="FFFFFF"/>
          </w:tcPr>
          <w:p w14:paraId="184288A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备注：评议小组结合学生提交的具体获奖情况进行打分。主持人按照以上标准计分，成员按0-1/2主持人计分。其中国家级奖励主持人与成员均计满分、省部级奖励成员取前三位、校级奖励成员取前两位。</w:t>
            </w:r>
          </w:p>
        </w:tc>
        <w:tc>
          <w:tcPr>
            <w:tcW w:w="1477" w:type="dxa"/>
            <w:vMerge w:val="continue"/>
            <w:shd w:val="clear" w:color="auto" w:fill="FFFFFF"/>
            <w:vAlign w:val="center"/>
          </w:tcPr>
          <w:p w14:paraId="5B22FE2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</w:tr>
      <w:tr w14:paraId="5B68A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1150" w:type="dxa"/>
            <w:vMerge w:val="restart"/>
            <w:shd w:val="clear" w:color="auto" w:fill="FFFFFF"/>
            <w:vAlign w:val="center"/>
          </w:tcPr>
          <w:p w14:paraId="5FD5C53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eastAsia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en-US" w:bidi="ar"/>
              </w:rPr>
              <w:t>科研成果</w:t>
            </w:r>
          </w:p>
          <w:p w14:paraId="3BFC2B5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1025" w:type="dxa"/>
            <w:vMerge w:val="restart"/>
            <w:shd w:val="clear" w:color="auto" w:fill="FFFFFF"/>
            <w:vAlign w:val="center"/>
          </w:tcPr>
          <w:p w14:paraId="5BD277D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eastAsia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20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en-US" w:bidi="ar"/>
              </w:rPr>
              <w:t>%</w:t>
            </w:r>
          </w:p>
          <w:p w14:paraId="4D3DB28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4763" w:type="dxa"/>
            <w:shd w:val="clear" w:color="auto" w:fill="FFFFFF"/>
          </w:tcPr>
          <w:p w14:paraId="3FFFC272">
            <w:pPr>
              <w:widowControl/>
              <w:jc w:val="left"/>
              <w:rPr>
                <w:rFonts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bidi="ar"/>
              </w:rPr>
              <w:t>须与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本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bidi="ar"/>
              </w:rPr>
              <w:t>专业相关的学术成果（论文或专利），取最具代表性成果，同一指标中有多项得分时不累加。</w:t>
            </w:r>
          </w:p>
          <w:p w14:paraId="2B7C5427">
            <w:pPr>
              <w:widowControl/>
              <w:jc w:val="left"/>
              <w:rPr>
                <w:rFonts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bidi="ar"/>
              </w:rPr>
              <w:t>国内外顶级学术期刊、A类期刊、CSSCI/SSCI/A&amp;HCI期刊：100分（第一作者）、50分（第二作者）</w:t>
            </w:r>
          </w:p>
          <w:p w14:paraId="748198B0">
            <w:pPr>
              <w:widowControl/>
              <w:jc w:val="left"/>
              <w:rPr>
                <w:rFonts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bidi="ar"/>
              </w:rPr>
              <w:t>C刊扩展版、CSCD期刊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bidi="ar"/>
              </w:rPr>
              <w:t>北大核心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eastAsia="en-US" w:bidi="ar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bidi="ar"/>
              </w:rPr>
              <w:t>80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eastAsia="en-US" w:bidi="ar"/>
              </w:rPr>
              <w:t>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bidi="ar"/>
              </w:rPr>
              <w:t>（第一作者）、40分（第二作者）</w:t>
            </w:r>
          </w:p>
          <w:p w14:paraId="1E51507D">
            <w:pPr>
              <w:widowControl/>
              <w:jc w:val="left"/>
              <w:rPr>
                <w:rFonts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bidi="ar"/>
              </w:rPr>
              <w:t>正式出版刊物上的一般性论文：20 分（第一作者）</w:t>
            </w:r>
          </w:p>
          <w:p w14:paraId="65255C3A">
            <w:pPr>
              <w:widowControl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bidi="ar"/>
              </w:rPr>
              <w:t xml:space="preserve">参加全国性学术会议，发言且论文获奖，特等奖50分、一等奖40分、二等奖30分、三等奖25分、优秀奖20分； </w:t>
            </w:r>
          </w:p>
        </w:tc>
        <w:tc>
          <w:tcPr>
            <w:tcW w:w="1477" w:type="dxa"/>
            <w:vMerge w:val="restart"/>
            <w:shd w:val="clear" w:color="auto" w:fill="FFFFFF"/>
            <w:vAlign w:val="center"/>
          </w:tcPr>
          <w:p w14:paraId="05983AF0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Cs w:val="21"/>
                <w:highlight w:val="none"/>
                <w:lang w:val="en-US" w:eastAsia="zh-CN" w:bidi="ar"/>
              </w:rPr>
              <w:t>100分</w:t>
            </w:r>
          </w:p>
        </w:tc>
      </w:tr>
      <w:tr w14:paraId="4D907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</w:trPr>
        <w:tc>
          <w:tcPr>
            <w:tcW w:w="1150" w:type="dxa"/>
            <w:vMerge w:val="continue"/>
            <w:shd w:val="clear" w:color="auto" w:fill="FFFFFF"/>
            <w:vAlign w:val="center"/>
          </w:tcPr>
          <w:p w14:paraId="4838B89D">
            <w:pPr>
              <w:widowControl/>
              <w:jc w:val="center"/>
              <w:rPr>
                <w:highlight w:val="none"/>
              </w:rPr>
            </w:pPr>
          </w:p>
        </w:tc>
        <w:tc>
          <w:tcPr>
            <w:tcW w:w="1025" w:type="dxa"/>
            <w:vMerge w:val="continue"/>
            <w:shd w:val="clear" w:color="auto" w:fill="FFFFFF"/>
            <w:vAlign w:val="center"/>
          </w:tcPr>
          <w:p w14:paraId="48F01801">
            <w:pPr>
              <w:widowControl/>
              <w:jc w:val="center"/>
              <w:rPr>
                <w:highlight w:val="none"/>
              </w:rPr>
            </w:pPr>
          </w:p>
        </w:tc>
        <w:tc>
          <w:tcPr>
            <w:tcW w:w="4763" w:type="dxa"/>
            <w:shd w:val="clear" w:color="auto" w:fill="FFFFFF"/>
          </w:tcPr>
          <w:p w14:paraId="18A2BE94">
            <w:pPr>
              <w:widowControl/>
              <w:jc w:val="left"/>
              <w:rPr>
                <w:rFonts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bidi="ar"/>
              </w:rPr>
              <w:t>备注：学生本科阶段在核心期刊上以独立作者或第一作者发表（含导师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或任课老师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bidi="ar"/>
              </w:rPr>
              <w:t>为第一作者、本人为第二作者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bidi="ar"/>
              </w:rPr>
              <w:t>）的与学业相关的科研论文。评议小组结合学生提交的具体成果情况进行打分。出版物等级参照兰州大学现行科研成果相关认定标准执行。</w:t>
            </w:r>
          </w:p>
        </w:tc>
        <w:tc>
          <w:tcPr>
            <w:tcW w:w="1477" w:type="dxa"/>
            <w:vMerge w:val="continue"/>
            <w:shd w:val="clear" w:color="auto" w:fill="FFFFFF"/>
            <w:vAlign w:val="center"/>
          </w:tcPr>
          <w:p w14:paraId="723E964F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</w:tr>
      <w:tr w14:paraId="48AA7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150" w:type="dxa"/>
            <w:vMerge w:val="restart"/>
            <w:shd w:val="clear" w:color="auto" w:fill="FFFFFF"/>
            <w:vAlign w:val="center"/>
          </w:tcPr>
          <w:p w14:paraId="41368FC7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社会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志愿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en-US" w:bidi="ar"/>
              </w:rPr>
              <w:t>服务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经历/服兵役</w:t>
            </w:r>
          </w:p>
        </w:tc>
        <w:tc>
          <w:tcPr>
            <w:tcW w:w="1025" w:type="dxa"/>
            <w:vMerge w:val="restart"/>
            <w:shd w:val="clear" w:color="auto" w:fill="FFFFFF"/>
            <w:vAlign w:val="center"/>
          </w:tcPr>
          <w:p w14:paraId="7EEFC58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eastAsia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en-US" w:bidi="ar"/>
              </w:rPr>
              <w:t>%</w:t>
            </w:r>
          </w:p>
          <w:p w14:paraId="1F9099D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4763" w:type="dxa"/>
            <w:shd w:val="clear" w:color="auto" w:fill="FFFFFF"/>
          </w:tcPr>
          <w:p w14:paraId="520104F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五星级志愿者：100 分</w:t>
            </w:r>
          </w:p>
          <w:p w14:paraId="2F8D645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四星级志愿者：80 分—100 分</w:t>
            </w:r>
          </w:p>
          <w:p w14:paraId="76285F0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三星级志愿者：60 分—80 分</w:t>
            </w:r>
          </w:p>
          <w:p w14:paraId="1644BC4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二星级志愿者：40 分—60 分</w:t>
            </w:r>
          </w:p>
          <w:p w14:paraId="2FB14A1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一星级志愿者：20 分—40 分</w:t>
            </w:r>
          </w:p>
          <w:p w14:paraId="2609620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其他（未获星级志愿者证书者）：0—20 分</w:t>
            </w:r>
          </w:p>
          <w:p w14:paraId="6FBB0E05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Cs w:val="21"/>
                <w:highlight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本科阶段参军入伍服兵役：100分</w:t>
            </w:r>
          </w:p>
        </w:tc>
        <w:tc>
          <w:tcPr>
            <w:tcW w:w="1477" w:type="dxa"/>
            <w:vMerge w:val="restart"/>
            <w:shd w:val="clear" w:color="auto" w:fill="FFFFFF"/>
            <w:vAlign w:val="center"/>
          </w:tcPr>
          <w:p w14:paraId="5709416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100分</w:t>
            </w:r>
          </w:p>
        </w:tc>
      </w:tr>
      <w:tr w14:paraId="0FACD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50" w:type="dxa"/>
            <w:vMerge w:val="continue"/>
            <w:shd w:val="clear" w:color="auto" w:fill="FFFFFF"/>
            <w:vAlign w:val="center"/>
          </w:tcPr>
          <w:p w14:paraId="7DA78D89">
            <w:pPr>
              <w:widowControl/>
              <w:jc w:val="center"/>
              <w:rPr>
                <w:highlight w:val="none"/>
              </w:rPr>
            </w:pPr>
          </w:p>
        </w:tc>
        <w:tc>
          <w:tcPr>
            <w:tcW w:w="1025" w:type="dxa"/>
            <w:vMerge w:val="continue"/>
            <w:shd w:val="clear" w:color="auto" w:fill="FFFFFF"/>
            <w:vAlign w:val="center"/>
          </w:tcPr>
          <w:p w14:paraId="0613BDA8">
            <w:pPr>
              <w:widowControl/>
              <w:jc w:val="center"/>
              <w:rPr>
                <w:highlight w:val="none"/>
              </w:rPr>
            </w:pPr>
          </w:p>
        </w:tc>
        <w:tc>
          <w:tcPr>
            <w:tcW w:w="4763" w:type="dxa"/>
            <w:shd w:val="clear" w:color="auto" w:fill="FFFFFF"/>
          </w:tcPr>
          <w:p w14:paraId="07CBD1C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备注：评议小组结合学生志愿服务具体情况进行打分。</w:t>
            </w:r>
          </w:p>
        </w:tc>
        <w:tc>
          <w:tcPr>
            <w:tcW w:w="1477" w:type="dxa"/>
            <w:vMerge w:val="continue"/>
            <w:shd w:val="clear" w:color="auto" w:fill="FFFFFF"/>
            <w:vAlign w:val="center"/>
          </w:tcPr>
          <w:p w14:paraId="710A610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</w:tr>
      <w:tr w14:paraId="799A3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1150" w:type="dxa"/>
            <w:vMerge w:val="restart"/>
            <w:shd w:val="clear" w:color="auto" w:fill="FFFFFF"/>
            <w:vAlign w:val="center"/>
          </w:tcPr>
          <w:p w14:paraId="548B9610">
            <w:pPr>
              <w:widowControl/>
              <w:ind w:left="21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国际组织实习</w:t>
            </w:r>
          </w:p>
        </w:tc>
        <w:tc>
          <w:tcPr>
            <w:tcW w:w="1025" w:type="dxa"/>
            <w:vMerge w:val="restart"/>
            <w:shd w:val="clear" w:color="auto" w:fill="FFFFFF"/>
            <w:vAlign w:val="center"/>
          </w:tcPr>
          <w:p w14:paraId="686F502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en-US" w:bidi="ar"/>
              </w:rPr>
              <w:t>%</w:t>
            </w:r>
          </w:p>
        </w:tc>
        <w:tc>
          <w:tcPr>
            <w:tcW w:w="4763" w:type="dxa"/>
            <w:shd w:val="clear" w:color="auto" w:fill="FFFFFF"/>
          </w:tcPr>
          <w:p w14:paraId="45AAE7A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同一指标中有多项得分时不累加。</w:t>
            </w:r>
          </w:p>
          <w:p w14:paraId="39BE52D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参加国境外交流学年制项目和具有国际组织实习经历：100分</w:t>
            </w:r>
          </w:p>
          <w:p w14:paraId="1039273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参加国境外交流学期制项目：90分</w:t>
            </w:r>
          </w:p>
          <w:p w14:paraId="203020F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 xml:space="preserve">参加国境外短期制（1-3个月左右）项目:70分 </w:t>
            </w:r>
          </w:p>
          <w:p w14:paraId="7F59C60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参加短期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出境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≤28天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）国际会议或学术活动：50分（需提供参会证明）</w:t>
            </w:r>
          </w:p>
        </w:tc>
        <w:tc>
          <w:tcPr>
            <w:tcW w:w="1477" w:type="dxa"/>
            <w:vMerge w:val="restart"/>
            <w:shd w:val="clear" w:color="auto" w:fill="FFFFFF"/>
            <w:vAlign w:val="center"/>
          </w:tcPr>
          <w:p w14:paraId="54993BD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100分</w:t>
            </w:r>
          </w:p>
        </w:tc>
      </w:tr>
      <w:tr w14:paraId="54235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150" w:type="dxa"/>
            <w:vMerge w:val="continue"/>
            <w:shd w:val="clear" w:color="auto" w:fill="FFFFFF"/>
          </w:tcPr>
          <w:p w14:paraId="632DE362">
            <w:pPr>
              <w:widowControl/>
              <w:jc w:val="left"/>
              <w:rPr>
                <w:highlight w:val="none"/>
              </w:rPr>
            </w:pPr>
          </w:p>
        </w:tc>
        <w:tc>
          <w:tcPr>
            <w:tcW w:w="1025" w:type="dxa"/>
            <w:vMerge w:val="continue"/>
            <w:shd w:val="clear" w:color="auto" w:fill="FFFFFF"/>
          </w:tcPr>
          <w:p w14:paraId="56458A6F">
            <w:pPr>
              <w:widowControl/>
              <w:jc w:val="left"/>
              <w:rPr>
                <w:highlight w:val="none"/>
              </w:rPr>
            </w:pPr>
          </w:p>
        </w:tc>
        <w:tc>
          <w:tcPr>
            <w:tcW w:w="4763" w:type="dxa"/>
            <w:shd w:val="clear" w:color="auto" w:fill="FFFFFF"/>
          </w:tcPr>
          <w:p w14:paraId="3275AC3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备注：</w:t>
            </w:r>
          </w:p>
          <w:p w14:paraId="719A612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1.学生提供国境外交流或国际组织实习支撑材料，评议小组结合实际情况进行打分。</w:t>
            </w:r>
          </w:p>
          <w:p w14:paraId="60BE2E1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2.学生在某一方面中有多项加分情况时，只取一项。</w:t>
            </w:r>
          </w:p>
        </w:tc>
        <w:tc>
          <w:tcPr>
            <w:tcW w:w="1477" w:type="dxa"/>
            <w:vMerge w:val="continue"/>
            <w:shd w:val="clear" w:color="auto" w:fill="FFFFFF"/>
            <w:vAlign w:val="center"/>
          </w:tcPr>
          <w:p w14:paraId="198226C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</w:tr>
    </w:tbl>
    <w:p w14:paraId="1B1D6DA9">
      <w:pPr>
        <w:rPr>
          <w:rFonts w:ascii="方正楷体_GB2312" w:hAnsi="方正楷体_GB2312" w:eastAsia="方正楷体_GB2312" w:cs="方正楷体_GB2312"/>
          <w:bCs/>
          <w:color w:val="000000"/>
          <w:sz w:val="24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5F83B654-D92C-4F35-8E8C-9BADBC056D4A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F09927F-A1BC-442F-8B41-8D055D24F8CB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E61C9A28-7046-44CB-AC1E-0CD208AEAC4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E535F6"/>
    <w:rsid w:val="00035A0B"/>
    <w:rsid w:val="002611B9"/>
    <w:rsid w:val="002651E3"/>
    <w:rsid w:val="002D47E2"/>
    <w:rsid w:val="002E0AEA"/>
    <w:rsid w:val="003D6919"/>
    <w:rsid w:val="003E7306"/>
    <w:rsid w:val="0049497D"/>
    <w:rsid w:val="006E4534"/>
    <w:rsid w:val="008F1326"/>
    <w:rsid w:val="00A07F54"/>
    <w:rsid w:val="00B85540"/>
    <w:rsid w:val="00BA001E"/>
    <w:rsid w:val="00C57002"/>
    <w:rsid w:val="00CB059D"/>
    <w:rsid w:val="00EA5592"/>
    <w:rsid w:val="00F33BDF"/>
    <w:rsid w:val="00F846D3"/>
    <w:rsid w:val="00FC40D7"/>
    <w:rsid w:val="07CE6D35"/>
    <w:rsid w:val="07D94258"/>
    <w:rsid w:val="082F3428"/>
    <w:rsid w:val="0AB0246F"/>
    <w:rsid w:val="0AE535F6"/>
    <w:rsid w:val="0C5200FA"/>
    <w:rsid w:val="10C3255D"/>
    <w:rsid w:val="11244F93"/>
    <w:rsid w:val="158F3058"/>
    <w:rsid w:val="22937748"/>
    <w:rsid w:val="2361781E"/>
    <w:rsid w:val="23957A8C"/>
    <w:rsid w:val="24AF1138"/>
    <w:rsid w:val="24DE36B4"/>
    <w:rsid w:val="24E54A43"/>
    <w:rsid w:val="26795443"/>
    <w:rsid w:val="2D654973"/>
    <w:rsid w:val="2D901122"/>
    <w:rsid w:val="2DA07759"/>
    <w:rsid w:val="2E61338C"/>
    <w:rsid w:val="2EEB0EA8"/>
    <w:rsid w:val="2F9D6155"/>
    <w:rsid w:val="2FFE2E5D"/>
    <w:rsid w:val="30204B81"/>
    <w:rsid w:val="305015F3"/>
    <w:rsid w:val="31CB29B4"/>
    <w:rsid w:val="32A553C5"/>
    <w:rsid w:val="330E4C39"/>
    <w:rsid w:val="3367232B"/>
    <w:rsid w:val="39ED38FB"/>
    <w:rsid w:val="3AFC0390"/>
    <w:rsid w:val="3CAE52DD"/>
    <w:rsid w:val="3CAF79B9"/>
    <w:rsid w:val="41152858"/>
    <w:rsid w:val="41E3192E"/>
    <w:rsid w:val="422A59B7"/>
    <w:rsid w:val="4368266F"/>
    <w:rsid w:val="43D342A4"/>
    <w:rsid w:val="46F81F5C"/>
    <w:rsid w:val="48544CBF"/>
    <w:rsid w:val="487E46E3"/>
    <w:rsid w:val="48AB0864"/>
    <w:rsid w:val="4EAC2A8A"/>
    <w:rsid w:val="501716A5"/>
    <w:rsid w:val="51752B27"/>
    <w:rsid w:val="51DF4444"/>
    <w:rsid w:val="53CF1D09"/>
    <w:rsid w:val="53DF7F32"/>
    <w:rsid w:val="56B04601"/>
    <w:rsid w:val="5818456D"/>
    <w:rsid w:val="625642AF"/>
    <w:rsid w:val="6317278C"/>
    <w:rsid w:val="6427701D"/>
    <w:rsid w:val="668A09CB"/>
    <w:rsid w:val="671769B6"/>
    <w:rsid w:val="67CC07C7"/>
    <w:rsid w:val="680D69C1"/>
    <w:rsid w:val="68CE617D"/>
    <w:rsid w:val="6EE92007"/>
    <w:rsid w:val="70787AE6"/>
    <w:rsid w:val="72F13B80"/>
    <w:rsid w:val="73FE6611"/>
    <w:rsid w:val="75FA0EA2"/>
    <w:rsid w:val="7CF32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批注框文本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1193</Words>
  <Characters>1314</Characters>
  <Lines>10</Lines>
  <Paragraphs>2</Paragraphs>
  <TotalTime>6</TotalTime>
  <ScaleCrop>false</ScaleCrop>
  <LinksUpToDate>false</LinksUpToDate>
  <CharactersWithSpaces>1329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2025-03-17T05:37:00Z</dcterms:created>
  <dc:creator>弓了长弓也</dc:creator>
  <cp:lastModifiedBy>华伟</cp:lastModifiedBy>
  <cp:lastPrinted>2026-09-04T02:41:00Z</cp:lastPrinted>
  <dcterms:modified xsi:type="dcterms:W3CDTF">2026-09-07T14:38:37Z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74D18B8D28D940BF95C936DF5A444917_13</vt:lpwstr>
  </property>
  <property fmtid="{D5CDD505-2E9C-101B-9397-08002B2CF9AE}" pid="4" name="KSOTemplateDocerSaveRecord">
    <vt:lpwstr>eyJoZGlkIjoiM2RkYzk3YzBiNmFjZGY2MDZiNTAxNGRhOGMwODlkYzMiLCJ1c2VySWQiOiIxNzk0OTIwNzExIn0=</vt:lpwstr>
  </property>
</Properties>
</file>