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CD046">
      <w:pPr>
        <w:adjustRightInd w:val="0"/>
        <w:snapToGrid w:val="0"/>
        <w:spacing w:line="560" w:lineRule="exact"/>
        <w:jc w:val="center"/>
        <w:rPr>
          <w:rFonts w:ascii="Times New Roman" w:hAnsi="Times New Roman" w:eastAsia="方正小标宋简体" w:cs="Times New Roman"/>
          <w:kern w:val="36"/>
          <w:sz w:val="44"/>
          <w:szCs w:val="44"/>
        </w:rPr>
      </w:pPr>
      <w:r>
        <w:rPr>
          <w:rFonts w:hint="eastAsia" w:ascii="Times New Roman" w:hAnsi="Times New Roman" w:eastAsia="方正小标宋简体" w:cs="Times New Roman"/>
          <w:kern w:val="36"/>
          <w:sz w:val="44"/>
          <w:szCs w:val="44"/>
        </w:rPr>
        <w:t>2025年湖南师范大学经济学实验班</w:t>
      </w:r>
    </w:p>
    <w:p w14:paraId="485EE086">
      <w:pPr>
        <w:adjustRightInd w:val="0"/>
        <w:snapToGrid w:val="0"/>
        <w:spacing w:after="312" w:afterLines="100" w:line="560" w:lineRule="exact"/>
        <w:jc w:val="center"/>
        <w:rPr>
          <w:rFonts w:ascii="Times New Roman" w:hAnsi="Times New Roman" w:eastAsia="方正小标宋简体" w:cs="Times New Roman"/>
          <w:bCs/>
          <w:sz w:val="32"/>
          <w:szCs w:val="32"/>
        </w:rPr>
      </w:pPr>
      <w:r>
        <w:rPr>
          <w:rFonts w:hint="eastAsia" w:ascii="Times New Roman" w:hAnsi="Times New Roman" w:eastAsia="方正小标宋简体" w:cs="Times New Roman"/>
          <w:kern w:val="36"/>
          <w:sz w:val="44"/>
          <w:szCs w:val="44"/>
        </w:rPr>
        <w:t>招生选拔方案</w:t>
      </w:r>
    </w:p>
    <w:p w14:paraId="7AD85F60">
      <w:pPr>
        <w:adjustRightInd w:val="0"/>
        <w:snapToGrid w:val="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一、班级简介</w:t>
      </w:r>
    </w:p>
    <w:p w14:paraId="59CFD8E4">
      <w:pPr>
        <w:adjustRightInd w:val="0"/>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湖南师范大学商学院经济学实验班以经济学、金融学等多个相关国家一流本科专业建设点、理论经济学一级学科博士点与博士后流动站、湖南省社会科学研究基地——大国经济研究发展中心、宏观经济大数据挖掘与应用湖南省重点实验室等平台为依托，以“学生中心、产出导向、持续改进”为班级建设理念，旨在培养功底深厚、视野开阔、知行合一的经济学研究人才。本班级人才培养过程强调：使用数学语言进行逻辑分析与使用统计学进行定量分析的融合、学习现有知识与创造新知识的结合、经济学理论与社会经济现实的对照、中英文语言与文字表达能力的培养、教师与学生之间的互动以及学生之间的互动。毕业生去向主要为：国内外高等学府攻读更高等学位，政府部门、企事业单位从事经济学研究工作。</w:t>
      </w:r>
    </w:p>
    <w:p w14:paraId="15C075C7">
      <w:pPr>
        <w:adjustRightInd w:val="0"/>
        <w:snapToGrid w:val="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二、选拔范围</w:t>
      </w:r>
    </w:p>
    <w:p w14:paraId="137309B2">
      <w:pPr>
        <w:adjustRightInd w:val="0"/>
        <w:snapToGrid w:val="0"/>
        <w:spacing w:line="560" w:lineRule="exact"/>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1.选拔对象</w:t>
      </w:r>
      <w:r>
        <w:rPr>
          <w:rFonts w:hint="eastAsia" w:ascii="仿宋_GB2312" w:hAnsi="仿宋_GB2312" w:eastAsia="仿宋_GB2312" w:cs="仿宋_GB2312"/>
          <w:bCs/>
          <w:sz w:val="32"/>
          <w:szCs w:val="32"/>
        </w:rPr>
        <w:t>：面向我校2024级学生选拔1</w:t>
      </w:r>
      <w:r>
        <w:rPr>
          <w:rFonts w:ascii="仿宋_GB2312" w:hAnsi="仿宋_GB2312" w:eastAsia="仿宋_GB2312" w:cs="仿宋_GB2312"/>
          <w:bCs/>
          <w:sz w:val="32"/>
          <w:szCs w:val="32"/>
        </w:rPr>
        <w:t>5</w:t>
      </w:r>
      <w:r>
        <w:rPr>
          <w:rFonts w:hint="eastAsia" w:ascii="仿宋_GB2312" w:hAnsi="仿宋_GB2312" w:eastAsia="仿宋_GB2312" w:cs="仿宋_GB2312"/>
          <w:bCs/>
          <w:sz w:val="32"/>
          <w:szCs w:val="32"/>
        </w:rPr>
        <w:t>人左右。录取后学生继续在原专业学习。</w:t>
      </w:r>
    </w:p>
    <w:p w14:paraId="3F47A032">
      <w:pPr>
        <w:adjustRightInd w:val="0"/>
        <w:snapToGrid w:val="0"/>
        <w:spacing w:line="560" w:lineRule="exact"/>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2.选拔条件</w:t>
      </w:r>
      <w:r>
        <w:rPr>
          <w:rFonts w:hint="eastAsia" w:ascii="仿宋_GB2312" w:hAnsi="仿宋_GB2312" w:eastAsia="仿宋_GB2312" w:cs="仿宋_GB2312"/>
          <w:bCs/>
          <w:sz w:val="32"/>
          <w:szCs w:val="32"/>
        </w:rPr>
        <w:t>：对经济学或经济史感兴趣，数学、英语和计算机基础较好。</w:t>
      </w:r>
    </w:p>
    <w:p w14:paraId="39D97049">
      <w:pPr>
        <w:adjustRightInd w:val="0"/>
        <w:snapToGrid w:val="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三、选拔方式</w:t>
      </w:r>
    </w:p>
    <w:p w14:paraId="65B57D5B">
      <w:pPr>
        <w:adjustRightInd w:val="0"/>
        <w:snapToGrid w:val="0"/>
        <w:spacing w:line="560" w:lineRule="exact"/>
        <w:ind w:firstLine="643" w:firstLineChars="200"/>
        <w:jc w:val="left"/>
        <w:rPr>
          <w:rFonts w:ascii="楷体" w:hAnsi="楷体" w:eastAsia="楷体" w:cs="楷体_GB2312"/>
          <w:b/>
          <w:bCs/>
          <w:sz w:val="32"/>
          <w:szCs w:val="32"/>
        </w:rPr>
      </w:pPr>
      <w:r>
        <w:rPr>
          <w:rFonts w:hint="eastAsia" w:ascii="楷体" w:hAnsi="楷体" w:eastAsia="楷体" w:cs="楷体_GB2312"/>
          <w:b/>
          <w:bCs/>
          <w:sz w:val="32"/>
          <w:szCs w:val="32"/>
        </w:rPr>
        <w:t>（一）招生方式</w:t>
      </w:r>
    </w:p>
    <w:p w14:paraId="7E4C16BB">
      <w:pPr>
        <w:adjustRightInd w:val="0"/>
        <w:snapToGrid w:val="0"/>
        <w:spacing w:line="560" w:lineRule="exact"/>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面试：</w:t>
      </w:r>
      <w:r>
        <w:rPr>
          <w:rFonts w:hint="eastAsia" w:ascii="仿宋_GB2312" w:hAnsi="仿宋_GB2312" w:eastAsia="仿宋_GB2312" w:cs="仿宋_GB2312"/>
          <w:bCs/>
          <w:sz w:val="32"/>
          <w:szCs w:val="32"/>
        </w:rPr>
        <w:t>以提问方式进行，面试时间与地点以邮件形式通知报名者。</w:t>
      </w:r>
    </w:p>
    <w:p w14:paraId="48110795">
      <w:pPr>
        <w:adjustRightInd w:val="0"/>
        <w:snapToGrid w:val="0"/>
        <w:spacing w:line="560" w:lineRule="exact"/>
        <w:ind w:firstLine="643" w:firstLineChars="200"/>
        <w:jc w:val="left"/>
        <w:rPr>
          <w:rFonts w:ascii="楷体_GB2312" w:hAnsi="楷体_GB2312" w:eastAsia="楷体_GB2312" w:cs="楷体_GB2312"/>
          <w:b/>
          <w:bCs/>
          <w:sz w:val="32"/>
          <w:szCs w:val="32"/>
        </w:rPr>
      </w:pPr>
      <w:r>
        <w:rPr>
          <w:rFonts w:hint="eastAsia" w:ascii="楷体" w:hAnsi="楷体" w:eastAsia="楷体" w:cs="楷体_GB2312"/>
          <w:b/>
          <w:bCs/>
          <w:sz w:val="32"/>
          <w:szCs w:val="32"/>
        </w:rPr>
        <w:t>（二）动态调整</w:t>
      </w:r>
    </w:p>
    <w:p w14:paraId="505CBE83">
      <w:pPr>
        <w:adjustRightInd w:val="0"/>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大二学年学生每学期动态调整10%，大三学年只出不进。</w:t>
      </w:r>
    </w:p>
    <w:p w14:paraId="11058A33">
      <w:pPr>
        <w:adjustRightInd w:val="0"/>
        <w:snapToGrid w:val="0"/>
        <w:spacing w:line="560" w:lineRule="exact"/>
        <w:ind w:firstLine="640" w:firstLineChars="200"/>
        <w:rPr>
          <w:rFonts w:ascii="黑体" w:hAnsi="黑体" w:eastAsia="黑体" w:cs="黑体"/>
          <w:bCs/>
          <w:sz w:val="32"/>
          <w:szCs w:val="32"/>
        </w:rPr>
      </w:pPr>
      <w:r>
        <w:rPr>
          <w:rFonts w:hint="eastAsia" w:ascii="黑体" w:hAnsi="黑体" w:eastAsia="黑体" w:cs="黑体"/>
          <w:bCs/>
          <w:sz w:val="32"/>
          <w:szCs w:val="32"/>
        </w:rPr>
        <w:t>四、培养模式</w:t>
      </w:r>
    </w:p>
    <w:p w14:paraId="1C937B81">
      <w:pPr>
        <w:adjustRightInd w:val="0"/>
        <w:snapToGrid w:val="0"/>
        <w:spacing w:line="560" w:lineRule="exact"/>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人才培养过程特别强调知识、能力与素质的有机融合，注重培养学生解决复杂问题的综合能力和高级思维；课程学习内容具有前沿性和时代性，教学形式呈现先进性和互动性，学习结果具探究性和个性化；课程学习有足够挑战度，为未来进一步从事经济学研究深造打好坚实的基础。</w:t>
      </w:r>
    </w:p>
    <w:p w14:paraId="60F5C772">
      <w:pPr>
        <w:adjustRightInd w:val="0"/>
        <w:snapToGrid w:val="0"/>
        <w:spacing w:line="560" w:lineRule="exact"/>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培养过程：</w:t>
      </w:r>
      <w:r>
        <w:rPr>
          <w:rFonts w:hint="eastAsia" w:ascii="仿宋_GB2312" w:hAnsi="仿宋_GB2312" w:eastAsia="仿宋_GB2312" w:cs="仿宋_GB2312"/>
          <w:bCs/>
          <w:sz w:val="32"/>
          <w:szCs w:val="32"/>
        </w:rPr>
        <w:t>（1）讲授课程主要包括：中级微观经济学、中级宏观经济学、中级计量经济学、文献阅读与讨论、学术论文写作等；（2）以学生研究兴趣为导向，为每一位学生配备优秀的研究指导教师，在其指导下从事经济学研究工作；（3）暑假、寒假可为学生提供专门的学习与研究场所；（4）鼓励学生参加学术会议，为论文入选国内国际高层次学术会议的学生提供符合标准的差旅报销；（5）为优秀学员提供奖学金(一等奖3000元/人、二等奖2000元/人、三等奖1000元/人)；（6）本班实施动态管理，考核不符合要求的学生将被淘汰，新同学只要符合要求亦可进入本班。</w:t>
      </w:r>
    </w:p>
    <w:p w14:paraId="4FF15A79">
      <w:pPr>
        <w:adjustRightInd w:val="0"/>
        <w:snapToGrid w:val="0"/>
        <w:spacing w:line="560" w:lineRule="exact"/>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授课方式：</w:t>
      </w:r>
      <w:r>
        <w:rPr>
          <w:rFonts w:hint="eastAsia" w:ascii="仿宋_GB2312" w:hAnsi="仿宋_GB2312" w:eastAsia="仿宋_GB2312" w:cs="仿宋_GB2312"/>
          <w:bCs/>
          <w:sz w:val="32"/>
          <w:szCs w:val="32"/>
        </w:rPr>
        <w:t>（1）周六、周日上课，平均每天约3节课；（2）小班教学（15人左右）；（3）通过课堂讨论、阅读与研讨文献、学术讲座、学术论文写作、实地调研、讨论与报告研究等方式进行充分的专业训练；（3）教师启发式，学生主动式、参与式教学。</w:t>
      </w:r>
    </w:p>
    <w:p w14:paraId="7928A9AC">
      <w:pPr>
        <w:adjustRightInd w:val="0"/>
        <w:snapToGrid w:val="0"/>
        <w:spacing w:line="560" w:lineRule="exact"/>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师资来源：</w:t>
      </w:r>
      <w:r>
        <w:rPr>
          <w:rFonts w:hint="eastAsia" w:ascii="仿宋_GB2312" w:hAnsi="仿宋_GB2312" w:eastAsia="仿宋_GB2312" w:cs="仿宋_GB2312"/>
          <w:bCs/>
          <w:sz w:val="32"/>
          <w:szCs w:val="32"/>
        </w:rPr>
        <w:t>（1）商学院相关课程的优秀教师；（2）数学与统计学院、信息科学与工程学院等学院相关课程的优秀教师；（3）北京大学、清华大学、中国人民大学、复旦大学、上海财经大学、中国社科院等学术机构的国内外知名学者。</w:t>
      </w:r>
    </w:p>
    <w:p w14:paraId="280223E5">
      <w:pPr>
        <w:adjustRightInd w:val="0"/>
        <w:snapToGrid w:val="0"/>
        <w:spacing w:line="560" w:lineRule="exact"/>
        <w:ind w:firstLine="640" w:firstLineChars="200"/>
        <w:jc w:val="left"/>
        <w:rPr>
          <w:rFonts w:ascii="黑体" w:hAnsi="黑体" w:eastAsia="黑体" w:cs="黑体"/>
          <w:bCs/>
          <w:sz w:val="32"/>
          <w:szCs w:val="32"/>
        </w:rPr>
      </w:pPr>
      <w:r>
        <w:rPr>
          <w:rFonts w:hint="eastAsia" w:ascii="黑体" w:hAnsi="黑体" w:eastAsia="黑体" w:cs="黑体"/>
          <w:bCs/>
          <w:sz w:val="32"/>
          <w:szCs w:val="32"/>
        </w:rPr>
        <w:t>五、咨询方式</w:t>
      </w:r>
    </w:p>
    <w:p w14:paraId="7527DE22">
      <w:pPr>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报名方式：</w:t>
      </w:r>
      <w:r>
        <w:rPr>
          <w:rFonts w:hint="eastAsia" w:ascii="仿宋_GB2312" w:hAnsi="仿宋_GB2312" w:eastAsia="仿宋_GB2312" w:cs="仿宋_GB2312"/>
          <w:bCs/>
          <w:sz w:val="32"/>
          <w:szCs w:val="32"/>
        </w:rPr>
        <w:t>填写“湖南师范大学商学院经济学实验班报名表”（见附件），并发送至邮箱：ec_hnnu@163.com，报名截止日期</w:t>
      </w:r>
      <w:r>
        <w:rPr>
          <w:rFonts w:hint="eastAsia" w:ascii="仿宋_GB2312" w:hAnsi="仿宋_GB2312" w:eastAsia="仿宋_GB2312" w:cs="仿宋_GB2312"/>
          <w:bCs/>
          <w:sz w:val="32"/>
          <w:szCs w:val="32"/>
          <w:lang w:val="en-US" w:eastAsia="zh-CN"/>
        </w:rPr>
        <w:t>为</w:t>
      </w:r>
      <w:r>
        <w:rPr>
          <w:rFonts w:hint="eastAsia" w:ascii="仿宋_GB2312" w:hAnsi="仿宋_GB2312" w:eastAsia="仿宋_GB2312" w:cs="仿宋_GB2312"/>
          <w:color w:val="FF0000"/>
          <w:sz w:val="32"/>
          <w:szCs w:val="32"/>
        </w:rPr>
        <w:t>9月</w:t>
      </w:r>
      <w:r>
        <w:rPr>
          <w:rFonts w:hint="eastAsia" w:ascii="仿宋_GB2312" w:hAnsi="仿宋_GB2312" w:eastAsia="仿宋_GB2312" w:cs="仿宋_GB2312"/>
          <w:color w:val="FF0000"/>
          <w:sz w:val="32"/>
          <w:szCs w:val="32"/>
          <w:lang w:val="en-US" w:eastAsia="zh-CN"/>
        </w:rPr>
        <w:t>19</w:t>
      </w:r>
      <w:r>
        <w:rPr>
          <w:rFonts w:hint="eastAsia" w:ascii="仿宋_GB2312" w:hAnsi="仿宋_GB2312" w:eastAsia="仿宋_GB2312" w:cs="仿宋_GB2312"/>
          <w:color w:val="FF0000"/>
          <w:sz w:val="32"/>
          <w:szCs w:val="32"/>
        </w:rPr>
        <w:t>日</w:t>
      </w:r>
      <w:r>
        <w:rPr>
          <w:rFonts w:hint="eastAsia" w:ascii="仿宋_GB2312" w:hAnsi="仿宋_GB2312" w:eastAsia="仿宋_GB2312" w:cs="仿宋_GB2312"/>
          <w:color w:val="FF0000"/>
          <w:sz w:val="32"/>
          <w:szCs w:val="32"/>
          <w:lang w:val="en-US" w:eastAsia="zh-CN"/>
        </w:rPr>
        <w:t>下午16：30</w:t>
      </w:r>
      <w:bookmarkStart w:id="0" w:name="_GoBack"/>
      <w:bookmarkEnd w:id="0"/>
      <w:r>
        <w:rPr>
          <w:rFonts w:hint="eastAsia" w:ascii="仿宋_GB2312" w:hAnsi="仿宋_GB2312" w:eastAsia="仿宋_GB2312" w:cs="仿宋_GB2312"/>
          <w:bCs/>
          <w:sz w:val="32"/>
          <w:szCs w:val="32"/>
        </w:rPr>
        <w:t>。</w:t>
      </w:r>
    </w:p>
    <w:p w14:paraId="1581A54E">
      <w:pPr>
        <w:ind w:firstLine="643" w:firstLineChars="200"/>
        <w:rPr>
          <w:rFonts w:ascii="仿宋_GB2312" w:hAnsi="仿宋_GB2312" w:eastAsia="仿宋_GB2312" w:cs="仿宋_GB2312"/>
          <w:bCs/>
          <w:sz w:val="32"/>
          <w:szCs w:val="32"/>
        </w:rPr>
      </w:pPr>
      <w:r>
        <w:rPr>
          <w:rFonts w:hint="eastAsia" w:ascii="仿宋_GB2312" w:hAnsi="仿宋_GB2312" w:eastAsia="仿宋_GB2312" w:cs="仿宋_GB2312"/>
          <w:b/>
          <w:sz w:val="32"/>
          <w:szCs w:val="32"/>
        </w:rPr>
        <w:t>咨询方式：</w:t>
      </w:r>
      <w:r>
        <w:rPr>
          <w:rFonts w:hint="eastAsia" w:ascii="仿宋_GB2312" w:hAnsi="仿宋_GB2312" w:eastAsia="仿宋_GB2312" w:cs="仿宋_GB2312"/>
          <w:bCs/>
          <w:sz w:val="32"/>
          <w:szCs w:val="32"/>
        </w:rPr>
        <w:t>邮件咨询，ec_hnnu@163.com。</w:t>
      </w:r>
    </w:p>
    <w:p w14:paraId="4038FBB1">
      <w:pPr>
        <w:spacing w:before="312" w:beforeLines="100" w:after="312" w:afterLines="100"/>
        <w:ind w:firstLine="640" w:firstLineChars="200"/>
        <w:rPr>
          <w:rFonts w:ascii="仿宋_GB2312" w:hAnsi="仿宋_GB2312" w:eastAsia="仿宋_GB2312" w:cs="仿宋_GB2312"/>
          <w:bCs/>
          <w:sz w:val="32"/>
          <w:szCs w:val="32"/>
        </w:rPr>
      </w:pPr>
    </w:p>
    <w:p w14:paraId="5497EBEB">
      <w:pPr>
        <w:spacing w:before="312" w:beforeLines="100" w:after="312" w:afterLines="100"/>
        <w:ind w:firstLine="640" w:firstLineChars="200"/>
        <w:rPr>
          <w:rFonts w:ascii="仿宋_GB2312" w:hAnsi="仿宋_GB2312" w:eastAsia="仿宋_GB2312" w:cs="仿宋_GB2312"/>
          <w:bCs/>
          <w:sz w:val="32"/>
          <w:szCs w:val="32"/>
        </w:rPr>
      </w:pPr>
    </w:p>
    <w:p w14:paraId="0619E1D4">
      <w:pPr>
        <w:spacing w:before="312" w:beforeLines="100" w:after="312" w:afterLines="100"/>
        <w:ind w:firstLine="640" w:firstLineChars="200"/>
        <w:rPr>
          <w:rFonts w:ascii="仿宋_GB2312" w:hAnsi="仿宋_GB2312" w:eastAsia="仿宋_GB2312" w:cs="仿宋_GB2312"/>
          <w:bCs/>
          <w:sz w:val="32"/>
          <w:szCs w:val="32"/>
        </w:rPr>
      </w:pPr>
    </w:p>
    <w:p w14:paraId="58F8EF45">
      <w:pPr>
        <w:spacing w:before="312" w:beforeLines="100" w:after="312" w:afterLines="100"/>
        <w:ind w:firstLine="640" w:firstLineChars="200"/>
        <w:rPr>
          <w:rFonts w:ascii="仿宋_GB2312" w:hAnsi="仿宋_GB2312" w:eastAsia="仿宋_GB2312" w:cs="仿宋_GB2312"/>
          <w:bCs/>
          <w:sz w:val="32"/>
          <w:szCs w:val="32"/>
        </w:rPr>
      </w:pPr>
    </w:p>
    <w:p w14:paraId="5C9C3F2C">
      <w:pPr>
        <w:spacing w:before="312" w:beforeLines="100" w:after="312" w:afterLines="100"/>
        <w:ind w:firstLine="640" w:firstLineChars="200"/>
        <w:rPr>
          <w:rFonts w:ascii="仿宋_GB2312" w:hAnsi="仿宋_GB2312" w:eastAsia="仿宋_GB2312" w:cs="仿宋_GB2312"/>
          <w:bCs/>
          <w:sz w:val="32"/>
          <w:szCs w:val="32"/>
        </w:rPr>
      </w:pPr>
    </w:p>
    <w:p w14:paraId="65F976E9">
      <w:pPr>
        <w:spacing w:before="312" w:beforeLines="100" w:after="312" w:afterLines="100"/>
        <w:ind w:firstLine="640" w:firstLineChars="200"/>
        <w:rPr>
          <w:rFonts w:ascii="仿宋_GB2312" w:hAnsi="仿宋_GB2312" w:eastAsia="仿宋_GB2312" w:cs="仿宋_GB2312"/>
          <w:bCs/>
          <w:sz w:val="32"/>
          <w:szCs w:val="32"/>
        </w:rPr>
      </w:pPr>
    </w:p>
    <w:p w14:paraId="5A5C3768">
      <w:pPr>
        <w:spacing w:before="312" w:beforeLines="100" w:after="312" w:afterLines="100"/>
        <w:ind w:firstLine="640" w:firstLineChars="200"/>
        <w:rPr>
          <w:rFonts w:ascii="仿宋_GB2312" w:hAnsi="仿宋_GB2312" w:eastAsia="仿宋_GB2312" w:cs="仿宋_GB2312"/>
          <w:bCs/>
          <w:sz w:val="32"/>
          <w:szCs w:val="32"/>
        </w:rPr>
      </w:pPr>
    </w:p>
    <w:p w14:paraId="3E6AD69F">
      <w:pPr>
        <w:spacing w:before="312" w:beforeLines="100" w:after="312" w:afterLines="100"/>
        <w:ind w:firstLine="640" w:firstLineChars="200"/>
        <w:rPr>
          <w:rFonts w:ascii="仿宋_GB2312" w:hAnsi="仿宋_GB2312" w:eastAsia="仿宋_GB2312" w:cs="仿宋_GB2312"/>
          <w:bCs/>
          <w:sz w:val="32"/>
          <w:szCs w:val="32"/>
        </w:rPr>
      </w:pPr>
    </w:p>
    <w:p w14:paraId="75274310">
      <w:pPr>
        <w:spacing w:before="312" w:beforeLines="100" w:after="312" w:afterLines="100"/>
        <w:ind w:firstLine="640" w:firstLineChars="200"/>
        <w:rPr>
          <w:rFonts w:ascii="仿宋_GB2312" w:hAnsi="仿宋_GB2312" w:eastAsia="仿宋_GB2312" w:cs="仿宋_GB2312"/>
          <w:bCs/>
          <w:sz w:val="32"/>
          <w:szCs w:val="32"/>
        </w:rPr>
      </w:pPr>
    </w:p>
    <w:p w14:paraId="29AF6AFE">
      <w:pPr>
        <w:spacing w:before="312" w:beforeLines="100" w:after="312" w:afterLines="100"/>
        <w:ind w:firstLine="640" w:firstLineChars="20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附件：湖南师范大学商学院经济学实验班报名表</w:t>
      </w:r>
    </w:p>
    <w:tbl>
      <w:tblPr>
        <w:tblStyle w:val="2"/>
        <w:tblpPr w:leftFromText="180" w:rightFromText="180" w:horzAnchor="margin" w:tblpXSpec="center" w:tblpY="763"/>
        <w:tblW w:w="90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6"/>
        <w:gridCol w:w="678"/>
        <w:gridCol w:w="1134"/>
        <w:gridCol w:w="992"/>
        <w:gridCol w:w="1350"/>
        <w:gridCol w:w="1351"/>
        <w:gridCol w:w="737"/>
        <w:gridCol w:w="630"/>
        <w:gridCol w:w="810"/>
        <w:gridCol w:w="706"/>
      </w:tblGrid>
      <w:tr w14:paraId="28175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1384" w:type="dxa"/>
            <w:gridSpan w:val="2"/>
            <w:vAlign w:val="center"/>
          </w:tcPr>
          <w:p w14:paraId="683D92DA">
            <w:pPr>
              <w:jc w:val="center"/>
              <w:rPr>
                <w:sz w:val="24"/>
              </w:rPr>
            </w:pPr>
            <w:r>
              <w:rPr>
                <w:sz w:val="24"/>
              </w:rPr>
              <w:br w:type="page"/>
            </w:r>
            <w:r>
              <w:rPr>
                <w:rFonts w:hint="eastAsia"/>
                <w:sz w:val="24"/>
              </w:rPr>
              <w:t>姓   名</w:t>
            </w:r>
          </w:p>
        </w:tc>
        <w:tc>
          <w:tcPr>
            <w:tcW w:w="2126" w:type="dxa"/>
            <w:gridSpan w:val="2"/>
            <w:vAlign w:val="center"/>
          </w:tcPr>
          <w:p w14:paraId="1D379C4D">
            <w:pPr>
              <w:jc w:val="center"/>
              <w:rPr>
                <w:sz w:val="24"/>
              </w:rPr>
            </w:pPr>
          </w:p>
        </w:tc>
        <w:tc>
          <w:tcPr>
            <w:tcW w:w="1350" w:type="dxa"/>
            <w:vAlign w:val="center"/>
          </w:tcPr>
          <w:p w14:paraId="7973E70C">
            <w:pPr>
              <w:jc w:val="center"/>
              <w:rPr>
                <w:sz w:val="24"/>
              </w:rPr>
            </w:pPr>
            <w:r>
              <w:rPr>
                <w:rFonts w:hint="eastAsia"/>
                <w:sz w:val="24"/>
              </w:rPr>
              <w:t>性  别</w:t>
            </w:r>
          </w:p>
        </w:tc>
        <w:tc>
          <w:tcPr>
            <w:tcW w:w="1351" w:type="dxa"/>
            <w:vAlign w:val="center"/>
          </w:tcPr>
          <w:p w14:paraId="6E73B696">
            <w:pPr>
              <w:jc w:val="center"/>
              <w:rPr>
                <w:sz w:val="24"/>
              </w:rPr>
            </w:pPr>
          </w:p>
        </w:tc>
        <w:tc>
          <w:tcPr>
            <w:tcW w:w="2883" w:type="dxa"/>
            <w:gridSpan w:val="4"/>
            <w:vMerge w:val="restart"/>
            <w:vAlign w:val="center"/>
          </w:tcPr>
          <w:p w14:paraId="683082D0">
            <w:pPr>
              <w:jc w:val="center"/>
              <w:rPr>
                <w:sz w:val="24"/>
              </w:rPr>
            </w:pPr>
            <w:r>
              <w:rPr>
                <w:rFonts w:hint="eastAsia"/>
                <w:sz w:val="24"/>
              </w:rPr>
              <w:t>照片</w:t>
            </w:r>
          </w:p>
        </w:tc>
      </w:tr>
      <w:tr w14:paraId="1D3F2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84" w:type="dxa"/>
            <w:gridSpan w:val="2"/>
            <w:vAlign w:val="center"/>
          </w:tcPr>
          <w:p w14:paraId="2337F26E">
            <w:pPr>
              <w:jc w:val="center"/>
              <w:rPr>
                <w:sz w:val="24"/>
              </w:rPr>
            </w:pPr>
            <w:r>
              <w:rPr>
                <w:rFonts w:hint="eastAsia"/>
                <w:sz w:val="24"/>
              </w:rPr>
              <w:t xml:space="preserve">专  </w:t>
            </w:r>
            <w:r>
              <w:rPr>
                <w:sz w:val="24"/>
              </w:rPr>
              <w:t xml:space="preserve"> </w:t>
            </w:r>
            <w:r>
              <w:rPr>
                <w:rFonts w:hint="eastAsia"/>
                <w:sz w:val="24"/>
              </w:rPr>
              <w:t>业</w:t>
            </w:r>
          </w:p>
        </w:tc>
        <w:tc>
          <w:tcPr>
            <w:tcW w:w="2126" w:type="dxa"/>
            <w:gridSpan w:val="2"/>
            <w:vAlign w:val="center"/>
          </w:tcPr>
          <w:p w14:paraId="345C35C3">
            <w:pPr>
              <w:jc w:val="center"/>
              <w:rPr>
                <w:sz w:val="24"/>
              </w:rPr>
            </w:pPr>
          </w:p>
        </w:tc>
        <w:tc>
          <w:tcPr>
            <w:tcW w:w="1350" w:type="dxa"/>
            <w:vAlign w:val="center"/>
          </w:tcPr>
          <w:p w14:paraId="50873E79">
            <w:pPr>
              <w:jc w:val="center"/>
              <w:rPr>
                <w:sz w:val="24"/>
              </w:rPr>
            </w:pPr>
            <w:r>
              <w:rPr>
                <w:rFonts w:hint="eastAsia"/>
                <w:sz w:val="24"/>
              </w:rPr>
              <w:t>年  龄</w:t>
            </w:r>
          </w:p>
        </w:tc>
        <w:tc>
          <w:tcPr>
            <w:tcW w:w="1351" w:type="dxa"/>
            <w:vAlign w:val="center"/>
          </w:tcPr>
          <w:p w14:paraId="6F74907B">
            <w:pPr>
              <w:jc w:val="center"/>
              <w:rPr>
                <w:sz w:val="24"/>
              </w:rPr>
            </w:pPr>
          </w:p>
        </w:tc>
        <w:tc>
          <w:tcPr>
            <w:tcW w:w="2883" w:type="dxa"/>
            <w:gridSpan w:val="4"/>
            <w:vMerge w:val="continue"/>
            <w:vAlign w:val="center"/>
          </w:tcPr>
          <w:p w14:paraId="65D7A76E">
            <w:pPr>
              <w:jc w:val="center"/>
              <w:rPr>
                <w:sz w:val="24"/>
              </w:rPr>
            </w:pPr>
          </w:p>
        </w:tc>
      </w:tr>
      <w:tr w14:paraId="4509F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84" w:type="dxa"/>
            <w:gridSpan w:val="2"/>
            <w:vAlign w:val="center"/>
          </w:tcPr>
          <w:p w14:paraId="1A724C12">
            <w:pPr>
              <w:jc w:val="center"/>
              <w:rPr>
                <w:sz w:val="24"/>
              </w:rPr>
            </w:pPr>
            <w:r>
              <w:rPr>
                <w:rFonts w:hint="eastAsia"/>
                <w:sz w:val="24"/>
              </w:rPr>
              <w:t xml:space="preserve">学 </w:t>
            </w:r>
            <w:r>
              <w:rPr>
                <w:sz w:val="24"/>
              </w:rPr>
              <w:t xml:space="preserve">  </w:t>
            </w:r>
            <w:r>
              <w:rPr>
                <w:rFonts w:hint="eastAsia"/>
                <w:sz w:val="24"/>
              </w:rPr>
              <w:t>号</w:t>
            </w:r>
          </w:p>
        </w:tc>
        <w:tc>
          <w:tcPr>
            <w:tcW w:w="2126" w:type="dxa"/>
            <w:gridSpan w:val="2"/>
            <w:vAlign w:val="center"/>
          </w:tcPr>
          <w:p w14:paraId="2DDD125A">
            <w:pPr>
              <w:jc w:val="center"/>
              <w:rPr>
                <w:sz w:val="24"/>
              </w:rPr>
            </w:pPr>
          </w:p>
        </w:tc>
        <w:tc>
          <w:tcPr>
            <w:tcW w:w="1350" w:type="dxa"/>
            <w:vAlign w:val="center"/>
          </w:tcPr>
          <w:p w14:paraId="1515C8EF">
            <w:pPr>
              <w:jc w:val="center"/>
              <w:rPr>
                <w:sz w:val="24"/>
              </w:rPr>
            </w:pPr>
            <w:r>
              <w:rPr>
                <w:rFonts w:hint="eastAsia"/>
                <w:sz w:val="24"/>
              </w:rPr>
              <w:t xml:space="preserve">手 </w:t>
            </w:r>
            <w:r>
              <w:rPr>
                <w:sz w:val="24"/>
              </w:rPr>
              <w:t xml:space="preserve"> </w:t>
            </w:r>
            <w:r>
              <w:rPr>
                <w:rFonts w:hint="eastAsia"/>
                <w:sz w:val="24"/>
              </w:rPr>
              <w:t>机</w:t>
            </w:r>
          </w:p>
        </w:tc>
        <w:tc>
          <w:tcPr>
            <w:tcW w:w="1351" w:type="dxa"/>
            <w:vAlign w:val="center"/>
          </w:tcPr>
          <w:p w14:paraId="7FCA422D">
            <w:pPr>
              <w:jc w:val="center"/>
              <w:rPr>
                <w:sz w:val="24"/>
              </w:rPr>
            </w:pPr>
          </w:p>
        </w:tc>
        <w:tc>
          <w:tcPr>
            <w:tcW w:w="2883" w:type="dxa"/>
            <w:gridSpan w:val="4"/>
            <w:vMerge w:val="continue"/>
            <w:vAlign w:val="center"/>
          </w:tcPr>
          <w:p w14:paraId="0D59B1E3">
            <w:pPr>
              <w:jc w:val="center"/>
              <w:rPr>
                <w:sz w:val="24"/>
              </w:rPr>
            </w:pPr>
          </w:p>
        </w:tc>
      </w:tr>
      <w:tr w14:paraId="5B763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84" w:type="dxa"/>
            <w:gridSpan w:val="2"/>
            <w:vAlign w:val="center"/>
          </w:tcPr>
          <w:p w14:paraId="2A447C0E">
            <w:pPr>
              <w:jc w:val="center"/>
              <w:rPr>
                <w:sz w:val="24"/>
              </w:rPr>
            </w:pPr>
            <w:r>
              <w:rPr>
                <w:rFonts w:hint="eastAsia"/>
                <w:sz w:val="24"/>
              </w:rPr>
              <w:t>电子邮箱</w:t>
            </w:r>
          </w:p>
        </w:tc>
        <w:tc>
          <w:tcPr>
            <w:tcW w:w="2126" w:type="dxa"/>
            <w:gridSpan w:val="2"/>
            <w:vAlign w:val="center"/>
          </w:tcPr>
          <w:p w14:paraId="2057F017">
            <w:pPr>
              <w:jc w:val="center"/>
              <w:rPr>
                <w:sz w:val="24"/>
              </w:rPr>
            </w:pPr>
          </w:p>
        </w:tc>
        <w:tc>
          <w:tcPr>
            <w:tcW w:w="1350" w:type="dxa"/>
            <w:vAlign w:val="center"/>
          </w:tcPr>
          <w:p w14:paraId="68A27560">
            <w:pPr>
              <w:jc w:val="center"/>
              <w:rPr>
                <w:sz w:val="24"/>
              </w:rPr>
            </w:pPr>
            <w:r>
              <w:rPr>
                <w:rFonts w:hint="eastAsia"/>
                <w:sz w:val="24"/>
              </w:rPr>
              <w:t xml:space="preserve">微 </w:t>
            </w:r>
            <w:r>
              <w:rPr>
                <w:sz w:val="24"/>
              </w:rPr>
              <w:t xml:space="preserve"> </w:t>
            </w:r>
            <w:r>
              <w:rPr>
                <w:rFonts w:hint="eastAsia"/>
                <w:sz w:val="24"/>
              </w:rPr>
              <w:t>信</w:t>
            </w:r>
          </w:p>
        </w:tc>
        <w:tc>
          <w:tcPr>
            <w:tcW w:w="1351" w:type="dxa"/>
            <w:vAlign w:val="center"/>
          </w:tcPr>
          <w:p w14:paraId="3B7DC79B">
            <w:pPr>
              <w:jc w:val="center"/>
              <w:rPr>
                <w:sz w:val="24"/>
              </w:rPr>
            </w:pPr>
          </w:p>
        </w:tc>
        <w:tc>
          <w:tcPr>
            <w:tcW w:w="2883" w:type="dxa"/>
            <w:gridSpan w:val="4"/>
            <w:vMerge w:val="continue"/>
            <w:vAlign w:val="center"/>
          </w:tcPr>
          <w:p w14:paraId="635F5614">
            <w:pPr>
              <w:jc w:val="center"/>
              <w:rPr>
                <w:sz w:val="24"/>
              </w:rPr>
            </w:pPr>
          </w:p>
        </w:tc>
      </w:tr>
      <w:tr w14:paraId="7A43C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384" w:type="dxa"/>
            <w:gridSpan w:val="2"/>
            <w:vAlign w:val="center"/>
          </w:tcPr>
          <w:p w14:paraId="610742F0">
            <w:pPr>
              <w:jc w:val="center"/>
              <w:rPr>
                <w:sz w:val="24"/>
              </w:rPr>
            </w:pPr>
            <w:r>
              <w:rPr>
                <w:rFonts w:hint="eastAsia"/>
                <w:sz w:val="24"/>
              </w:rPr>
              <w:t>微观经济学成绩</w:t>
            </w:r>
          </w:p>
        </w:tc>
        <w:tc>
          <w:tcPr>
            <w:tcW w:w="2126" w:type="dxa"/>
            <w:gridSpan w:val="2"/>
            <w:vAlign w:val="center"/>
          </w:tcPr>
          <w:p w14:paraId="6E9FDECE">
            <w:pPr>
              <w:jc w:val="center"/>
              <w:rPr>
                <w:sz w:val="24"/>
              </w:rPr>
            </w:pPr>
          </w:p>
        </w:tc>
        <w:tc>
          <w:tcPr>
            <w:tcW w:w="1350" w:type="dxa"/>
            <w:vAlign w:val="center"/>
          </w:tcPr>
          <w:p w14:paraId="06337B14">
            <w:pPr>
              <w:jc w:val="center"/>
              <w:rPr>
                <w:sz w:val="24"/>
              </w:rPr>
            </w:pPr>
            <w:r>
              <w:rPr>
                <w:rFonts w:hint="eastAsia"/>
                <w:sz w:val="24"/>
              </w:rPr>
              <w:t>大一成绩排名/位次</w:t>
            </w:r>
          </w:p>
        </w:tc>
        <w:tc>
          <w:tcPr>
            <w:tcW w:w="1351" w:type="dxa"/>
            <w:vAlign w:val="center"/>
          </w:tcPr>
          <w:p w14:paraId="000553A9">
            <w:pPr>
              <w:jc w:val="center"/>
              <w:rPr>
                <w:sz w:val="24"/>
              </w:rPr>
            </w:pPr>
          </w:p>
        </w:tc>
        <w:tc>
          <w:tcPr>
            <w:tcW w:w="2883" w:type="dxa"/>
            <w:gridSpan w:val="4"/>
            <w:vMerge w:val="continue"/>
            <w:vAlign w:val="center"/>
          </w:tcPr>
          <w:p w14:paraId="67672002">
            <w:pPr>
              <w:jc w:val="center"/>
              <w:rPr>
                <w:sz w:val="24"/>
              </w:rPr>
            </w:pPr>
          </w:p>
        </w:tc>
      </w:tr>
      <w:tr w14:paraId="3DA47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2" w:hRule="atLeast"/>
        </w:trPr>
        <w:tc>
          <w:tcPr>
            <w:tcW w:w="1384" w:type="dxa"/>
            <w:gridSpan w:val="2"/>
            <w:vMerge w:val="restart"/>
            <w:vAlign w:val="center"/>
          </w:tcPr>
          <w:p w14:paraId="1633BC0E">
            <w:pPr>
              <w:jc w:val="center"/>
              <w:rPr>
                <w:sz w:val="24"/>
              </w:rPr>
            </w:pPr>
            <w:r>
              <w:rPr>
                <w:rFonts w:hint="eastAsia"/>
                <w:sz w:val="24"/>
              </w:rPr>
              <w:t>微积分</w:t>
            </w:r>
          </w:p>
          <w:p w14:paraId="59C22B98">
            <w:pPr>
              <w:jc w:val="center"/>
              <w:rPr>
                <w:sz w:val="24"/>
              </w:rPr>
            </w:pPr>
            <w:r>
              <w:rPr>
                <w:rFonts w:hint="eastAsia"/>
                <w:sz w:val="24"/>
              </w:rPr>
              <w:t>成绩</w:t>
            </w:r>
          </w:p>
        </w:tc>
        <w:tc>
          <w:tcPr>
            <w:tcW w:w="1134" w:type="dxa"/>
            <w:vMerge w:val="restart"/>
            <w:vAlign w:val="center"/>
          </w:tcPr>
          <w:p w14:paraId="090F3D24">
            <w:pPr>
              <w:jc w:val="center"/>
              <w:rPr>
                <w:sz w:val="24"/>
              </w:rPr>
            </w:pPr>
          </w:p>
        </w:tc>
        <w:tc>
          <w:tcPr>
            <w:tcW w:w="992" w:type="dxa"/>
            <w:vMerge w:val="restart"/>
            <w:vAlign w:val="center"/>
          </w:tcPr>
          <w:p w14:paraId="28A9362B">
            <w:pPr>
              <w:jc w:val="center"/>
              <w:rPr>
                <w:sz w:val="24"/>
              </w:rPr>
            </w:pPr>
            <w:r>
              <w:rPr>
                <w:rFonts w:hint="eastAsia"/>
                <w:sz w:val="24"/>
              </w:rPr>
              <w:t>英语一</w:t>
            </w:r>
          </w:p>
          <w:p w14:paraId="7E8FC9E9">
            <w:pPr>
              <w:jc w:val="center"/>
              <w:rPr>
                <w:sz w:val="24"/>
              </w:rPr>
            </w:pPr>
            <w:r>
              <w:rPr>
                <w:rFonts w:hint="eastAsia"/>
                <w:sz w:val="24"/>
              </w:rPr>
              <w:t>成绩</w:t>
            </w:r>
          </w:p>
        </w:tc>
        <w:tc>
          <w:tcPr>
            <w:tcW w:w="1350" w:type="dxa"/>
            <w:vMerge w:val="restart"/>
            <w:vAlign w:val="center"/>
          </w:tcPr>
          <w:p w14:paraId="6D41FBFC">
            <w:pPr>
              <w:jc w:val="center"/>
              <w:rPr>
                <w:sz w:val="24"/>
              </w:rPr>
            </w:pPr>
          </w:p>
        </w:tc>
        <w:tc>
          <w:tcPr>
            <w:tcW w:w="1351" w:type="dxa"/>
            <w:vMerge w:val="restart"/>
            <w:vAlign w:val="center"/>
          </w:tcPr>
          <w:p w14:paraId="176CD4A1">
            <w:pPr>
              <w:jc w:val="center"/>
              <w:rPr>
                <w:sz w:val="24"/>
              </w:rPr>
            </w:pPr>
            <w:r>
              <w:rPr>
                <w:rFonts w:hint="eastAsia"/>
                <w:sz w:val="24"/>
              </w:rPr>
              <w:t>高考成绩</w:t>
            </w:r>
          </w:p>
        </w:tc>
        <w:tc>
          <w:tcPr>
            <w:tcW w:w="1367" w:type="dxa"/>
            <w:gridSpan w:val="2"/>
            <w:vAlign w:val="center"/>
          </w:tcPr>
          <w:p w14:paraId="4525F57C">
            <w:pPr>
              <w:rPr>
                <w:sz w:val="24"/>
              </w:rPr>
            </w:pPr>
            <w:r>
              <w:rPr>
                <w:rFonts w:hint="eastAsia"/>
                <w:sz w:val="24"/>
              </w:rPr>
              <w:t>文科/理科</w:t>
            </w:r>
          </w:p>
        </w:tc>
        <w:tc>
          <w:tcPr>
            <w:tcW w:w="1516" w:type="dxa"/>
            <w:gridSpan w:val="2"/>
            <w:vAlign w:val="center"/>
          </w:tcPr>
          <w:p w14:paraId="5C477D72">
            <w:pPr>
              <w:rPr>
                <w:sz w:val="24"/>
              </w:rPr>
            </w:pPr>
          </w:p>
        </w:tc>
      </w:tr>
      <w:tr w14:paraId="129B6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1" w:hRule="atLeast"/>
        </w:trPr>
        <w:tc>
          <w:tcPr>
            <w:tcW w:w="1384" w:type="dxa"/>
            <w:gridSpan w:val="2"/>
            <w:vMerge w:val="continue"/>
            <w:vAlign w:val="center"/>
          </w:tcPr>
          <w:p w14:paraId="68ABDB50">
            <w:pPr>
              <w:jc w:val="center"/>
              <w:rPr>
                <w:sz w:val="24"/>
              </w:rPr>
            </w:pPr>
          </w:p>
        </w:tc>
        <w:tc>
          <w:tcPr>
            <w:tcW w:w="1134" w:type="dxa"/>
            <w:vMerge w:val="continue"/>
            <w:vAlign w:val="center"/>
          </w:tcPr>
          <w:p w14:paraId="240977BD">
            <w:pPr>
              <w:jc w:val="center"/>
              <w:rPr>
                <w:sz w:val="24"/>
              </w:rPr>
            </w:pPr>
          </w:p>
        </w:tc>
        <w:tc>
          <w:tcPr>
            <w:tcW w:w="992" w:type="dxa"/>
            <w:vMerge w:val="continue"/>
            <w:vAlign w:val="center"/>
          </w:tcPr>
          <w:p w14:paraId="1A4341D0">
            <w:pPr>
              <w:jc w:val="center"/>
              <w:rPr>
                <w:sz w:val="24"/>
              </w:rPr>
            </w:pPr>
          </w:p>
        </w:tc>
        <w:tc>
          <w:tcPr>
            <w:tcW w:w="1350" w:type="dxa"/>
            <w:vMerge w:val="continue"/>
            <w:vAlign w:val="center"/>
          </w:tcPr>
          <w:p w14:paraId="21408C3A">
            <w:pPr>
              <w:jc w:val="center"/>
              <w:rPr>
                <w:sz w:val="24"/>
              </w:rPr>
            </w:pPr>
          </w:p>
        </w:tc>
        <w:tc>
          <w:tcPr>
            <w:tcW w:w="1351" w:type="dxa"/>
            <w:vMerge w:val="continue"/>
            <w:vAlign w:val="center"/>
          </w:tcPr>
          <w:p w14:paraId="4450415F">
            <w:pPr>
              <w:jc w:val="center"/>
              <w:rPr>
                <w:sz w:val="24"/>
              </w:rPr>
            </w:pPr>
          </w:p>
        </w:tc>
        <w:tc>
          <w:tcPr>
            <w:tcW w:w="737" w:type="dxa"/>
            <w:vAlign w:val="center"/>
          </w:tcPr>
          <w:p w14:paraId="55E8AB1C">
            <w:pPr>
              <w:jc w:val="center"/>
              <w:rPr>
                <w:sz w:val="24"/>
              </w:rPr>
            </w:pPr>
            <w:r>
              <w:rPr>
                <w:rFonts w:hint="eastAsia"/>
                <w:sz w:val="24"/>
              </w:rPr>
              <w:t>数学</w:t>
            </w:r>
          </w:p>
        </w:tc>
        <w:tc>
          <w:tcPr>
            <w:tcW w:w="630" w:type="dxa"/>
            <w:vAlign w:val="center"/>
          </w:tcPr>
          <w:p w14:paraId="59F92397">
            <w:pPr>
              <w:jc w:val="center"/>
              <w:rPr>
                <w:sz w:val="24"/>
              </w:rPr>
            </w:pPr>
          </w:p>
        </w:tc>
        <w:tc>
          <w:tcPr>
            <w:tcW w:w="810" w:type="dxa"/>
            <w:vAlign w:val="center"/>
          </w:tcPr>
          <w:p w14:paraId="45D75091">
            <w:pPr>
              <w:jc w:val="center"/>
              <w:rPr>
                <w:sz w:val="24"/>
              </w:rPr>
            </w:pPr>
            <w:r>
              <w:rPr>
                <w:rFonts w:hint="eastAsia"/>
                <w:sz w:val="24"/>
              </w:rPr>
              <w:t>英语</w:t>
            </w:r>
          </w:p>
        </w:tc>
        <w:tc>
          <w:tcPr>
            <w:tcW w:w="706" w:type="dxa"/>
            <w:vAlign w:val="center"/>
          </w:tcPr>
          <w:p w14:paraId="703A960D">
            <w:pPr>
              <w:jc w:val="center"/>
              <w:rPr>
                <w:sz w:val="24"/>
              </w:rPr>
            </w:pPr>
          </w:p>
        </w:tc>
      </w:tr>
      <w:tr w14:paraId="31228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1384" w:type="dxa"/>
            <w:gridSpan w:val="2"/>
            <w:vAlign w:val="center"/>
          </w:tcPr>
          <w:p w14:paraId="6EBB57B0">
            <w:pPr>
              <w:jc w:val="center"/>
              <w:rPr>
                <w:sz w:val="24"/>
              </w:rPr>
            </w:pPr>
            <w:r>
              <w:rPr>
                <w:rFonts w:hint="eastAsia"/>
                <w:sz w:val="24"/>
              </w:rPr>
              <w:t>线性代数</w:t>
            </w:r>
          </w:p>
          <w:p w14:paraId="241FFAEB">
            <w:pPr>
              <w:jc w:val="center"/>
              <w:rPr>
                <w:sz w:val="24"/>
              </w:rPr>
            </w:pPr>
            <w:r>
              <w:rPr>
                <w:rFonts w:hint="eastAsia"/>
                <w:sz w:val="24"/>
              </w:rPr>
              <w:t>成绩</w:t>
            </w:r>
          </w:p>
        </w:tc>
        <w:tc>
          <w:tcPr>
            <w:tcW w:w="1134" w:type="dxa"/>
            <w:vAlign w:val="center"/>
          </w:tcPr>
          <w:p w14:paraId="79E9C622">
            <w:pPr>
              <w:jc w:val="center"/>
              <w:rPr>
                <w:sz w:val="24"/>
              </w:rPr>
            </w:pPr>
          </w:p>
        </w:tc>
        <w:tc>
          <w:tcPr>
            <w:tcW w:w="992" w:type="dxa"/>
            <w:vAlign w:val="center"/>
          </w:tcPr>
          <w:p w14:paraId="18631278">
            <w:pPr>
              <w:jc w:val="center"/>
              <w:rPr>
                <w:sz w:val="24"/>
              </w:rPr>
            </w:pPr>
            <w:r>
              <w:rPr>
                <w:rFonts w:hint="eastAsia"/>
                <w:sz w:val="24"/>
              </w:rPr>
              <w:t>英语二</w:t>
            </w:r>
          </w:p>
          <w:p w14:paraId="2BC852D9">
            <w:pPr>
              <w:jc w:val="center"/>
              <w:rPr>
                <w:sz w:val="24"/>
              </w:rPr>
            </w:pPr>
            <w:r>
              <w:rPr>
                <w:rFonts w:hint="eastAsia"/>
                <w:sz w:val="24"/>
              </w:rPr>
              <w:t>成绩</w:t>
            </w:r>
          </w:p>
        </w:tc>
        <w:tc>
          <w:tcPr>
            <w:tcW w:w="1350" w:type="dxa"/>
            <w:vAlign w:val="center"/>
          </w:tcPr>
          <w:p w14:paraId="3F1F0CB9">
            <w:pPr>
              <w:jc w:val="center"/>
              <w:rPr>
                <w:sz w:val="24"/>
              </w:rPr>
            </w:pPr>
          </w:p>
        </w:tc>
        <w:tc>
          <w:tcPr>
            <w:tcW w:w="1351" w:type="dxa"/>
            <w:vAlign w:val="center"/>
          </w:tcPr>
          <w:p w14:paraId="2537F066">
            <w:pPr>
              <w:jc w:val="center"/>
              <w:rPr>
                <w:sz w:val="24"/>
              </w:rPr>
            </w:pPr>
            <w:r>
              <w:rPr>
                <w:rFonts w:hint="eastAsia"/>
                <w:sz w:val="24"/>
              </w:rPr>
              <w:t>家庭住址</w:t>
            </w:r>
          </w:p>
        </w:tc>
        <w:tc>
          <w:tcPr>
            <w:tcW w:w="2883" w:type="dxa"/>
            <w:gridSpan w:val="4"/>
            <w:vAlign w:val="center"/>
          </w:tcPr>
          <w:p w14:paraId="6E0E2EB3">
            <w:pPr>
              <w:jc w:val="center"/>
              <w:rPr>
                <w:sz w:val="24"/>
              </w:rPr>
            </w:pPr>
          </w:p>
        </w:tc>
      </w:tr>
      <w:tr w14:paraId="71503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858" w:hRule="atLeast"/>
        </w:trPr>
        <w:tc>
          <w:tcPr>
            <w:tcW w:w="706" w:type="dxa"/>
            <w:textDirection w:val="tbRlV"/>
            <w:vAlign w:val="center"/>
          </w:tcPr>
          <w:p w14:paraId="1547EA90">
            <w:pPr>
              <w:spacing w:line="360" w:lineRule="exact"/>
              <w:jc w:val="center"/>
              <w:rPr>
                <w:sz w:val="24"/>
              </w:rPr>
            </w:pPr>
            <w:r>
              <w:rPr>
                <w:rFonts w:hint="eastAsia"/>
                <w:sz w:val="24"/>
              </w:rPr>
              <w:t>报考本班的原因</w:t>
            </w:r>
          </w:p>
        </w:tc>
        <w:tc>
          <w:tcPr>
            <w:tcW w:w="8388" w:type="dxa"/>
            <w:gridSpan w:val="9"/>
          </w:tcPr>
          <w:p w14:paraId="02FE50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20" w:firstLineChars="300"/>
              <w:rPr>
                <w:sz w:val="24"/>
              </w:rPr>
            </w:pPr>
          </w:p>
        </w:tc>
      </w:tr>
      <w:tr w14:paraId="1979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6" w:hRule="atLeast"/>
        </w:trPr>
        <w:tc>
          <w:tcPr>
            <w:tcW w:w="706" w:type="dxa"/>
            <w:textDirection w:val="tbRlV"/>
            <w:vAlign w:val="center"/>
          </w:tcPr>
          <w:p w14:paraId="2C80F367">
            <w:pPr>
              <w:spacing w:line="360" w:lineRule="exact"/>
              <w:jc w:val="center"/>
              <w:rPr>
                <w:sz w:val="24"/>
              </w:rPr>
            </w:pPr>
            <w:r>
              <w:rPr>
                <w:rFonts w:hint="eastAsia"/>
                <w:sz w:val="24"/>
              </w:rPr>
              <w:t>你认为自己进行经济学研究的优势</w:t>
            </w:r>
          </w:p>
        </w:tc>
        <w:tc>
          <w:tcPr>
            <w:tcW w:w="8388" w:type="dxa"/>
            <w:gridSpan w:val="9"/>
          </w:tcPr>
          <w:p w14:paraId="6A06947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4"/>
              </w:rPr>
            </w:pPr>
          </w:p>
        </w:tc>
      </w:tr>
    </w:tbl>
    <w:p w14:paraId="341D9315">
      <w:pPr>
        <w:rPr>
          <w:rFonts w:ascii="Times New Roman" w:hAnsi="Times New Roman" w:eastAsia="仿宋" w:cs="Times New Roman"/>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RiMTM4ZTM0NWY2YTUzNmIwMzgyY2U2OWI2MTFkZTkifQ=="/>
  </w:docVars>
  <w:rsids>
    <w:rsidRoot w:val="2B887448"/>
    <w:rsid w:val="000373A4"/>
    <w:rsid w:val="00134628"/>
    <w:rsid w:val="001432A6"/>
    <w:rsid w:val="003F4877"/>
    <w:rsid w:val="00457BBA"/>
    <w:rsid w:val="004A4561"/>
    <w:rsid w:val="005153CD"/>
    <w:rsid w:val="00546C64"/>
    <w:rsid w:val="00601B95"/>
    <w:rsid w:val="008463AA"/>
    <w:rsid w:val="00866730"/>
    <w:rsid w:val="008F6B73"/>
    <w:rsid w:val="009350E8"/>
    <w:rsid w:val="00983C51"/>
    <w:rsid w:val="00A70EE5"/>
    <w:rsid w:val="00BB1245"/>
    <w:rsid w:val="00BD4F35"/>
    <w:rsid w:val="00C03576"/>
    <w:rsid w:val="00C426E9"/>
    <w:rsid w:val="00CA6327"/>
    <w:rsid w:val="00CC34FF"/>
    <w:rsid w:val="00CE6D23"/>
    <w:rsid w:val="00D351DC"/>
    <w:rsid w:val="00D3770D"/>
    <w:rsid w:val="00D8407E"/>
    <w:rsid w:val="00DD2434"/>
    <w:rsid w:val="00F5708C"/>
    <w:rsid w:val="00FB3A7D"/>
    <w:rsid w:val="03650240"/>
    <w:rsid w:val="043D36FD"/>
    <w:rsid w:val="04C32DB7"/>
    <w:rsid w:val="06CB7ED3"/>
    <w:rsid w:val="09B433F4"/>
    <w:rsid w:val="0C0C6D01"/>
    <w:rsid w:val="0EA85939"/>
    <w:rsid w:val="125E662E"/>
    <w:rsid w:val="164E28E2"/>
    <w:rsid w:val="18484298"/>
    <w:rsid w:val="1A2E4BEE"/>
    <w:rsid w:val="1C1B7BBD"/>
    <w:rsid w:val="1D0C0835"/>
    <w:rsid w:val="212B3353"/>
    <w:rsid w:val="2187592E"/>
    <w:rsid w:val="249F5D13"/>
    <w:rsid w:val="276D4D17"/>
    <w:rsid w:val="2B887448"/>
    <w:rsid w:val="2EE50437"/>
    <w:rsid w:val="3DB3369B"/>
    <w:rsid w:val="4D894772"/>
    <w:rsid w:val="567D65ED"/>
    <w:rsid w:val="56DC1EE1"/>
    <w:rsid w:val="59967ADE"/>
    <w:rsid w:val="6DC10EA4"/>
    <w:rsid w:val="6F722387"/>
    <w:rsid w:val="79DC1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Hyperlink"/>
    <w:basedOn w:val="3"/>
    <w:qFormat/>
    <w:uiPriority w:val="0"/>
    <w:rPr>
      <w:color w:val="0563C1" w:themeColor="hyperlink"/>
      <w:u w:val="single"/>
      <w14:textFill>
        <w14:solidFill>
          <w14:schemeClr w14:val="hlink"/>
        </w14:solidFill>
      </w14:textFill>
    </w:rPr>
  </w:style>
  <w:style w:type="character" w:customStyle="1" w:styleId="5">
    <w:name w:val="未处理的提及1"/>
    <w:basedOn w:val="3"/>
    <w:semiHidden/>
    <w:unhideWhenUsed/>
    <w:qFormat/>
    <w:uiPriority w:val="99"/>
    <w:rPr>
      <w:color w:val="605E5C"/>
      <w:shd w:val="clear" w:color="auto" w:fill="E1DFDD"/>
    </w:rPr>
  </w:style>
  <w:style w:type="character" w:customStyle="1" w:styleId="6">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1287</Words>
  <Characters>1336</Characters>
  <Lines>10</Lines>
  <Paragraphs>2</Paragraphs>
  <TotalTime>0</TotalTime>
  <ScaleCrop>false</ScaleCrop>
  <LinksUpToDate>false</LinksUpToDate>
  <CharactersWithSpaces>1353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2025-09-08T06:31:00Z</dcterms:created>
  <dc:creator>s k y</dc:creator>
  <cp:lastModifiedBy>宁范波</cp:lastModifiedBy>
  <dcterms:modified xsi:type="dcterms:W3CDTF">2025-09-16T01:05:50Z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EBE0DD489ACF4214ABAADE560A9C050E_13</vt:lpwstr>
  </property>
  <property fmtid="{D5CDD505-2E9C-101B-9397-08002B2CF9AE}" pid="4" name="KSOTemplateDocerSaveRecord">
    <vt:lpwstr>eyJoZGlkIjoiOTc4YjQ0NDRiZDBlMmEwNmU4OWYxNGEwYmI4OGU5MjgiLCJ1c2VySWQiOiIzMTk4Mjk0NDEifQ==</vt:lpwstr>
  </property>
</Properties>
</file>