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E037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宋体"/>
          <w:b/>
          <w:bCs/>
          <w:i w:val="0"/>
          <w:strike w:val="0"/>
          <w:color w:val="auto"/>
          <w:sz w:val="36"/>
          <w:u w:val="none"/>
        </w:rPr>
      </w:pPr>
      <w:r>
        <w:rPr>
          <w:rFonts w:hint="eastAsia" w:ascii="Times New Roman" w:hAnsi="Times New Roman" w:eastAsia="宋体" w:cs="宋体"/>
          <w:b/>
          <w:bCs/>
          <w:i w:val="0"/>
          <w:strike w:val="0"/>
          <w:color w:val="auto"/>
          <w:sz w:val="36"/>
          <w:u w:val="none"/>
        </w:rPr>
        <w:t>公共管理与旅游学院202</w:t>
      </w:r>
      <w:r>
        <w:rPr>
          <w:rFonts w:hint="eastAsia" w:ascii="Times New Roman" w:hAnsi="Times New Roman" w:eastAsia="宋体" w:cs="宋体"/>
          <w:b/>
          <w:bCs/>
          <w:i w:val="0"/>
          <w:strike w:val="0"/>
          <w:color w:val="auto"/>
          <w:sz w:val="36"/>
          <w:u w:val="none"/>
          <w:lang w:val="en-US" w:eastAsia="zh-CN"/>
        </w:rPr>
        <w:t>7届</w:t>
      </w:r>
      <w:r>
        <w:rPr>
          <w:rFonts w:hint="eastAsia" w:ascii="Times New Roman" w:hAnsi="Times New Roman" w:eastAsia="宋体" w:cs="宋体"/>
          <w:b/>
          <w:bCs/>
          <w:i w:val="0"/>
          <w:strike w:val="0"/>
          <w:color w:val="auto"/>
          <w:sz w:val="36"/>
          <w:u w:val="none"/>
        </w:rPr>
        <w:t>推荐优秀</w:t>
      </w:r>
      <w:r>
        <w:rPr>
          <w:rFonts w:hint="eastAsia" w:ascii="Times New Roman" w:hAnsi="Times New Roman" w:eastAsia="宋体" w:cs="宋体"/>
          <w:b/>
          <w:bCs/>
          <w:i w:val="0"/>
          <w:strike w:val="0"/>
          <w:color w:val="auto"/>
          <w:sz w:val="36"/>
          <w:u w:val="none"/>
        </w:rPr>
        <w:br w:type="textWrapping"/>
      </w:r>
      <w:r>
        <w:rPr>
          <w:rFonts w:hint="eastAsia" w:ascii="Times New Roman" w:hAnsi="Times New Roman" w:eastAsia="宋体" w:cs="宋体"/>
          <w:b/>
          <w:bCs/>
          <w:i w:val="0"/>
          <w:strike w:val="0"/>
          <w:color w:val="auto"/>
          <w:sz w:val="36"/>
          <w:u w:val="none"/>
        </w:rPr>
        <w:t>应届本科毕业生免试攻读硕士学位研究生</w:t>
      </w:r>
      <w:r>
        <w:rPr>
          <w:rFonts w:hint="eastAsia" w:ascii="Times New Roman" w:hAnsi="Times New Roman" w:eastAsia="宋体" w:cs="宋体"/>
          <w:b/>
          <w:bCs/>
          <w:i w:val="0"/>
          <w:strike w:val="0"/>
          <w:color w:val="auto"/>
          <w:sz w:val="36"/>
          <w:u w:val="none"/>
        </w:rPr>
        <w:br w:type="textWrapping"/>
      </w:r>
      <w:r>
        <w:rPr>
          <w:rFonts w:hint="eastAsia" w:ascii="Times New Roman" w:hAnsi="Times New Roman" w:eastAsia="宋体" w:cs="宋体"/>
          <w:b/>
          <w:bCs/>
          <w:i w:val="0"/>
          <w:strike w:val="0"/>
          <w:color w:val="auto"/>
          <w:sz w:val="36"/>
          <w:u w:val="none"/>
        </w:rPr>
        <w:t>实施细则</w:t>
      </w:r>
    </w:p>
    <w:p w14:paraId="4DC52E4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宋体"/>
          <w:b/>
          <w:bCs/>
          <w:i w:val="0"/>
          <w:strike w:val="0"/>
          <w:color w:val="auto"/>
          <w:sz w:val="36"/>
          <w:u w:val="none"/>
        </w:rPr>
      </w:pPr>
    </w:p>
    <w:p w14:paraId="731FD2B3">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rPr>
          <w:rFonts w:hint="eastAsia" w:ascii="Times New Roman" w:hAnsi="Times New Roman" w:eastAsia="黑体"/>
          <w:b w:val="0"/>
          <w:i w:val="0"/>
          <w:strike w:val="0"/>
          <w:color w:val="auto"/>
          <w:sz w:val="32"/>
          <w:u w:val="none"/>
        </w:rPr>
      </w:pPr>
      <w:r>
        <w:rPr>
          <w:rFonts w:hint="eastAsia" w:ascii="Times New Roman" w:hAnsi="Times New Roman" w:eastAsia="黑体"/>
          <w:b w:val="0"/>
          <w:i w:val="0"/>
          <w:strike w:val="0"/>
          <w:color w:val="auto"/>
          <w:sz w:val="32"/>
          <w:u w:val="none"/>
        </w:rPr>
        <w:t>第一章 总则</w:t>
      </w:r>
    </w:p>
    <w:p w14:paraId="61AE315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第一条 </w:t>
      </w:r>
      <w:r>
        <w:rPr>
          <w:rFonts w:hint="eastAsia" w:ascii="Times New Roman" w:hAnsi="Times New Roman" w:eastAsia="宋体"/>
          <w:b w:val="0"/>
          <w:i w:val="0"/>
          <w:strike w:val="0"/>
          <w:color w:val="auto"/>
          <w:sz w:val="28"/>
          <w:szCs w:val="28"/>
          <w:u w:val="none"/>
        </w:rPr>
        <w:t>为贯彻落实教育部关于推荐优秀应届本科毕业生免试攻读硕士学位研究生（以下简称 “推免”）工作的有关文件精神，落实立德树人根本任务，规范和加强学院推免资格管理工作，激励在校本科生勤奋学习、全面发展，提升人才培养质量，结合学校实际，制定本细则。</w:t>
      </w:r>
    </w:p>
    <w:p w14:paraId="0074207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第二条 </w:t>
      </w:r>
      <w:r>
        <w:rPr>
          <w:rFonts w:hint="eastAsia" w:ascii="Times New Roman" w:hAnsi="Times New Roman" w:eastAsia="宋体"/>
          <w:b w:val="0"/>
          <w:i w:val="0"/>
          <w:strike w:val="0"/>
          <w:color w:val="auto"/>
          <w:sz w:val="28"/>
          <w:szCs w:val="28"/>
          <w:u w:val="none"/>
        </w:rPr>
        <w:t>本细则所称应届本科毕业生是指每年研究生招生报名阶段开始时已进入本科最后一学年学习的全日制在校本科生</w:t>
      </w:r>
      <w:r>
        <w:rPr>
          <w:rFonts w:hint="eastAsia" w:ascii="Times New Roman" w:hAnsi="Times New Roman" w:eastAsia="宋体"/>
          <w:b w:val="0"/>
          <w:i w:val="0"/>
          <w:strike w:val="0"/>
          <w:color w:val="auto"/>
          <w:sz w:val="28"/>
          <w:szCs w:val="28"/>
          <w:u w:val="none"/>
          <w:lang w:eastAsia="zh-CN"/>
        </w:rPr>
        <w:t>（</w:t>
      </w:r>
      <w:r>
        <w:rPr>
          <w:rFonts w:hint="eastAsia" w:ascii="Times New Roman" w:hAnsi="Times New Roman" w:eastAsia="宋体"/>
          <w:b w:val="0"/>
          <w:i w:val="0"/>
          <w:strike w:val="0"/>
          <w:color w:val="auto"/>
          <w:sz w:val="28"/>
          <w:szCs w:val="28"/>
          <w:u w:val="none"/>
        </w:rPr>
        <w:t>不含专升本、成人教育、辅修第二学位学生</w:t>
      </w:r>
      <w:r>
        <w:rPr>
          <w:rFonts w:hint="eastAsia" w:ascii="Times New Roman" w:hAnsi="Times New Roman" w:eastAsia="宋体"/>
          <w:b w:val="0"/>
          <w:i w:val="0"/>
          <w:strike w:val="0"/>
          <w:color w:val="auto"/>
          <w:sz w:val="28"/>
          <w:szCs w:val="28"/>
          <w:u w:val="none"/>
          <w:lang w:eastAsia="zh-CN"/>
        </w:rPr>
        <w:t>）</w:t>
      </w:r>
      <w:r>
        <w:rPr>
          <w:rFonts w:hint="eastAsia" w:ascii="Times New Roman" w:hAnsi="Times New Roman" w:eastAsia="宋体"/>
          <w:b w:val="0"/>
          <w:i w:val="0"/>
          <w:strike w:val="0"/>
          <w:color w:val="auto"/>
          <w:sz w:val="28"/>
          <w:szCs w:val="28"/>
          <w:u w:val="none"/>
        </w:rPr>
        <w:t>；免试是指免予参加全国硕士研究生招生统一考试（初试），但须经过招生单位组织的复试；推免生资格是指按规定对本单位优秀应届生进行遴选，确认其免初试资格并向招生单位推荐。学院仅负责资格遴选推荐，最终资格以学校审定公示为准。</w:t>
      </w:r>
    </w:p>
    <w:p w14:paraId="23E8BB3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p>
    <w:p w14:paraId="02EB8664">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rPr>
          <w:rFonts w:hint="eastAsia" w:ascii="Times New Roman" w:hAnsi="Times New Roman" w:eastAsia="黑体"/>
          <w:b w:val="0"/>
          <w:i w:val="0"/>
          <w:strike w:val="0"/>
          <w:color w:val="auto"/>
          <w:sz w:val="32"/>
          <w:u w:val="none"/>
        </w:rPr>
      </w:pPr>
      <w:r>
        <w:rPr>
          <w:rFonts w:hint="eastAsia" w:ascii="Times New Roman" w:hAnsi="Times New Roman" w:eastAsia="黑体"/>
          <w:b w:val="0"/>
          <w:i w:val="0"/>
          <w:strike w:val="0"/>
          <w:color w:val="auto"/>
          <w:sz w:val="32"/>
          <w:u w:val="none"/>
        </w:rPr>
        <w:t>第二章 组织领导</w:t>
      </w:r>
    </w:p>
    <w:p w14:paraId="603DD8C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第三条 </w:t>
      </w:r>
      <w:r>
        <w:rPr>
          <w:rFonts w:hint="eastAsia" w:ascii="Times New Roman" w:hAnsi="Times New Roman" w:eastAsia="宋体"/>
          <w:b w:val="0"/>
          <w:i w:val="0"/>
          <w:strike w:val="0"/>
          <w:color w:val="auto"/>
          <w:sz w:val="28"/>
          <w:szCs w:val="28"/>
          <w:u w:val="none"/>
        </w:rPr>
        <w:t>学院成立推免生资格遴选工作组（以下简称“推免遴选工作组”）和申请材料审核专家组。</w:t>
      </w:r>
    </w:p>
    <w:p w14:paraId="20FCD1D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default" w:ascii="Times New Roman" w:hAnsi="Times New Roman" w:eastAsia="宋体"/>
          <w:b/>
          <w:bCs/>
          <w:i w:val="0"/>
          <w:strike w:val="0"/>
          <w:color w:val="auto"/>
          <w:sz w:val="28"/>
          <w:szCs w:val="28"/>
          <w:u w:val="none"/>
          <w:lang w:val="en-US" w:eastAsia="zh-CN"/>
        </w:rPr>
      </w:pPr>
      <w:r>
        <w:rPr>
          <w:rFonts w:hint="eastAsia" w:ascii="Times New Roman" w:hAnsi="Times New Roman" w:eastAsia="宋体"/>
          <w:b/>
          <w:bCs/>
          <w:i w:val="0"/>
          <w:strike w:val="0"/>
          <w:color w:val="auto"/>
          <w:sz w:val="28"/>
          <w:szCs w:val="28"/>
          <w:u w:val="none"/>
        </w:rPr>
        <w:t>推免遴选工作组</w:t>
      </w:r>
      <w:r>
        <w:rPr>
          <w:rFonts w:hint="eastAsia" w:ascii="Times New Roman" w:hAnsi="Times New Roman" w:eastAsia="宋体"/>
          <w:b w:val="0"/>
          <w:bCs w:val="0"/>
          <w:i w:val="0"/>
          <w:strike w:val="0"/>
          <w:color w:val="auto"/>
          <w:sz w:val="28"/>
          <w:szCs w:val="28"/>
          <w:u w:val="none"/>
          <w:lang w:val="en-US" w:eastAsia="zh-CN"/>
        </w:rPr>
        <w:t>成员如下</w:t>
      </w:r>
      <w:r>
        <w:rPr>
          <w:rFonts w:hint="eastAsia" w:ascii="Times New Roman" w:hAnsi="Times New Roman" w:eastAsia="宋体"/>
          <w:b/>
          <w:bCs/>
          <w:i w:val="0"/>
          <w:strike w:val="0"/>
          <w:color w:val="auto"/>
          <w:sz w:val="28"/>
          <w:szCs w:val="28"/>
          <w:u w:val="none"/>
          <w:lang w:val="en-US" w:eastAsia="zh-CN"/>
        </w:rPr>
        <w:t>：</w:t>
      </w:r>
    </w:p>
    <w:p w14:paraId="0F3CF45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rPr>
        <w:t>组 长：</w:t>
      </w:r>
      <w:r>
        <w:rPr>
          <w:rFonts w:hint="eastAsia" w:ascii="Times New Roman" w:hAnsi="Times New Roman" w:eastAsia="宋体"/>
          <w:b w:val="0"/>
          <w:i w:val="0"/>
          <w:strike w:val="0"/>
          <w:color w:val="auto"/>
          <w:sz w:val="28"/>
          <w:szCs w:val="28"/>
          <w:u w:val="none"/>
          <w:lang w:val="en-US" w:eastAsia="zh-CN"/>
        </w:rPr>
        <w:t>何天祥</w:t>
      </w:r>
    </w:p>
    <w:p w14:paraId="291F79C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default"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rPr>
        <w:t>副组长：</w:t>
      </w:r>
      <w:r>
        <w:rPr>
          <w:rFonts w:hint="eastAsia" w:ascii="Times New Roman" w:hAnsi="Times New Roman" w:eastAsia="宋体"/>
          <w:b w:val="0"/>
          <w:i w:val="0"/>
          <w:strike w:val="0"/>
          <w:color w:val="auto"/>
          <w:sz w:val="28"/>
          <w:szCs w:val="28"/>
          <w:u w:val="none"/>
          <w:lang w:val="en-US" w:eastAsia="zh-CN"/>
        </w:rPr>
        <w:t>陈慧灵、聂晖、罗湖平</w:t>
      </w:r>
    </w:p>
    <w:p w14:paraId="00AA23D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成 员：院教学</w:t>
      </w:r>
      <w:r>
        <w:rPr>
          <w:rFonts w:hint="eastAsia" w:ascii="Times New Roman" w:hAnsi="Times New Roman" w:eastAsia="宋体"/>
          <w:b w:val="0"/>
          <w:i w:val="0"/>
          <w:strike w:val="0"/>
          <w:color w:val="auto"/>
          <w:sz w:val="28"/>
          <w:szCs w:val="28"/>
          <w:u w:val="none"/>
          <w:lang w:val="en-US" w:eastAsia="zh-CN"/>
        </w:rPr>
        <w:t>指导</w:t>
      </w:r>
      <w:r>
        <w:rPr>
          <w:rFonts w:hint="eastAsia" w:ascii="Times New Roman" w:hAnsi="Times New Roman" w:eastAsia="宋体"/>
          <w:b w:val="0"/>
          <w:i w:val="0"/>
          <w:strike w:val="0"/>
          <w:color w:val="auto"/>
          <w:sz w:val="28"/>
          <w:szCs w:val="28"/>
          <w:u w:val="none"/>
        </w:rPr>
        <w:t xml:space="preserve">委员会成员、系主任、学院纪检委员、教师代表 </w:t>
      </w:r>
    </w:p>
    <w:p w14:paraId="4B6B181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秘 书：学院</w:t>
      </w:r>
      <w:r>
        <w:rPr>
          <w:rFonts w:hint="eastAsia" w:ascii="Times New Roman" w:hAnsi="Times New Roman" w:eastAsia="宋体"/>
          <w:b w:val="0"/>
          <w:i w:val="0"/>
          <w:strike w:val="0"/>
          <w:color w:val="auto"/>
          <w:sz w:val="28"/>
          <w:szCs w:val="28"/>
          <w:u w:val="none"/>
          <w:lang w:val="en-US" w:eastAsia="zh-CN"/>
        </w:rPr>
        <w:t>业</w:t>
      </w:r>
      <w:r>
        <w:rPr>
          <w:rFonts w:hint="eastAsia" w:ascii="Times New Roman" w:hAnsi="Times New Roman" w:eastAsia="宋体"/>
          <w:b w:val="0"/>
          <w:i w:val="0"/>
          <w:strike w:val="0"/>
          <w:color w:val="auto"/>
          <w:sz w:val="28"/>
          <w:szCs w:val="28"/>
          <w:u w:val="none"/>
        </w:rPr>
        <w:t>务办主任、</w:t>
      </w:r>
      <w:r>
        <w:rPr>
          <w:rFonts w:hint="eastAsia" w:ascii="Times New Roman" w:hAnsi="Times New Roman" w:eastAsia="宋体"/>
          <w:b w:val="0"/>
          <w:i w:val="0"/>
          <w:strike w:val="0"/>
          <w:color w:val="auto"/>
          <w:sz w:val="28"/>
          <w:szCs w:val="28"/>
          <w:u w:val="none"/>
          <w:lang w:val="en-US" w:eastAsia="zh-CN"/>
        </w:rPr>
        <w:t>教务干事、</w:t>
      </w:r>
      <w:r>
        <w:rPr>
          <w:rFonts w:hint="eastAsia" w:ascii="Times New Roman" w:hAnsi="Times New Roman" w:eastAsia="宋体"/>
          <w:b w:val="0"/>
          <w:i w:val="0"/>
          <w:strike w:val="0"/>
          <w:color w:val="auto"/>
          <w:sz w:val="28"/>
          <w:szCs w:val="28"/>
          <w:u w:val="none"/>
        </w:rPr>
        <w:t>毕业</w:t>
      </w:r>
      <w:r>
        <w:rPr>
          <w:rFonts w:hint="eastAsia" w:ascii="Times New Roman" w:hAnsi="Times New Roman" w:eastAsia="宋体"/>
          <w:b w:val="0"/>
          <w:i w:val="0"/>
          <w:strike w:val="0"/>
          <w:color w:val="auto"/>
          <w:sz w:val="28"/>
          <w:szCs w:val="28"/>
          <w:u w:val="none"/>
          <w:lang w:val="en-US" w:eastAsia="zh-CN"/>
        </w:rPr>
        <w:t>班</w:t>
      </w:r>
      <w:r>
        <w:rPr>
          <w:rFonts w:hint="eastAsia" w:ascii="Times New Roman" w:hAnsi="Times New Roman" w:eastAsia="宋体"/>
          <w:b w:val="0"/>
          <w:i w:val="0"/>
          <w:strike w:val="0"/>
          <w:color w:val="auto"/>
          <w:sz w:val="28"/>
          <w:szCs w:val="28"/>
          <w:u w:val="none"/>
        </w:rPr>
        <w:t xml:space="preserve">年级辅导员 </w:t>
      </w:r>
    </w:p>
    <w:p w14:paraId="2DE1EDE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bCs/>
          <w:i w:val="0"/>
          <w:strike w:val="0"/>
          <w:color w:val="auto"/>
          <w:sz w:val="28"/>
          <w:szCs w:val="28"/>
          <w:u w:val="none"/>
        </w:rPr>
      </w:pPr>
      <w:r>
        <w:rPr>
          <w:rFonts w:hint="eastAsia" w:ascii="Times New Roman" w:hAnsi="Times New Roman" w:eastAsia="宋体"/>
          <w:b/>
          <w:bCs/>
          <w:i w:val="0"/>
          <w:strike w:val="0"/>
          <w:color w:val="auto"/>
          <w:sz w:val="28"/>
          <w:szCs w:val="28"/>
          <w:u w:val="none"/>
          <w:lang w:val="en-US" w:eastAsia="zh-CN"/>
        </w:rPr>
        <w:t>主要</w:t>
      </w:r>
      <w:r>
        <w:rPr>
          <w:rFonts w:hint="eastAsia" w:ascii="Times New Roman" w:hAnsi="Times New Roman" w:eastAsia="宋体"/>
          <w:b/>
          <w:bCs/>
          <w:i w:val="0"/>
          <w:strike w:val="0"/>
          <w:color w:val="auto"/>
          <w:sz w:val="28"/>
          <w:szCs w:val="28"/>
          <w:u w:val="none"/>
        </w:rPr>
        <w:t>职责为：</w:t>
      </w:r>
    </w:p>
    <w:p w14:paraId="0F8E0758">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制定并公布本院推免遴选实施细则；</w:t>
      </w:r>
    </w:p>
    <w:p w14:paraId="28B29E4E">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组织本院推免申请、材料审核、思想政治与品德考核、学业成绩与学术专长成绩核算、综合素质评价、综合排名、初选名单确定与公示；</w:t>
      </w:r>
    </w:p>
    <w:p w14:paraId="4486CEC8">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接受咨询与申诉初核等。</w:t>
      </w:r>
    </w:p>
    <w:p w14:paraId="2C3B0DD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bCs/>
          <w:i w:val="0"/>
          <w:strike w:val="0"/>
          <w:color w:val="auto"/>
          <w:sz w:val="28"/>
          <w:szCs w:val="28"/>
          <w:u w:val="none"/>
        </w:rPr>
        <w:t>申请材料审核专家组</w:t>
      </w:r>
      <w:r>
        <w:rPr>
          <w:rFonts w:hint="eastAsia" w:ascii="Times New Roman" w:hAnsi="Times New Roman" w:eastAsia="宋体"/>
          <w:b w:val="0"/>
          <w:i w:val="0"/>
          <w:strike w:val="0"/>
          <w:color w:val="auto"/>
          <w:sz w:val="28"/>
          <w:szCs w:val="28"/>
          <w:u w:val="none"/>
        </w:rPr>
        <w:t>由专业相关专家、教授组成，不少于5人。职责为：负责依据相关规定，对申请推免资格学生的学业成绩、学术专长成绩认定结果进行复核鉴定，重点核查成果的真实性、创新性、个人贡献度；对综合素质评价成绩进行审核。申请材料审核专家组每位成员均须给出明确审核鉴定意见并签字存档。</w:t>
      </w:r>
    </w:p>
    <w:p w14:paraId="0FE49FC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bCs/>
          <w:i w:val="0"/>
          <w:strike w:val="0"/>
          <w:color w:val="auto"/>
          <w:sz w:val="28"/>
          <w:szCs w:val="28"/>
          <w:u w:val="none"/>
          <w:lang w:val="en-US" w:eastAsia="zh-CN"/>
        </w:rPr>
      </w:pPr>
      <w:r>
        <w:rPr>
          <w:rFonts w:hint="eastAsia" w:ascii="Times New Roman" w:hAnsi="Times New Roman" w:eastAsia="宋体"/>
          <w:b/>
          <w:bCs/>
          <w:i w:val="0"/>
          <w:strike w:val="0"/>
          <w:color w:val="auto"/>
          <w:sz w:val="28"/>
          <w:szCs w:val="28"/>
          <w:u w:val="none"/>
          <w:lang w:val="en-US" w:eastAsia="zh-CN"/>
        </w:rPr>
        <w:t>主要职责为：</w:t>
      </w:r>
    </w:p>
    <w:p w14:paraId="2CA2FBF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1. 复核学生学业绩点、课程首考成绩真实性。</w:t>
      </w:r>
    </w:p>
    <w:p w14:paraId="192CA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2. 严格认定科研项目、学术论文、学科竞赛、专利等学术专长成果，核查署名、单位、贡献度，杜绝学术造假、成果挂靠。</w:t>
      </w:r>
    </w:p>
    <w:p w14:paraId="63AC76F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3. 审核综合素质加分材料。</w:t>
      </w:r>
    </w:p>
    <w:p w14:paraId="53EA3EF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4. 对存疑成果组织相关学生现场答辩核验。</w:t>
      </w:r>
    </w:p>
    <w:p w14:paraId="49B9A5C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p>
    <w:p w14:paraId="0774FBBF">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rPr>
          <w:rFonts w:hint="eastAsia" w:ascii="Times New Roman" w:hAnsi="Times New Roman" w:eastAsia="黑体"/>
          <w:b w:val="0"/>
          <w:i w:val="0"/>
          <w:strike w:val="0"/>
          <w:color w:val="auto"/>
          <w:sz w:val="32"/>
          <w:u w:val="none"/>
        </w:rPr>
      </w:pPr>
      <w:r>
        <w:rPr>
          <w:rFonts w:hint="eastAsia" w:ascii="Times New Roman" w:hAnsi="Times New Roman" w:eastAsia="黑体"/>
          <w:b w:val="0"/>
          <w:i w:val="0"/>
          <w:strike w:val="0"/>
          <w:color w:val="auto"/>
          <w:sz w:val="32"/>
          <w:u w:val="none"/>
        </w:rPr>
        <w:t>第三章 遴选与推荐</w:t>
      </w:r>
    </w:p>
    <w:p w14:paraId="413223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第四条 </w:t>
      </w:r>
      <w:r>
        <w:rPr>
          <w:rFonts w:hint="eastAsia" w:ascii="Times New Roman" w:hAnsi="Times New Roman" w:eastAsia="宋体"/>
          <w:b w:val="0"/>
          <w:i w:val="0"/>
          <w:strike w:val="0"/>
          <w:color w:val="auto"/>
          <w:sz w:val="28"/>
          <w:szCs w:val="28"/>
          <w:u w:val="none"/>
        </w:rPr>
        <w:t>申请推免生资格的条件</w:t>
      </w:r>
    </w:p>
    <w:p w14:paraId="2ECE9F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（一）必备条件</w:t>
      </w:r>
    </w:p>
    <w:p w14:paraId="2832375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1.热爱祖国，拥护中国共产党的领导，社会责任感强，积极向上，身心健康，遵纪守法，文明自律，立志为社会主义现代化建设服务。</w:t>
      </w:r>
    </w:p>
    <w:p w14:paraId="593FB1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2.诚实守信，学风端正，无任何考试作弊和剽窃他人学术成果记录；品行表现优良，无任何违法违纪受处分记录。</w:t>
      </w:r>
    </w:p>
    <w:p w14:paraId="0A0F67B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3.大学英语四级考试 425 分及以上。</w:t>
      </w:r>
    </w:p>
    <w:p w14:paraId="56AD5A4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4.首考无不及格或重修课程</w:t>
      </w:r>
      <w:r>
        <w:rPr>
          <w:rFonts w:hint="eastAsia" w:ascii="Times New Roman" w:hAnsi="Times New Roman" w:eastAsia="宋体"/>
          <w:b w:val="0"/>
          <w:i w:val="0"/>
          <w:strike w:val="0"/>
          <w:color w:val="auto"/>
          <w:sz w:val="28"/>
          <w:szCs w:val="28"/>
          <w:u w:val="none"/>
          <w:lang w:eastAsia="zh-CN"/>
        </w:rPr>
        <w:t>，大学一年级至三年级期间所修全部课程的平均学分绩点排名须位列本专业同年级前30%（以教务处出具的首考成绩为准）。</w:t>
      </w:r>
    </w:p>
    <w:p w14:paraId="4798705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二）根据《湖南省人民政府、中国人民解放军湖南省军区关于印发〈激励大学生参军入伍若干措施〉的通知》要求，在校服役荣立二等功及以上的退役士兵，符合上述必备条件的，可优先推荐，占用常规推免名额，由学院工作组统一复核后上报学校审核。</w:t>
      </w:r>
    </w:p>
    <w:p w14:paraId="13DE278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第五条 </w:t>
      </w:r>
      <w:r>
        <w:rPr>
          <w:rFonts w:hint="eastAsia" w:ascii="Times New Roman" w:hAnsi="Times New Roman" w:eastAsia="宋体"/>
          <w:b w:val="0"/>
          <w:i w:val="0"/>
          <w:strike w:val="0"/>
          <w:color w:val="auto"/>
          <w:sz w:val="28"/>
          <w:szCs w:val="28"/>
          <w:u w:val="none"/>
        </w:rPr>
        <w:t>坚持德智体美劳全面衡量，以德为先，科学遴选，突出创新能力，综合评价。</w:t>
      </w:r>
    </w:p>
    <w:p w14:paraId="366C2A2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 一）思想政治与品德考核。思想品德考核是推免生资格遴选的首要环节和录取的重要依据。重点考查学生的政治态度、思想表现、道德品质、科学精神、诚实守信、遵纪守法等方面。思想品德考核不合格者不予推荐。</w:t>
      </w:r>
    </w:p>
    <w:p w14:paraId="03CDA2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二）学业成绩。学业成绩是指在校学习期间所有教学环节的加权平均成绩，是推免遴选工作最基础的指标。学生须完成所在专业的人才培养方案第一至第六学期所有教学环节并取得合格成绩。学分学业成绩的量化转换公式：平均学分绩点*25。</w:t>
      </w:r>
    </w:p>
    <w:p w14:paraId="504476A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平均学分绩点是学生所读全部课程所得学分绩点之和除以学生同期修读的学分，即：平均学分绩点=∑（课程学分*所得绩点）/ ∑课程学分。依据《湖南工商大学普通全日制本科学生学籍管理规定》等最新文件规定，使用相关课程的首考成绩作为推荐遴选的学业成绩，由教务处（本科教学评估中心）出具。</w:t>
      </w:r>
    </w:p>
    <w:p w14:paraId="287E1F5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（三）学术专长成绩。学术专长成绩由二级学院根据本科生学术成果业绩审核认定，认定标准见附件。</w:t>
      </w:r>
    </w:p>
    <w:p w14:paraId="303DB0B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四）综合素质评价成绩。在学业成绩入围的前提下，将本科期间参军入伍服兵役、参加有组织的志愿服务、国际组织实习交流、获授权国家发明专利、重要荣誉表彰等符合学生全面发展价值导向的因素纳入综合素质评价指标体系，合理设置各指标权重及单项指标上限分值。</w:t>
      </w:r>
    </w:p>
    <w:p w14:paraId="6B65B74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学院根据学校综合素质评价成绩标准制定学院评定细则，从严从紧审核，不得与学校学术专长成绩认定项目重复，杜绝为仅符合单一或部分遴选指标的学生单列计划或破格推荐，经推免工作管理办公室审核备案后执行。</w:t>
      </w:r>
    </w:p>
    <w:p w14:paraId="72552B9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综合成绩计算。推免生遴选综合成绩由学业成绩（满分 100分）和学术专长成绩（满分 40 分）以及综合素质评价成绩（满分 10 分）相加组成。综合成绩满分 150 分。</w:t>
      </w:r>
    </w:p>
    <w:p w14:paraId="58EF834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第六条 </w:t>
      </w:r>
      <w:r>
        <w:rPr>
          <w:rFonts w:hint="eastAsia" w:ascii="Times New Roman" w:hAnsi="Times New Roman" w:eastAsia="宋体"/>
          <w:b w:val="0"/>
          <w:i w:val="0"/>
          <w:strike w:val="0"/>
          <w:color w:val="auto"/>
          <w:sz w:val="28"/>
          <w:szCs w:val="28"/>
          <w:u w:val="none"/>
        </w:rPr>
        <w:t>推荐工作程序</w:t>
      </w:r>
    </w:p>
    <w:p w14:paraId="3DA8422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bCs/>
          <w:i w:val="0"/>
          <w:strike w:val="0"/>
          <w:color w:val="auto"/>
          <w:sz w:val="28"/>
          <w:szCs w:val="28"/>
          <w:u w:val="none"/>
        </w:rPr>
        <w:t>（一）工作启动。</w:t>
      </w:r>
      <w:r>
        <w:rPr>
          <w:rFonts w:hint="eastAsia" w:ascii="Times New Roman" w:hAnsi="Times New Roman" w:eastAsia="宋体"/>
          <w:b w:val="0"/>
          <w:i w:val="0"/>
          <w:strike w:val="0"/>
          <w:color w:val="auto"/>
          <w:sz w:val="28"/>
          <w:szCs w:val="28"/>
          <w:u w:val="none"/>
        </w:rPr>
        <w:t>推荐工作一般于每年</w:t>
      </w:r>
      <w:r>
        <w:rPr>
          <w:rFonts w:hint="eastAsia" w:ascii="Times New Roman" w:hAnsi="Times New Roman" w:eastAsia="宋体"/>
          <w:b w:val="0"/>
          <w:i w:val="0"/>
          <w:strike w:val="0"/>
          <w:color w:val="auto"/>
          <w:sz w:val="28"/>
          <w:szCs w:val="28"/>
          <w:u w:val="none"/>
          <w:lang w:val="en-US" w:eastAsia="zh-CN"/>
        </w:rPr>
        <w:t>8-9</w:t>
      </w:r>
      <w:r>
        <w:rPr>
          <w:rFonts w:hint="eastAsia" w:ascii="Times New Roman" w:hAnsi="Times New Roman" w:eastAsia="宋体"/>
          <w:b w:val="0"/>
          <w:i w:val="0"/>
          <w:strike w:val="0"/>
          <w:color w:val="auto"/>
          <w:sz w:val="28"/>
          <w:szCs w:val="28"/>
          <w:u w:val="none"/>
        </w:rPr>
        <w:t>月进行，具体安排根据教育部和省教育厅当年推免文件确定，由教务处（本科教学评估中心）发布年度推免遴选工作通知。</w:t>
      </w:r>
    </w:p>
    <w:p w14:paraId="5C8B61F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bCs/>
          <w:i w:val="0"/>
          <w:strike w:val="0"/>
          <w:color w:val="auto"/>
          <w:sz w:val="28"/>
          <w:szCs w:val="28"/>
          <w:u w:val="none"/>
        </w:rPr>
        <w:t>（二）制定并公布学院实施细则。</w:t>
      </w:r>
      <w:r>
        <w:rPr>
          <w:rFonts w:hint="eastAsia" w:ascii="Times New Roman" w:hAnsi="Times New Roman" w:eastAsia="宋体"/>
          <w:b w:val="0"/>
          <w:i w:val="0"/>
          <w:strike w:val="0"/>
          <w:color w:val="auto"/>
          <w:sz w:val="28"/>
          <w:szCs w:val="28"/>
          <w:u w:val="none"/>
        </w:rPr>
        <w:t>各学院根据学校通知， 制定本单位推免生推荐实施办法，并提交至教务处（本科教学评估中心）审核备案，在本院网站公布。</w:t>
      </w:r>
    </w:p>
    <w:p w14:paraId="297E85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bCs/>
          <w:i w:val="0"/>
          <w:strike w:val="0"/>
          <w:color w:val="auto"/>
          <w:sz w:val="28"/>
          <w:szCs w:val="28"/>
          <w:u w:val="none"/>
        </w:rPr>
        <w:t>（三）学生申请与材料提交。</w:t>
      </w:r>
      <w:r>
        <w:rPr>
          <w:rFonts w:hint="eastAsia" w:ascii="Times New Roman" w:hAnsi="Times New Roman" w:eastAsia="宋体"/>
          <w:b w:val="0"/>
          <w:i w:val="0"/>
          <w:strike w:val="0"/>
          <w:color w:val="auto"/>
          <w:sz w:val="28"/>
          <w:szCs w:val="28"/>
          <w:u w:val="none"/>
        </w:rPr>
        <w:t>符合条件的学生在规定时间内向所在学院提交申请及相关证明材料，重点提供学术专长成绩及综合素质评价成绩的相关证明文件。</w:t>
      </w:r>
      <w:r>
        <w:rPr>
          <w:rFonts w:hint="eastAsia" w:ascii="Times New Roman" w:hAnsi="Times New Roman" w:eastAsia="宋体"/>
          <w:b w:val="0"/>
          <w:i w:val="0"/>
          <w:strike w:val="0"/>
          <w:color w:val="auto"/>
          <w:sz w:val="28"/>
          <w:szCs w:val="28"/>
          <w:u w:val="none"/>
          <w:lang w:val="en-US" w:eastAsia="zh-CN"/>
        </w:rPr>
        <w:t>清单如下：</w:t>
      </w:r>
    </w:p>
    <w:p w14:paraId="3059DAF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lang w:val="en-US" w:eastAsia="zh-CN"/>
        </w:rPr>
        <w:t>1. 《推免资格申请表》。</w:t>
      </w:r>
    </w:p>
    <w:p w14:paraId="5E7CDF5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lang w:val="en-US" w:eastAsia="zh-CN"/>
        </w:rPr>
        <w:t>2. 教务处出具官方成绩单、绩点排名证明。</w:t>
      </w:r>
    </w:p>
    <w:p w14:paraId="7DCD1E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lang w:val="en-US" w:eastAsia="zh-CN"/>
        </w:rPr>
        <w:t>3. 英语四级证书原件及扫描件或复印件。</w:t>
      </w:r>
    </w:p>
    <w:p w14:paraId="0FF0BC2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lang w:val="en-US" w:eastAsia="zh-CN"/>
        </w:rPr>
        <w:t>4. 学术专长佐证：论文录用/见刊证明、项目立项书、竞赛获奖证书、专利授权证书。</w:t>
      </w:r>
    </w:p>
    <w:p w14:paraId="1CD09ED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lang w:val="en-US" w:eastAsia="zh-CN"/>
        </w:rPr>
        <w:t>5. 综合素质佐证：服役证明、专利证书、志愿时长证明、荣誉证书、国际组织实习证明。</w:t>
      </w:r>
    </w:p>
    <w:p w14:paraId="60E0E3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lang w:val="en-US" w:eastAsia="zh-CN"/>
        </w:rPr>
        <w:t>6. 无违纪、无学术不端承诺书（本人签字）。</w:t>
      </w:r>
    </w:p>
    <w:p w14:paraId="5ECC63E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lang w:val="en-US" w:eastAsia="zh-CN"/>
        </w:rPr>
      </w:pPr>
      <w:r>
        <w:rPr>
          <w:rFonts w:hint="eastAsia" w:ascii="Times New Roman" w:hAnsi="Times New Roman" w:eastAsia="宋体"/>
          <w:b w:val="0"/>
          <w:i w:val="0"/>
          <w:strike w:val="0"/>
          <w:color w:val="auto"/>
          <w:sz w:val="28"/>
          <w:szCs w:val="28"/>
          <w:u w:val="none"/>
          <w:lang w:val="en-US" w:eastAsia="zh-CN"/>
        </w:rPr>
        <w:t>7. 回避关系报备声明（如有直系亲属教职工）。</w:t>
      </w:r>
    </w:p>
    <w:p w14:paraId="5715AB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bCs/>
          <w:i w:val="0"/>
          <w:strike w:val="0"/>
          <w:color w:val="auto"/>
          <w:sz w:val="28"/>
          <w:szCs w:val="28"/>
          <w:u w:val="none"/>
        </w:rPr>
        <w:t>（四）学院审核与鉴定。</w:t>
      </w:r>
      <w:r>
        <w:rPr>
          <w:rFonts w:hint="eastAsia" w:ascii="Times New Roman" w:hAnsi="Times New Roman" w:eastAsia="宋体"/>
          <w:b w:val="0"/>
          <w:i w:val="0"/>
          <w:strike w:val="0"/>
          <w:color w:val="auto"/>
          <w:sz w:val="28"/>
          <w:szCs w:val="28"/>
          <w:u w:val="none"/>
        </w:rPr>
        <w:t>包括五个环节：审核学生思想政治表现及必备条件；核算学生学业成绩及排名；核算学术专长成绩；审核综合素质评价成绩；计算综合成绩及排名。学院申请材料审核专家组对学生成绩进行复核鉴定。</w:t>
      </w:r>
    </w:p>
    <w:p w14:paraId="7CC7552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bCs/>
          <w:i w:val="0"/>
          <w:strike w:val="0"/>
          <w:color w:val="auto"/>
          <w:sz w:val="28"/>
          <w:szCs w:val="28"/>
          <w:u w:val="none"/>
        </w:rPr>
        <w:t>（五）初选名单公示。</w:t>
      </w:r>
      <w:r>
        <w:rPr>
          <w:rFonts w:hint="eastAsia" w:ascii="Times New Roman" w:hAnsi="Times New Roman" w:eastAsia="宋体"/>
          <w:b w:val="0"/>
          <w:i w:val="0"/>
          <w:strike w:val="0"/>
          <w:color w:val="auto"/>
          <w:sz w:val="28"/>
          <w:szCs w:val="28"/>
          <w:u w:val="none"/>
        </w:rPr>
        <w:t>学院推免遴选工作组根据综合成绩排名和分配的推免名额，提出推免初选名单，经学院党政联席会研究审定后公示不少于3个工作日。公示材料包括学业成绩、学术专长成绩及综合素质评价成绩、综合成绩、排名等。</w:t>
      </w:r>
    </w:p>
    <w:p w14:paraId="2CD0AAA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（六）申诉处理。公示期内有异议的，可向学院推免遴选工作组实名反映，学院须查明情况并于3日内公布处理结果；学生对学院处理结果仍有异议的，可向学校推免遴选工作领导小组申诉。</w:t>
      </w:r>
    </w:p>
    <w:p w14:paraId="02D2BFE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七）上报审定。学院汇总推免生资格审核表、推免生成绩单、推免生成绩排名和奖励加分明细等材料（包括纸质档和电子档），经学院推免遴选工作组组长签字、学院盖章后，报教务处（本科教学评估中心）汇总。经推免遴选工作领导小组审查， 以书面或会议形式向学校汇报推免工作情况及拟推荐名单、拟录取名单等重要事项。经学校审定后，确定最终推免生资格名单并公示，不少于10个工作日。公示期内有异议的，按照上级文件规定处理。凡未经推荐我校公示的学生不具备推免生资格。</w:t>
      </w:r>
    </w:p>
    <w:p w14:paraId="49679E5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（八）手续办理。获得推免生资格者按教育部及招生单位要求办理后续报名、复试等手续。</w:t>
      </w:r>
    </w:p>
    <w:p w14:paraId="1D508E83">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rPr>
          <w:rFonts w:hint="eastAsia" w:ascii="Times New Roman" w:hAnsi="Times New Roman" w:eastAsia="黑体"/>
          <w:b w:val="0"/>
          <w:i w:val="0"/>
          <w:strike w:val="0"/>
          <w:color w:val="auto"/>
          <w:sz w:val="32"/>
          <w:u w:val="none"/>
        </w:rPr>
      </w:pPr>
      <w:r>
        <w:rPr>
          <w:rFonts w:hint="eastAsia" w:ascii="Times New Roman" w:hAnsi="Times New Roman" w:eastAsia="黑体"/>
          <w:b w:val="0"/>
          <w:i w:val="0"/>
          <w:strike w:val="0"/>
          <w:color w:val="auto"/>
          <w:sz w:val="32"/>
          <w:u w:val="none"/>
        </w:rPr>
        <w:t>第四章 管理与监督</w:t>
      </w:r>
    </w:p>
    <w:p w14:paraId="71B0762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第七条 </w:t>
      </w:r>
      <w:r>
        <w:rPr>
          <w:rFonts w:hint="eastAsia" w:ascii="Times New Roman" w:hAnsi="Times New Roman" w:eastAsia="宋体"/>
          <w:b w:val="0"/>
          <w:i w:val="0"/>
          <w:strike w:val="0"/>
          <w:color w:val="auto"/>
          <w:sz w:val="28"/>
          <w:szCs w:val="28"/>
          <w:u w:val="none"/>
        </w:rPr>
        <w:t>二级学院院长为推免工作第一责任人，分管教学工作的副院长为直接责任人。推免工作的原则、方法、程序、结果等重要事项须集体研究决策。</w:t>
      </w:r>
    </w:p>
    <w:p w14:paraId="2B74256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第八条 </w:t>
      </w:r>
      <w:r>
        <w:rPr>
          <w:rFonts w:hint="eastAsia" w:ascii="Times New Roman" w:hAnsi="Times New Roman" w:eastAsia="宋体"/>
          <w:b w:val="0"/>
          <w:i w:val="0"/>
          <w:strike w:val="0"/>
          <w:color w:val="auto"/>
          <w:sz w:val="28"/>
          <w:szCs w:val="28"/>
          <w:u w:val="none"/>
        </w:rPr>
        <w:t>充分保障学生权益。学校充分保障推免生自主选择报考研究生招生单位和专业的权利。充分保障学生的知情权，在本单位网站开辟专栏，公布本单位遴选推荐工作办法，推免生名额分配方案以及推免招生的工作办法，统一公示拟推荐名单、拟录取名单。充分保障考生咨询及申诉渠道的畅通，对相关申诉举报及时调查处理，并予以反馈。</w:t>
      </w:r>
    </w:p>
    <w:p w14:paraId="419A3BE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第九条 </w:t>
      </w:r>
      <w:r>
        <w:rPr>
          <w:rFonts w:hint="eastAsia" w:ascii="Times New Roman" w:hAnsi="Times New Roman" w:eastAsia="宋体"/>
          <w:b w:val="0"/>
          <w:i w:val="0"/>
          <w:strike w:val="0"/>
          <w:color w:val="auto"/>
          <w:sz w:val="28"/>
          <w:szCs w:val="28"/>
          <w:u w:val="none"/>
        </w:rPr>
        <w:t>严格执行回避制度。有直系亲属或其他利害相关者报名参加本校推免的工作人员，应主动申请回避；有非直系亲属等报名参加本校推免的，应主动向本校报备；本校教职工有子女参加本校推免的，应主动向学校报备，是领导干部的，要全程回避。严肃查处违反考试招生管理规定和纪律、影响招生公平公正的违规行为。</w:t>
      </w:r>
    </w:p>
    <w:p w14:paraId="48C5AC3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第十条 </w:t>
      </w:r>
      <w:r>
        <w:rPr>
          <w:rFonts w:hint="eastAsia" w:ascii="Times New Roman" w:hAnsi="Times New Roman" w:eastAsia="宋体"/>
          <w:b w:val="0"/>
          <w:i w:val="0"/>
          <w:strike w:val="0"/>
          <w:color w:val="auto"/>
          <w:sz w:val="28"/>
          <w:szCs w:val="28"/>
          <w:u w:val="none"/>
        </w:rPr>
        <w:t>学生获得推免生资格后，出现下列情况之一，取消其推免生资格：</w:t>
      </w:r>
    </w:p>
    <w:p w14:paraId="5073562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（一）研究生入学前未取得本科毕业证或学士学位证者。</w:t>
      </w:r>
    </w:p>
    <w:p w14:paraId="498B30A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（二）受刑事、行政、纪律处分者。</w:t>
      </w:r>
    </w:p>
    <w:p w14:paraId="70F67A4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（三）未按规定报备声明回避关系且影响推免过程和结果公平公正者。</w:t>
      </w:r>
    </w:p>
    <w:p w14:paraId="567447C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（四）在推免过程中弄虚作假或有其他严重影响推免过程和结果公平公正行为者。</w:t>
      </w:r>
    </w:p>
    <w:p w14:paraId="5598839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取消推免资格情况由教务处（本科教学评估中心）报学校推免遴选工作领导小组审批，并向教育行政主管部门、录取单位通报。</w:t>
      </w:r>
    </w:p>
    <w:p w14:paraId="2F9BF3C4">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rPr>
          <w:rFonts w:hint="eastAsia" w:ascii="Times New Roman" w:hAnsi="Times New Roman" w:eastAsia="黑体"/>
          <w:b w:val="0"/>
          <w:i w:val="0"/>
          <w:strike w:val="0"/>
          <w:color w:val="auto"/>
          <w:sz w:val="32"/>
          <w:u w:val="none"/>
        </w:rPr>
      </w:pPr>
      <w:r>
        <w:rPr>
          <w:rFonts w:hint="eastAsia" w:ascii="Times New Roman" w:hAnsi="Times New Roman" w:eastAsia="黑体"/>
          <w:b w:val="0"/>
          <w:i w:val="0"/>
          <w:strike w:val="0"/>
          <w:color w:val="auto"/>
          <w:sz w:val="32"/>
          <w:u w:val="none"/>
        </w:rPr>
        <w:t>第五章 附则</w:t>
      </w:r>
    </w:p>
    <w:p w14:paraId="0075861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i w:val="0"/>
          <w:strike w:val="0"/>
          <w:color w:val="auto"/>
          <w:sz w:val="28"/>
          <w:szCs w:val="28"/>
          <w:u w:val="none"/>
        </w:rPr>
        <w:t xml:space="preserve">第十一条 </w:t>
      </w:r>
      <w:r>
        <w:rPr>
          <w:rFonts w:hint="eastAsia" w:ascii="Times New Roman" w:hAnsi="Times New Roman" w:eastAsia="宋体"/>
          <w:b w:val="0"/>
          <w:i w:val="0"/>
          <w:strike w:val="0"/>
          <w:color w:val="auto"/>
          <w:sz w:val="28"/>
          <w:szCs w:val="28"/>
          <w:u w:val="none"/>
        </w:rPr>
        <w:t>本细则自发文之日起实施，由公共管理与旅游学院负责解释。</w:t>
      </w:r>
      <w:r>
        <w:rPr>
          <w:rFonts w:hint="eastAsia" w:ascii="Times New Roman" w:hAnsi="Times New Roman" w:eastAsia="宋体"/>
          <w:b w:val="0"/>
          <w:i w:val="0"/>
          <w:strike w:val="0"/>
          <w:color w:val="auto"/>
          <w:sz w:val="28"/>
          <w:szCs w:val="28"/>
          <w:u w:val="none"/>
          <w:lang w:val="en-US" w:eastAsia="zh-CN"/>
        </w:rPr>
        <w:t>本</w:t>
      </w:r>
      <w:r>
        <w:rPr>
          <w:rFonts w:hint="eastAsia" w:ascii="Times New Roman" w:hAnsi="Times New Roman" w:eastAsia="宋体"/>
          <w:b w:val="0"/>
          <w:i w:val="0"/>
          <w:strike w:val="0"/>
          <w:color w:val="auto"/>
          <w:sz w:val="28"/>
          <w:szCs w:val="28"/>
          <w:u w:val="none"/>
        </w:rPr>
        <w:t>细则依据《湖南工商大学推荐优秀应届本科毕业生免试攻读硕士学位研究生工作管理办法》（校教字〔2026〕19号）制定，学校政策调整时，以学校最新文件为准。</w:t>
      </w:r>
    </w:p>
    <w:p w14:paraId="013544B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both"/>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附件：推荐优秀应届本科毕业生免试攻读硕士学位研究生学术专长成绩认定标准</w:t>
      </w:r>
    </w:p>
    <w:p w14:paraId="227C877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b w:val="0"/>
          <w:i w:val="0"/>
          <w:strike w:val="0"/>
          <w:color w:val="auto"/>
          <w:sz w:val="28"/>
          <w:szCs w:val="28"/>
          <w:u w:val="none"/>
        </w:rPr>
      </w:pPr>
    </w:p>
    <w:p w14:paraId="43EC014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0" w:firstLineChars="200"/>
        <w:jc w:val="both"/>
        <w:textAlignment w:val="auto"/>
        <w:rPr>
          <w:rFonts w:hint="eastAsia" w:ascii="Times New Roman" w:hAnsi="Times New Roman" w:eastAsia="宋体"/>
          <w:b w:val="0"/>
          <w:i w:val="0"/>
          <w:strike w:val="0"/>
          <w:color w:val="auto"/>
          <w:sz w:val="28"/>
          <w:szCs w:val="28"/>
          <w:u w:val="none"/>
        </w:rPr>
      </w:pPr>
    </w:p>
    <w:p w14:paraId="3A61759A">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公共管理与旅游学院</w:t>
      </w:r>
    </w:p>
    <w:p w14:paraId="7CC91374">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r>
        <w:rPr>
          <w:rFonts w:hint="eastAsia" w:ascii="Times New Roman" w:hAnsi="Times New Roman" w:eastAsia="宋体"/>
          <w:b w:val="0"/>
          <w:i w:val="0"/>
          <w:strike w:val="0"/>
          <w:color w:val="auto"/>
          <w:sz w:val="28"/>
          <w:szCs w:val="28"/>
          <w:u w:val="none"/>
        </w:rPr>
        <w:t>2026年8月</w:t>
      </w:r>
      <w:r>
        <w:rPr>
          <w:rFonts w:hint="eastAsia" w:ascii="Times New Roman" w:hAnsi="Times New Roman" w:eastAsia="宋体"/>
          <w:b w:val="0"/>
          <w:i w:val="0"/>
          <w:strike w:val="0"/>
          <w:color w:val="000000" w:themeColor="text1"/>
          <w:sz w:val="28"/>
          <w:szCs w:val="28"/>
          <w:u w:val="none"/>
          <w:lang w:val="en-US" w:eastAsia="zh-CN"/>
          <w14:textFill>
            <w14:solidFill>
              <w14:schemeClr w14:val="tx1"/>
            </w14:solidFill>
          </w14:textFill>
        </w:rPr>
        <w:t>11</w:t>
      </w:r>
      <w:r>
        <w:rPr>
          <w:rFonts w:hint="eastAsia" w:ascii="Times New Roman" w:hAnsi="Times New Roman" w:eastAsia="宋体"/>
          <w:b w:val="0"/>
          <w:i w:val="0"/>
          <w:strike w:val="0"/>
          <w:color w:val="auto"/>
          <w:sz w:val="28"/>
          <w:szCs w:val="28"/>
          <w:u w:val="none"/>
        </w:rPr>
        <w:t>日</w:t>
      </w:r>
    </w:p>
    <w:p w14:paraId="52FE1472">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5F8239E4">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0DB7237D">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455F0704">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bookmarkStart w:id="0" w:name="_GoBack"/>
      <w:bookmarkEnd w:id="0"/>
    </w:p>
    <w:p w14:paraId="1B210C8B">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26189019">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4F64287C">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76F4EC0B">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51E5810F">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16F3436C">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208E7F1F">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35A214EF">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3475BD03">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51510726">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1518D52D">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05E3BBB7">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0ABD719A">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20D512CE">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66036B82">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6DAB3B6B">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7680E70C">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7FB13B1C">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38CE831D">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09F01772">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Times New Roman" w:hAnsi="Times New Roman" w:eastAsia="宋体"/>
          <w:b w:val="0"/>
          <w:i w:val="0"/>
          <w:strike w:val="0"/>
          <w:color w:val="auto"/>
          <w:sz w:val="28"/>
          <w:szCs w:val="28"/>
          <w:u w:val="none"/>
        </w:rPr>
      </w:pPr>
    </w:p>
    <w:p w14:paraId="3727CBF2">
      <w:pPr>
        <w:spacing w:line="360" w:lineRule="auto"/>
        <w:jc w:val="left"/>
        <w:rPr>
          <w:rFonts w:ascii="仿宋_GB2312" w:hAnsi="仿宋_GB2312" w:eastAsia="仿宋_GB2312" w:cs="仿宋"/>
          <w:b/>
          <w:bCs/>
          <w:sz w:val="32"/>
          <w:szCs w:val="32"/>
        </w:rPr>
      </w:pPr>
      <w:r>
        <w:rPr>
          <w:rFonts w:ascii="仿宋_GB2312" w:hAnsi="仿宋_GB2312" w:eastAsia="仿宋_GB2312" w:cs="仿宋"/>
          <w:b/>
          <w:bCs/>
          <w:sz w:val="32"/>
          <w:szCs w:val="32"/>
        </w:rPr>
        <w:t>附件</w:t>
      </w:r>
      <w:r>
        <w:rPr>
          <w:rFonts w:hint="eastAsia" w:ascii="仿宋_GB2312" w:hAnsi="仿宋_GB2312" w:eastAsia="仿宋_GB2312" w:cs="仿宋"/>
          <w:b/>
          <w:bCs/>
          <w:sz w:val="32"/>
          <w:szCs w:val="32"/>
        </w:rPr>
        <w:t>1</w:t>
      </w:r>
    </w:p>
    <w:p w14:paraId="7D7EF47D">
      <w:pPr>
        <w:spacing w:before="200" w:line="360" w:lineRule="auto"/>
        <w:ind w:left="402"/>
        <w:outlineLvl w:val="0"/>
        <w:rPr>
          <w:rFonts w:ascii="仿宋_GB2312" w:hAnsi="仿宋_GB2312" w:eastAsia="仿宋_GB2312" w:cs="PingFang SC"/>
          <w:sz w:val="44"/>
          <w:szCs w:val="44"/>
        </w:rPr>
      </w:pPr>
      <w:r>
        <w:rPr>
          <w:rFonts w:ascii="仿宋_GB2312" w:hAnsi="仿宋_GB2312" w:eastAsia="仿宋_GB2312" w:cs="PingFang SC"/>
          <w:b/>
          <w:bCs/>
          <w:spacing w:val="-20"/>
          <w:sz w:val="44"/>
          <w:szCs w:val="44"/>
        </w:rPr>
        <w:t>推荐优秀应届本科毕业生免试攻读硕士学位</w:t>
      </w:r>
    </w:p>
    <w:p w14:paraId="58BB3001">
      <w:pPr>
        <w:spacing w:line="360" w:lineRule="auto"/>
        <w:ind w:left="1674"/>
        <w:outlineLvl w:val="0"/>
        <w:rPr>
          <w:rFonts w:ascii="仿宋_GB2312" w:hAnsi="仿宋_GB2312" w:eastAsia="仿宋_GB2312" w:cs="PingFang SC"/>
          <w:sz w:val="44"/>
          <w:szCs w:val="44"/>
        </w:rPr>
      </w:pPr>
      <w:r>
        <w:rPr>
          <w:rFonts w:ascii="仿宋_GB2312" w:hAnsi="仿宋_GB2312" w:eastAsia="仿宋_GB2312" w:cs="PingFang SC"/>
          <w:b/>
          <w:bCs/>
          <w:spacing w:val="-20"/>
          <w:sz w:val="44"/>
          <w:szCs w:val="44"/>
        </w:rPr>
        <w:t>研究生学术专长成绩认定标准</w:t>
      </w:r>
    </w:p>
    <w:p w14:paraId="50D09A77">
      <w:pPr>
        <w:spacing w:line="360" w:lineRule="auto"/>
        <w:rPr>
          <w:rFonts w:ascii="仿宋_GB2312" w:hAnsi="仿宋_GB2312" w:eastAsia="仿宋_GB2312"/>
        </w:rPr>
      </w:pPr>
    </w:p>
    <w:p w14:paraId="580D880C">
      <w:pPr>
        <w:spacing w:line="360" w:lineRule="auto"/>
        <w:rPr>
          <w:rFonts w:ascii="仿宋_GB2312" w:hAnsi="仿宋_GB2312" w:eastAsia="仿宋_GB2312"/>
        </w:rPr>
      </w:pPr>
    </w:p>
    <w:p w14:paraId="09C63EFC">
      <w:pPr>
        <w:pStyle w:val="2"/>
        <w:spacing w:before="104" w:line="360" w:lineRule="auto"/>
        <w:ind w:left="7" w:right="160" w:firstLine="650"/>
        <w:jc w:val="both"/>
        <w:rPr>
          <w:lang w:eastAsia="zh-CN"/>
        </w:rPr>
      </w:pPr>
      <w:r>
        <w:rPr>
          <w:spacing w:val="-17"/>
          <w:lang w:eastAsia="zh-CN"/>
        </w:rPr>
        <w:t>学术专长成绩认定范围：科研项目、学术论文、学科竞赛（以</w:t>
      </w:r>
      <w:r>
        <w:rPr>
          <w:spacing w:val="-15"/>
          <w:lang w:eastAsia="zh-CN"/>
        </w:rPr>
        <w:t>正式立项、公开发表、获奖证书或官方文件为依据，截止时间为当</w:t>
      </w:r>
      <w:r>
        <w:rPr>
          <w:spacing w:val="-18"/>
          <w:lang w:eastAsia="zh-CN"/>
        </w:rPr>
        <w:t>年7月31日</w:t>
      </w:r>
      <w:r>
        <w:rPr>
          <w:spacing w:val="-101"/>
          <w:lang w:eastAsia="zh-CN"/>
        </w:rPr>
        <w:t>），</w:t>
      </w:r>
      <w:r>
        <w:rPr>
          <w:spacing w:val="-18"/>
          <w:lang w:eastAsia="zh-CN"/>
        </w:rPr>
        <w:t>各部分成绩累加，总分不超过</w:t>
      </w:r>
      <w:r>
        <w:rPr>
          <w:spacing w:val="-19"/>
          <w:lang w:eastAsia="zh-CN"/>
        </w:rPr>
        <w:t>40分。</w:t>
      </w:r>
    </w:p>
    <w:p w14:paraId="34DD9E5D">
      <w:pPr>
        <w:pStyle w:val="2"/>
        <w:spacing w:before="1" w:line="360" w:lineRule="auto"/>
        <w:ind w:left="658"/>
        <w:outlineLvl w:val="2"/>
        <w:rPr>
          <w:lang w:eastAsia="zh-CN"/>
        </w:rPr>
      </w:pPr>
      <w:r>
        <w:rPr>
          <w:b/>
          <w:bCs/>
          <w:spacing w:val="-21"/>
          <w:lang w:eastAsia="zh-CN"/>
        </w:rPr>
        <w:t>一、科研项目</w:t>
      </w:r>
    </w:p>
    <w:p w14:paraId="04ACF4D3">
      <w:pPr>
        <w:pStyle w:val="2"/>
        <w:spacing w:before="183" w:line="360" w:lineRule="auto"/>
        <w:ind w:left="41" w:firstLine="617"/>
        <w:rPr>
          <w:lang w:eastAsia="zh-CN"/>
        </w:rPr>
      </w:pPr>
      <w:r>
        <w:rPr>
          <w:spacing w:val="-21"/>
          <w:lang w:eastAsia="zh-CN"/>
        </w:rPr>
        <w:t>1.只认定《湖南工商大学高水平科研成果认定与绩效核算办法》</w:t>
      </w:r>
      <w:r>
        <w:rPr>
          <w:spacing w:val="-18"/>
          <w:lang w:eastAsia="zh-CN"/>
        </w:rPr>
        <w:t>中省级及以上自然科学基金课题/社会科学基金课题。</w:t>
      </w:r>
    </w:p>
    <w:p w14:paraId="77A098BE">
      <w:pPr>
        <w:pStyle w:val="2"/>
        <w:spacing w:before="1" w:line="360" w:lineRule="auto"/>
        <w:ind w:left="651"/>
        <w:rPr>
          <w:lang w:eastAsia="zh-CN"/>
        </w:rPr>
      </w:pPr>
      <w:r>
        <w:rPr>
          <w:spacing w:val="-17"/>
          <w:lang w:eastAsia="zh-CN"/>
        </w:rPr>
        <w:t>2.必须以本科生为项目主持人，且湖南工商大学为第一单位。</w:t>
      </w:r>
    </w:p>
    <w:p w14:paraId="3438A042">
      <w:pPr>
        <w:pStyle w:val="2"/>
        <w:spacing w:before="190" w:line="360" w:lineRule="auto"/>
        <w:ind w:left="656"/>
        <w:outlineLvl w:val="2"/>
        <w:rPr>
          <w:lang w:eastAsia="zh-CN"/>
        </w:rPr>
      </w:pPr>
      <w:r>
        <w:rPr>
          <w:b/>
          <w:bCs/>
          <w:spacing w:val="-21"/>
          <w:lang w:eastAsia="zh-CN"/>
        </w:rPr>
        <w:t>二、学术论文</w:t>
      </w:r>
    </w:p>
    <w:p w14:paraId="03932DCD">
      <w:pPr>
        <w:pStyle w:val="2"/>
        <w:spacing w:before="184" w:line="360" w:lineRule="auto"/>
        <w:ind w:left="41" w:firstLine="617"/>
        <w:rPr>
          <w:lang w:eastAsia="zh-CN"/>
        </w:rPr>
      </w:pPr>
      <w:r>
        <w:rPr>
          <w:spacing w:val="-21"/>
          <w:lang w:eastAsia="zh-CN"/>
        </w:rPr>
        <w:t>1.只认定《湖南工商大学高水平科研成果认定与绩效核算办法》</w:t>
      </w:r>
      <w:r>
        <w:rPr>
          <w:spacing w:val="-19"/>
          <w:lang w:eastAsia="zh-CN"/>
        </w:rPr>
        <w:t>中的期刊，且湖南工商大学为第一署名单位。</w:t>
      </w:r>
    </w:p>
    <w:p w14:paraId="2F926BA2">
      <w:pPr>
        <w:pStyle w:val="2"/>
        <w:spacing w:before="2" w:line="360" w:lineRule="auto"/>
        <w:ind w:left="3" w:firstLine="647"/>
        <w:rPr>
          <w:lang w:eastAsia="zh-CN"/>
        </w:rPr>
      </w:pPr>
      <w:r>
        <w:rPr>
          <w:spacing w:val="-16"/>
          <w:lang w:eastAsia="zh-CN"/>
        </w:rPr>
        <w:t>2.必须为学生在本科阶段以第一作者发表，或与我校老师联合</w:t>
      </w:r>
      <w:r>
        <w:rPr>
          <w:spacing w:val="-20"/>
          <w:lang w:eastAsia="zh-CN"/>
        </w:rPr>
        <w:t>发表（仅限我校指导老师作为第一作者，学生作为第二作者的情况）</w:t>
      </w:r>
      <w:r>
        <w:rPr>
          <w:spacing w:val="-16"/>
          <w:lang w:eastAsia="zh-CN"/>
        </w:rPr>
        <w:t>的与学业相关的科研论文。</w:t>
      </w:r>
    </w:p>
    <w:p w14:paraId="0C1B59D6">
      <w:pPr>
        <w:pStyle w:val="2"/>
        <w:spacing w:before="2" w:line="360" w:lineRule="auto"/>
        <w:ind w:left="30" w:right="65" w:firstLine="633"/>
        <w:rPr>
          <w:lang w:eastAsia="zh-CN"/>
        </w:rPr>
      </w:pPr>
      <w:r>
        <w:rPr>
          <w:spacing w:val="-16"/>
          <w:lang w:eastAsia="zh-CN"/>
        </w:rPr>
        <w:t>3.学生须严格遵照《湖南工商大学科研诚信工作管理</w:t>
      </w:r>
      <w:r>
        <w:rPr>
          <w:spacing w:val="-17"/>
          <w:lang w:eastAsia="zh-CN"/>
        </w:rPr>
        <w:t>办法》规</w:t>
      </w:r>
      <w:r>
        <w:rPr>
          <w:spacing w:val="-23"/>
          <w:lang w:eastAsia="zh-CN"/>
        </w:rPr>
        <w:t>范撰写与刊发学术论文，学校将严格查处任何形式的学术不端行为。</w:t>
      </w:r>
    </w:p>
    <w:p w14:paraId="5EECEB45">
      <w:pPr>
        <w:pStyle w:val="2"/>
        <w:spacing w:before="1" w:line="360" w:lineRule="auto"/>
        <w:ind w:left="662"/>
        <w:outlineLvl w:val="2"/>
        <w:rPr>
          <w:lang w:eastAsia="zh-CN"/>
        </w:rPr>
      </w:pPr>
      <w:r>
        <w:rPr>
          <w:b/>
          <w:bCs/>
          <w:spacing w:val="-22"/>
          <w:lang w:eastAsia="zh-CN"/>
        </w:rPr>
        <w:t>三、学科竞赛</w:t>
      </w:r>
    </w:p>
    <w:p w14:paraId="1DE63CF2">
      <w:pPr>
        <w:pStyle w:val="2"/>
        <w:spacing w:before="104" w:line="360" w:lineRule="auto"/>
        <w:ind w:right="73" w:firstLine="720" w:firstLineChars="250"/>
        <w:jc w:val="both"/>
        <w:rPr>
          <w:spacing w:val="-29"/>
          <w:lang w:eastAsia="zh-CN"/>
        </w:rPr>
      </w:pPr>
      <w:r>
        <w:rPr>
          <w:spacing w:val="-16"/>
          <w:lang w:eastAsia="zh-CN"/>
        </w:rPr>
        <w:t>1.学科竞赛只认定《湖南工商大学高质量教学成果认定及计分</w:t>
      </w:r>
      <w:r>
        <w:rPr>
          <w:spacing w:val="-15"/>
          <w:lang w:eastAsia="zh-CN"/>
        </w:rPr>
        <w:t>办法》中以湖南工商大学为第一单位的国家级及以上学</w:t>
      </w:r>
      <w:r>
        <w:rPr>
          <w:spacing w:val="-16"/>
          <w:lang w:eastAsia="zh-CN"/>
        </w:rPr>
        <w:t>科竞赛（普</w:t>
      </w:r>
      <w:r>
        <w:rPr>
          <w:spacing w:val="-29"/>
          <w:lang w:eastAsia="zh-CN"/>
        </w:rPr>
        <w:t>通学科竞赛和体育类竞赛）</w:t>
      </w:r>
      <w:r>
        <w:rPr>
          <w:rFonts w:hint="eastAsia"/>
          <w:spacing w:val="-29"/>
          <w:lang w:eastAsia="zh-CN"/>
        </w:rPr>
        <w:t>。</w:t>
      </w:r>
    </w:p>
    <w:p w14:paraId="7AF4933B">
      <w:pPr>
        <w:pStyle w:val="2"/>
        <w:spacing w:before="104" w:line="360" w:lineRule="auto"/>
        <w:ind w:right="73" w:firstLine="720" w:firstLineChars="250"/>
        <w:jc w:val="both"/>
        <w:rPr>
          <w:rFonts w:hint="eastAsia"/>
          <w:spacing w:val="-16"/>
          <w:lang w:eastAsia="zh-CN"/>
        </w:rPr>
      </w:pPr>
      <w:r>
        <w:rPr>
          <w:spacing w:val="-16"/>
          <w:lang w:eastAsia="zh-CN"/>
        </w:rPr>
        <w:t>2.必须为学生本科阶段独立参加或作为主力成员参加的竞赛，学科竞赛取前八名的项目按照如下办法折算：第一名等同于一等奖，第二至三名等同于二等奖，第四至八名等同于三等奖。只设特等奖、一等奖、二等奖，不设三等奖的竞赛项目，按照同类级别降低一个等级进行奖励。如果等级为金奖、银奖、铜奖，则对应一、二、三等奖。所有赛事不重复分级和交叉认定</w:t>
      </w:r>
      <w:r>
        <w:rPr>
          <w:rFonts w:hint="eastAsia"/>
          <w:spacing w:val="-16"/>
          <w:lang w:eastAsia="zh-CN"/>
        </w:rPr>
        <w:t>。</w:t>
      </w:r>
    </w:p>
    <w:p w14:paraId="4ED4A388">
      <w:pPr>
        <w:pStyle w:val="2"/>
        <w:spacing w:before="104" w:line="360" w:lineRule="auto"/>
        <w:ind w:right="73" w:firstLine="720" w:firstLineChars="250"/>
        <w:jc w:val="both"/>
        <w:rPr>
          <w:spacing w:val="-16"/>
          <w:lang w:eastAsia="zh-CN"/>
        </w:rPr>
      </w:pPr>
      <w:r>
        <w:rPr>
          <w:rFonts w:hint="eastAsia"/>
          <w:spacing w:val="-16"/>
          <w:lang w:eastAsia="zh-CN"/>
        </w:rPr>
        <w:t>3.学科竞赛计分补充说明：如有多位主力成员（有效名次为前五），则按照排序分别计分：第一按满额业绩分计算，第二、三按照50%计算，第四、五按照25%计算；如有我校教师署名，学生排序依次前移。</w:t>
      </w:r>
    </w:p>
    <w:p w14:paraId="2ACFF179">
      <w:pPr>
        <w:pStyle w:val="2"/>
        <w:spacing w:before="193" w:line="360" w:lineRule="auto"/>
        <w:ind w:left="877"/>
        <w:outlineLvl w:val="2"/>
        <w:rPr>
          <w:lang w:eastAsia="zh-CN"/>
        </w:rPr>
      </w:pPr>
      <w:r>
        <w:rPr>
          <w:b/>
          <w:bCs/>
          <w:spacing w:val="-23"/>
          <w:lang w:eastAsia="zh-CN"/>
        </w:rPr>
        <w:t>四、学术专长成绩认定及计分标准</w:t>
      </w:r>
    </w:p>
    <w:p w14:paraId="0CA40DF9">
      <w:pPr>
        <w:pStyle w:val="2"/>
        <w:spacing w:before="184" w:line="360" w:lineRule="auto"/>
        <w:ind w:right="174" w:firstLine="432" w:firstLineChars="150"/>
        <w:jc w:val="both"/>
        <w:rPr>
          <w:spacing w:val="-18"/>
          <w:lang w:eastAsia="zh-CN"/>
        </w:rPr>
      </w:pPr>
      <w:r>
        <w:rPr>
          <w:spacing w:val="-16"/>
          <w:lang w:eastAsia="zh-CN"/>
        </w:rPr>
        <w:t>依据《湖南工商大学高水平科研成果认定与绩效核算办法》和</w:t>
      </w:r>
      <w:r>
        <w:rPr>
          <w:spacing w:val="-25"/>
          <w:lang w:eastAsia="zh-CN"/>
        </w:rPr>
        <w:t>《湖南工商大学高质量教学成果认定及计分办法》，结合学生学术专</w:t>
      </w:r>
      <w:r>
        <w:rPr>
          <w:spacing w:val="-17"/>
          <w:lang w:eastAsia="zh-CN"/>
        </w:rPr>
        <w:t>长情况确定，具体如下表1、表2、表3、表4、</w:t>
      </w:r>
      <w:r>
        <w:rPr>
          <w:spacing w:val="-18"/>
          <w:lang w:eastAsia="zh-CN"/>
        </w:rPr>
        <w:t>表5所示。</w:t>
      </w:r>
    </w:p>
    <w:p w14:paraId="36D6AC2E">
      <w:pPr>
        <w:pStyle w:val="2"/>
        <w:spacing w:before="184" w:line="360" w:lineRule="auto"/>
        <w:ind w:right="174" w:firstLine="426" w:firstLineChars="150"/>
        <w:jc w:val="both"/>
        <w:rPr>
          <w:spacing w:val="-18"/>
          <w:lang w:eastAsia="zh-CN"/>
        </w:rPr>
      </w:pPr>
    </w:p>
    <w:p w14:paraId="7F44D7D0">
      <w:pPr>
        <w:pStyle w:val="2"/>
        <w:spacing w:before="184" w:line="360" w:lineRule="auto"/>
        <w:ind w:right="174" w:firstLine="426" w:firstLineChars="150"/>
        <w:jc w:val="both"/>
        <w:rPr>
          <w:spacing w:val="-18"/>
          <w:lang w:eastAsia="zh-CN"/>
        </w:rPr>
      </w:pPr>
    </w:p>
    <w:p w14:paraId="437DBE21">
      <w:pPr>
        <w:pStyle w:val="2"/>
        <w:spacing w:before="184" w:line="360" w:lineRule="auto"/>
        <w:ind w:right="174" w:firstLine="426" w:firstLineChars="150"/>
        <w:jc w:val="both"/>
        <w:rPr>
          <w:spacing w:val="-18"/>
          <w:lang w:eastAsia="zh-CN"/>
        </w:rPr>
      </w:pPr>
    </w:p>
    <w:p w14:paraId="1A58682D">
      <w:pPr>
        <w:pStyle w:val="2"/>
        <w:spacing w:before="184" w:line="360" w:lineRule="auto"/>
        <w:ind w:right="174" w:firstLine="426" w:firstLineChars="150"/>
        <w:jc w:val="both"/>
        <w:rPr>
          <w:spacing w:val="-18"/>
          <w:lang w:eastAsia="zh-CN"/>
        </w:rPr>
      </w:pPr>
    </w:p>
    <w:p w14:paraId="0B23B99A">
      <w:pPr>
        <w:pStyle w:val="2"/>
        <w:spacing w:before="153" w:line="360" w:lineRule="auto"/>
        <w:ind w:left="2391"/>
        <w:outlineLvl w:val="3"/>
        <w:rPr>
          <w:sz w:val="28"/>
          <w:szCs w:val="28"/>
          <w:lang w:eastAsia="zh-CN"/>
        </w:rPr>
      </w:pPr>
      <w:r>
        <w:rPr>
          <w:b/>
          <w:bCs/>
          <w:spacing w:val="-20"/>
          <w:sz w:val="28"/>
          <w:szCs w:val="28"/>
          <w:lang w:eastAsia="zh-CN"/>
        </w:rPr>
        <w:t>表1科研项目立项认定范围及计分标准</w:t>
      </w:r>
    </w:p>
    <w:tbl>
      <w:tblPr>
        <w:tblStyle w:val="6"/>
        <w:tblW w:w="9097" w:type="dxa"/>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3"/>
        <w:gridCol w:w="4877"/>
        <w:gridCol w:w="2677"/>
      </w:tblGrid>
      <w:tr w14:paraId="4883C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1543" w:type="dxa"/>
          </w:tcPr>
          <w:p w14:paraId="743BD519">
            <w:pPr>
              <w:pStyle w:val="5"/>
              <w:spacing w:before="186" w:line="360" w:lineRule="auto"/>
              <w:ind w:left="560"/>
            </w:pPr>
            <w:r>
              <w:rPr>
                <w:b/>
                <w:bCs/>
                <w:spacing w:val="-12"/>
              </w:rPr>
              <w:t>级别</w:t>
            </w:r>
          </w:p>
        </w:tc>
        <w:tc>
          <w:tcPr>
            <w:tcW w:w="4877" w:type="dxa"/>
          </w:tcPr>
          <w:p w14:paraId="6365BA3D">
            <w:pPr>
              <w:pStyle w:val="5"/>
              <w:spacing w:before="185" w:line="360" w:lineRule="auto"/>
              <w:ind w:left="2003"/>
            </w:pPr>
            <w:r>
              <w:rPr>
                <w:b/>
                <w:bCs/>
                <w:spacing w:val="-16"/>
              </w:rPr>
              <w:t>项目类别</w:t>
            </w:r>
          </w:p>
        </w:tc>
        <w:tc>
          <w:tcPr>
            <w:tcW w:w="2677" w:type="dxa"/>
          </w:tcPr>
          <w:p w14:paraId="6E960943">
            <w:pPr>
              <w:pStyle w:val="5"/>
              <w:spacing w:before="185" w:line="360" w:lineRule="auto"/>
              <w:ind w:left="1128"/>
            </w:pPr>
            <w:r>
              <w:rPr>
                <w:b/>
                <w:bCs/>
                <w:spacing w:val="-11"/>
              </w:rPr>
              <w:t>计分</w:t>
            </w:r>
          </w:p>
        </w:tc>
      </w:tr>
      <w:tr w14:paraId="59CE1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543" w:type="dxa"/>
          </w:tcPr>
          <w:p w14:paraId="2A84E057">
            <w:pPr>
              <w:pStyle w:val="5"/>
              <w:spacing w:before="185" w:line="360" w:lineRule="auto"/>
              <w:ind w:left="474"/>
            </w:pPr>
            <w:r>
              <w:rPr>
                <w:spacing w:val="-21"/>
              </w:rPr>
              <w:t>国家级</w:t>
            </w:r>
          </w:p>
        </w:tc>
        <w:tc>
          <w:tcPr>
            <w:tcW w:w="4877" w:type="dxa"/>
          </w:tcPr>
          <w:p w14:paraId="78B258FD">
            <w:pPr>
              <w:pStyle w:val="5"/>
              <w:spacing w:before="182" w:line="360" w:lineRule="auto"/>
              <w:ind w:left="559"/>
              <w:rPr>
                <w:lang w:eastAsia="zh-CN"/>
              </w:rPr>
            </w:pPr>
            <w:r>
              <w:rPr>
                <w:spacing w:val="-17"/>
                <w:lang w:eastAsia="zh-CN"/>
              </w:rPr>
              <w:t>社会科学基金课题、自然科学基金课题</w:t>
            </w:r>
          </w:p>
        </w:tc>
        <w:tc>
          <w:tcPr>
            <w:tcW w:w="2677" w:type="dxa"/>
          </w:tcPr>
          <w:p w14:paraId="274A56FB">
            <w:pPr>
              <w:pStyle w:val="5"/>
              <w:spacing w:before="183" w:line="360" w:lineRule="auto"/>
              <w:ind w:left="1090"/>
            </w:pPr>
            <w:r>
              <w:rPr>
                <w:spacing w:val="-6"/>
              </w:rPr>
              <w:t>40分</w:t>
            </w:r>
          </w:p>
        </w:tc>
      </w:tr>
      <w:tr w14:paraId="7F995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543" w:type="dxa"/>
          </w:tcPr>
          <w:p w14:paraId="47070777">
            <w:pPr>
              <w:pStyle w:val="5"/>
              <w:spacing w:before="188" w:line="360" w:lineRule="auto"/>
              <w:ind w:left="449"/>
            </w:pPr>
            <w:r>
              <w:rPr>
                <w:spacing w:val="-12"/>
              </w:rPr>
              <w:t>省部级</w:t>
            </w:r>
          </w:p>
        </w:tc>
        <w:tc>
          <w:tcPr>
            <w:tcW w:w="4877" w:type="dxa"/>
          </w:tcPr>
          <w:p w14:paraId="601F8D34">
            <w:pPr>
              <w:pStyle w:val="5"/>
              <w:spacing w:before="185" w:line="360" w:lineRule="auto"/>
              <w:ind w:left="559"/>
              <w:rPr>
                <w:lang w:eastAsia="zh-CN"/>
              </w:rPr>
            </w:pPr>
            <w:r>
              <w:rPr>
                <w:spacing w:val="-17"/>
                <w:lang w:eastAsia="zh-CN"/>
              </w:rPr>
              <w:t>社会科学基金课题、自然科学基金课题</w:t>
            </w:r>
          </w:p>
        </w:tc>
        <w:tc>
          <w:tcPr>
            <w:tcW w:w="2677" w:type="dxa"/>
          </w:tcPr>
          <w:p w14:paraId="7D486E8F">
            <w:pPr>
              <w:pStyle w:val="5"/>
              <w:spacing w:before="186" w:line="360" w:lineRule="auto"/>
              <w:ind w:left="1109"/>
            </w:pPr>
            <w:r>
              <w:rPr>
                <w:spacing w:val="-12"/>
              </w:rPr>
              <w:t>10分</w:t>
            </w:r>
          </w:p>
        </w:tc>
      </w:tr>
    </w:tbl>
    <w:p w14:paraId="55C2E384">
      <w:pPr>
        <w:pStyle w:val="2"/>
        <w:spacing w:before="329" w:line="360" w:lineRule="auto"/>
        <w:ind w:left="2361"/>
        <w:outlineLvl w:val="3"/>
        <w:rPr>
          <w:rFonts w:hint="eastAsia"/>
          <w:b/>
          <w:bCs/>
          <w:spacing w:val="-18"/>
          <w:sz w:val="28"/>
          <w:szCs w:val="28"/>
          <w:lang w:eastAsia="zh-CN"/>
        </w:rPr>
      </w:pPr>
    </w:p>
    <w:p w14:paraId="64DEAB60">
      <w:pPr>
        <w:pStyle w:val="2"/>
        <w:spacing w:before="329" w:line="360" w:lineRule="auto"/>
        <w:ind w:left="2361"/>
        <w:outlineLvl w:val="3"/>
        <w:rPr>
          <w:sz w:val="28"/>
          <w:szCs w:val="28"/>
          <w:lang w:eastAsia="zh-CN"/>
        </w:rPr>
      </w:pPr>
      <w:r>
        <w:rPr>
          <w:b/>
          <w:bCs/>
          <w:spacing w:val="-18"/>
          <w:sz w:val="28"/>
          <w:szCs w:val="28"/>
          <w:lang w:eastAsia="zh-CN"/>
        </w:rPr>
        <w:t>表2学术论文成果认定范围及计分标准</w:t>
      </w:r>
    </w:p>
    <w:tbl>
      <w:tblPr>
        <w:tblStyle w:val="6"/>
        <w:tblW w:w="925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6"/>
        <w:gridCol w:w="6946"/>
        <w:gridCol w:w="997"/>
        <w:gridCol w:w="33"/>
      </w:tblGrid>
      <w:tr w14:paraId="125F6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3" w:type="dxa"/>
          <w:trHeight w:val="453" w:hRule="atLeast"/>
        </w:trPr>
        <w:tc>
          <w:tcPr>
            <w:tcW w:w="1276" w:type="dxa"/>
            <w:vAlign w:val="center"/>
          </w:tcPr>
          <w:p w14:paraId="01F6894D">
            <w:pPr>
              <w:pStyle w:val="5"/>
              <w:spacing w:before="104" w:line="360" w:lineRule="auto"/>
              <w:ind w:left="541"/>
            </w:pPr>
            <w:r>
              <w:rPr>
                <w:b/>
                <w:bCs/>
                <w:spacing w:val="-12"/>
              </w:rPr>
              <w:t>级别</w:t>
            </w:r>
          </w:p>
        </w:tc>
        <w:tc>
          <w:tcPr>
            <w:tcW w:w="6946" w:type="dxa"/>
            <w:vAlign w:val="center"/>
          </w:tcPr>
          <w:p w14:paraId="04FB4F5F">
            <w:pPr>
              <w:pStyle w:val="5"/>
              <w:spacing w:before="104" w:line="360" w:lineRule="auto"/>
              <w:ind w:left="2908"/>
            </w:pPr>
            <w:r>
              <w:rPr>
                <w:b/>
                <w:bCs/>
                <w:spacing w:val="-11"/>
              </w:rPr>
              <w:t>期刊</w:t>
            </w:r>
          </w:p>
        </w:tc>
        <w:tc>
          <w:tcPr>
            <w:tcW w:w="997" w:type="dxa"/>
            <w:vAlign w:val="center"/>
          </w:tcPr>
          <w:p w14:paraId="219DEE0A">
            <w:pPr>
              <w:pStyle w:val="5"/>
              <w:spacing w:before="104" w:line="360" w:lineRule="auto"/>
              <w:jc w:val="center"/>
            </w:pPr>
            <w:r>
              <w:rPr>
                <w:b/>
                <w:bCs/>
                <w:spacing w:val="-11"/>
              </w:rPr>
              <w:t>计分</w:t>
            </w:r>
          </w:p>
        </w:tc>
      </w:tr>
      <w:tr w14:paraId="46708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3" w:type="dxa"/>
          <w:trHeight w:val="385" w:hRule="atLeast"/>
        </w:trPr>
        <w:tc>
          <w:tcPr>
            <w:tcW w:w="1276" w:type="dxa"/>
            <w:vMerge w:val="restart"/>
            <w:tcBorders>
              <w:bottom w:val="nil"/>
            </w:tcBorders>
            <w:vAlign w:val="center"/>
          </w:tcPr>
          <w:p w14:paraId="582A2AAC">
            <w:pPr>
              <w:pStyle w:val="5"/>
              <w:spacing w:before="78" w:line="360" w:lineRule="auto"/>
              <w:ind w:left="318"/>
            </w:pPr>
            <w:r>
              <w:rPr>
                <w:spacing w:val="-14"/>
              </w:rPr>
              <w:t>顶尖期刊</w:t>
            </w:r>
          </w:p>
        </w:tc>
        <w:tc>
          <w:tcPr>
            <w:tcW w:w="6946" w:type="dxa"/>
            <w:vAlign w:val="center"/>
          </w:tcPr>
          <w:p w14:paraId="1238F55E">
            <w:pPr>
              <w:pStyle w:val="5"/>
              <w:spacing w:before="107" w:line="360" w:lineRule="auto"/>
              <w:ind w:left="100"/>
              <w:rPr>
                <w:lang w:val="fr-FR"/>
              </w:rPr>
            </w:pPr>
            <w:r>
              <w:rPr>
                <w:spacing w:val="-8"/>
                <w:lang w:val="fr-FR"/>
              </w:rPr>
              <w:t>Nature</w:t>
            </w:r>
            <w:r>
              <w:rPr>
                <w:spacing w:val="-8"/>
              </w:rPr>
              <w:t>、</w:t>
            </w:r>
            <w:r>
              <w:rPr>
                <w:spacing w:val="-8"/>
                <w:lang w:val="fr-FR"/>
              </w:rPr>
              <w:t>Science</w:t>
            </w:r>
            <w:r>
              <w:rPr>
                <w:spacing w:val="-8"/>
              </w:rPr>
              <w:t>、</w:t>
            </w:r>
            <w:r>
              <w:rPr>
                <w:spacing w:val="-8"/>
                <w:lang w:val="fr-FR"/>
              </w:rPr>
              <w:t>Cell</w:t>
            </w:r>
          </w:p>
        </w:tc>
        <w:tc>
          <w:tcPr>
            <w:tcW w:w="997" w:type="dxa"/>
            <w:vMerge w:val="restart"/>
            <w:tcBorders>
              <w:bottom w:val="nil"/>
            </w:tcBorders>
            <w:vAlign w:val="center"/>
          </w:tcPr>
          <w:p w14:paraId="0E0B869E">
            <w:pPr>
              <w:pStyle w:val="5"/>
              <w:spacing w:before="78" w:line="360" w:lineRule="auto"/>
              <w:jc w:val="center"/>
            </w:pPr>
            <w:r>
              <w:rPr>
                <w:spacing w:val="-6"/>
              </w:rPr>
              <w:t>40分</w:t>
            </w:r>
          </w:p>
        </w:tc>
      </w:tr>
      <w:tr w14:paraId="1964F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3" w:type="dxa"/>
          <w:trHeight w:val="509" w:hRule="atLeast"/>
        </w:trPr>
        <w:tc>
          <w:tcPr>
            <w:tcW w:w="1276" w:type="dxa"/>
            <w:vMerge w:val="continue"/>
            <w:tcBorders>
              <w:top w:val="nil"/>
            </w:tcBorders>
            <w:vAlign w:val="center"/>
          </w:tcPr>
          <w:p w14:paraId="11D6E4B0">
            <w:pPr>
              <w:spacing w:line="360" w:lineRule="auto"/>
              <w:rPr>
                <w:rFonts w:ascii="仿宋_GB2312" w:hAnsi="仿宋_GB2312" w:eastAsia="仿宋_GB2312"/>
                <w:snapToGrid w:val="0"/>
                <w:color w:val="000000"/>
                <w:lang w:eastAsia="en-US"/>
              </w:rPr>
            </w:pPr>
          </w:p>
        </w:tc>
        <w:tc>
          <w:tcPr>
            <w:tcW w:w="6946" w:type="dxa"/>
            <w:vAlign w:val="center"/>
          </w:tcPr>
          <w:p w14:paraId="33197363">
            <w:pPr>
              <w:pStyle w:val="5"/>
              <w:spacing w:before="131" w:line="360" w:lineRule="auto"/>
              <w:ind w:left="110"/>
            </w:pPr>
            <w:r>
              <w:rPr>
                <w:spacing w:val="-15"/>
              </w:rPr>
              <w:t>《中国社会科学》</w:t>
            </w:r>
          </w:p>
        </w:tc>
        <w:tc>
          <w:tcPr>
            <w:tcW w:w="997" w:type="dxa"/>
            <w:vMerge w:val="continue"/>
            <w:tcBorders>
              <w:top w:val="nil"/>
            </w:tcBorders>
            <w:vAlign w:val="center"/>
          </w:tcPr>
          <w:p w14:paraId="7CC2CBFF">
            <w:pPr>
              <w:spacing w:line="360" w:lineRule="auto"/>
              <w:jc w:val="center"/>
              <w:rPr>
                <w:rFonts w:ascii="仿宋_GB2312" w:hAnsi="仿宋_GB2312" w:eastAsia="仿宋_GB2312"/>
                <w:snapToGrid w:val="0"/>
                <w:color w:val="000000"/>
                <w:lang w:eastAsia="en-US"/>
              </w:rPr>
            </w:pPr>
          </w:p>
        </w:tc>
      </w:tr>
      <w:tr w14:paraId="4BDE2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3" w:type="dxa"/>
          <w:trHeight w:val="1078" w:hRule="atLeast"/>
        </w:trPr>
        <w:tc>
          <w:tcPr>
            <w:tcW w:w="1276" w:type="dxa"/>
            <w:vAlign w:val="center"/>
          </w:tcPr>
          <w:p w14:paraId="365427F9">
            <w:pPr>
              <w:spacing w:line="360" w:lineRule="auto"/>
              <w:jc w:val="center"/>
              <w:rPr>
                <w:rFonts w:ascii="仿宋_GB2312" w:hAnsi="仿宋_GB2312" w:eastAsia="仿宋_GB2312"/>
                <w:snapToGrid w:val="0"/>
                <w:color w:val="000000"/>
                <w:lang w:eastAsia="en-US"/>
              </w:rPr>
            </w:pPr>
          </w:p>
          <w:p w14:paraId="3FB9AB0F">
            <w:pPr>
              <w:jc w:val="center"/>
              <w:rPr>
                <w:rFonts w:ascii="仿宋_GB2312" w:hAnsi="仿宋_GB2312" w:eastAsia="仿宋_GB2312"/>
                <w:snapToGrid w:val="0"/>
                <w:color w:val="000000"/>
                <w:lang w:eastAsia="en-US"/>
              </w:rPr>
            </w:pPr>
            <w:r>
              <w:rPr>
                <w:rFonts w:ascii="仿宋_GB2312" w:hAnsi="仿宋_GB2312" w:eastAsia="仿宋_GB2312"/>
                <w:snapToGrid w:val="0"/>
                <w:color w:val="000000"/>
                <w:lang w:eastAsia="en-US"/>
              </w:rPr>
              <w:t>顶级期刊</w:t>
            </w:r>
          </w:p>
        </w:tc>
        <w:tc>
          <w:tcPr>
            <w:tcW w:w="6946" w:type="dxa"/>
            <w:vAlign w:val="center"/>
          </w:tcPr>
          <w:p w14:paraId="557491EC">
            <w:pPr>
              <w:spacing w:before="133" w:line="360" w:lineRule="auto"/>
              <w:ind w:left="116" w:right="81"/>
              <w:rPr>
                <w:rFonts w:ascii="仿宋_GB2312" w:hAnsi="仿宋_GB2312" w:eastAsia="仿宋_GB2312"/>
                <w:snapToGrid w:val="0"/>
                <w:color w:val="000000"/>
                <w:lang w:eastAsia="en-US"/>
              </w:rPr>
            </w:pPr>
            <w:r>
              <w:rPr>
                <w:rFonts w:ascii="仿宋_GB2312" w:hAnsi="仿宋_GB2312" w:eastAsia="仿宋_GB2312" w:cs="PingFang SC"/>
                <w:snapToGrid w:val="0"/>
                <w:color w:val="000000"/>
                <w:spacing w:val="-18"/>
                <w:sz w:val="24"/>
                <w:lang w:eastAsia="en-US"/>
              </w:rPr>
              <w:t>《求是》《中国科学》等24种中文期刊;Nature、Science、Cell系列子刊及经济学、数学、计算机、化学、物理学等领域的36种外文期刊;UT/Dallas界定的24种外文期刊</w:t>
            </w:r>
          </w:p>
        </w:tc>
        <w:tc>
          <w:tcPr>
            <w:tcW w:w="997" w:type="dxa"/>
            <w:vAlign w:val="center"/>
          </w:tcPr>
          <w:p w14:paraId="60FA8FAC">
            <w:pPr>
              <w:pStyle w:val="5"/>
              <w:spacing w:before="78" w:line="360" w:lineRule="auto"/>
              <w:jc w:val="center"/>
            </w:pPr>
            <w:r>
              <w:rPr>
                <w:spacing w:val="-7"/>
              </w:rPr>
              <w:t>20分</w:t>
            </w:r>
          </w:p>
        </w:tc>
      </w:tr>
      <w:tr w14:paraId="56AC3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3" w:type="dxa"/>
          <w:trHeight w:val="1574" w:hRule="atLeast"/>
        </w:trPr>
        <w:tc>
          <w:tcPr>
            <w:tcW w:w="1276" w:type="dxa"/>
            <w:vAlign w:val="center"/>
          </w:tcPr>
          <w:p w14:paraId="10A0E925">
            <w:pPr>
              <w:jc w:val="center"/>
              <w:rPr>
                <w:rFonts w:ascii="仿宋_GB2312" w:hAnsi="仿宋_GB2312" w:eastAsia="仿宋_GB2312"/>
                <w:snapToGrid w:val="0"/>
                <w:color w:val="000000"/>
                <w:lang w:eastAsia="en-US"/>
              </w:rPr>
            </w:pPr>
            <w:r>
              <w:rPr>
                <w:rFonts w:ascii="仿宋_GB2312" w:hAnsi="仿宋_GB2312" w:eastAsia="仿宋_GB2312"/>
                <w:snapToGrid w:val="0"/>
                <w:color w:val="000000"/>
                <w:lang w:eastAsia="en-US"/>
              </w:rPr>
              <w:t>权威期刊</w:t>
            </w:r>
          </w:p>
        </w:tc>
        <w:tc>
          <w:tcPr>
            <w:tcW w:w="6946" w:type="dxa"/>
            <w:vAlign w:val="center"/>
          </w:tcPr>
          <w:p w14:paraId="2C0516C7">
            <w:pPr>
              <w:spacing w:before="133" w:line="360" w:lineRule="auto"/>
              <w:ind w:left="116" w:right="81"/>
              <w:rPr>
                <w:rFonts w:ascii="仿宋_GB2312" w:hAnsi="仿宋_GB2312" w:eastAsia="仿宋_GB2312"/>
                <w:snapToGrid w:val="0"/>
                <w:color w:val="000000"/>
                <w:lang w:eastAsia="zh-CN"/>
              </w:rPr>
            </w:pPr>
            <w:r>
              <w:rPr>
                <w:rFonts w:ascii="仿宋_GB2312" w:hAnsi="仿宋_GB2312" w:eastAsia="仿宋_GB2312" w:cs="PingFang SC"/>
                <w:snapToGrid w:val="0"/>
                <w:color w:val="000000"/>
                <w:spacing w:val="-18"/>
                <w:sz w:val="24"/>
                <w:lang w:eastAsia="zh-CN"/>
              </w:rPr>
              <w:t>最新一轮学科评估指标体系中的A类期刊；金融时报期刊(FinancialTimes);ABS四星级期刊；最新一轮学科评估指标体系中的A类会议论文；其他学科代表性外文期刊；ESI前0.1%高被引论文(视同为权威期刊论文)</w:t>
            </w:r>
          </w:p>
        </w:tc>
        <w:tc>
          <w:tcPr>
            <w:tcW w:w="997" w:type="dxa"/>
            <w:vAlign w:val="center"/>
          </w:tcPr>
          <w:p w14:paraId="340E6901">
            <w:pPr>
              <w:pStyle w:val="5"/>
              <w:spacing w:before="78" w:line="360" w:lineRule="auto"/>
              <w:jc w:val="center"/>
            </w:pPr>
            <w:r>
              <w:rPr>
                <w:spacing w:val="-12"/>
              </w:rPr>
              <w:t>10分</w:t>
            </w:r>
          </w:p>
        </w:tc>
      </w:tr>
      <w:tr w14:paraId="418A6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4" w:hRule="atLeast"/>
        </w:trPr>
        <w:tc>
          <w:tcPr>
            <w:tcW w:w="1276" w:type="dxa"/>
            <w:vAlign w:val="center"/>
          </w:tcPr>
          <w:p w14:paraId="14547115">
            <w:pPr>
              <w:spacing w:before="109" w:line="360" w:lineRule="auto"/>
              <w:ind w:firstLine="210" w:firstLineChars="10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5"/>
                <w:sz w:val="24"/>
                <w:lang w:eastAsia="en-US"/>
              </w:rPr>
              <w:t>重要期刊</w:t>
            </w:r>
          </w:p>
        </w:tc>
        <w:tc>
          <w:tcPr>
            <w:tcW w:w="6946" w:type="dxa"/>
            <w:vAlign w:val="center"/>
          </w:tcPr>
          <w:p w14:paraId="50C372A2">
            <w:pPr>
              <w:spacing w:before="133" w:line="360" w:lineRule="auto"/>
              <w:ind w:left="116" w:right="81"/>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8"/>
                <w:sz w:val="24"/>
                <w:lang w:eastAsia="en-US"/>
              </w:rPr>
              <w:t>在学科领域有重要影响力的中文期刊；ABS 三星级期刊；科睿</w:t>
            </w:r>
            <w:r>
              <w:rPr>
                <w:rFonts w:ascii="仿宋_GB2312" w:hAnsi="仿宋_GB2312" w:eastAsia="仿宋_GB2312" w:cs="PingFang SC"/>
                <w:snapToGrid w:val="0"/>
                <w:color w:val="000000"/>
                <w:spacing w:val="-10"/>
                <w:sz w:val="24"/>
                <w:lang w:eastAsia="en-US"/>
              </w:rPr>
              <w:t>唯安 JCR(JournalCitationReports)当年期刊分区中，同时</w:t>
            </w:r>
            <w:r>
              <w:rPr>
                <w:rFonts w:ascii="仿宋_GB2312" w:hAnsi="仿宋_GB2312" w:eastAsia="仿宋_GB2312" w:cs="PingFang SC"/>
                <w:snapToGrid w:val="0"/>
                <w:color w:val="000000"/>
                <w:spacing w:val="-17"/>
                <w:sz w:val="24"/>
                <w:lang w:eastAsia="en-US"/>
              </w:rPr>
              <w:t>满足JCR 分区为Q1 且JIF 百分位≥90%两项条</w:t>
            </w:r>
            <w:r>
              <w:rPr>
                <w:rFonts w:ascii="仿宋_GB2312" w:hAnsi="仿宋_GB2312" w:eastAsia="仿宋_GB2312" w:cs="PingFang SC"/>
                <w:snapToGrid w:val="0"/>
                <w:color w:val="000000"/>
                <w:spacing w:val="-18"/>
                <w:sz w:val="24"/>
                <w:lang w:eastAsia="en-US"/>
              </w:rPr>
              <w:t>件的期刊；ESI</w:t>
            </w:r>
            <w:r>
              <w:rPr>
                <w:rFonts w:ascii="仿宋_GB2312" w:hAnsi="仿宋_GB2312" w:eastAsia="仿宋_GB2312" w:cs="PingFang SC"/>
                <w:snapToGrid w:val="0"/>
                <w:color w:val="000000"/>
                <w:spacing w:val="-17"/>
                <w:sz w:val="24"/>
                <w:lang w:eastAsia="en-US"/>
              </w:rPr>
              <w:t>前 1%高被引论文(视同为重要期刊论文)</w:t>
            </w:r>
          </w:p>
        </w:tc>
        <w:tc>
          <w:tcPr>
            <w:tcW w:w="1030" w:type="dxa"/>
            <w:gridSpan w:val="2"/>
            <w:vAlign w:val="center"/>
          </w:tcPr>
          <w:p w14:paraId="1449CFFD">
            <w:pPr>
              <w:spacing w:before="109" w:line="360" w:lineRule="auto"/>
              <w:jc w:val="center"/>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6"/>
                <w:sz w:val="24"/>
                <w:lang w:eastAsia="en-US"/>
              </w:rPr>
              <w:t>5分</w:t>
            </w:r>
          </w:p>
        </w:tc>
      </w:tr>
      <w:tr w14:paraId="0D133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2" w:hRule="atLeast"/>
        </w:trPr>
        <w:tc>
          <w:tcPr>
            <w:tcW w:w="1276" w:type="dxa"/>
            <w:vAlign w:val="center"/>
          </w:tcPr>
          <w:p w14:paraId="4BDE1DBE">
            <w:pPr>
              <w:spacing w:before="109" w:line="360" w:lineRule="auto"/>
              <w:ind w:firstLine="214" w:firstLineChars="10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sz w:val="24"/>
                <w:lang w:eastAsia="en-US"/>
              </w:rPr>
              <w:t>核心期刊</w:t>
            </w:r>
          </w:p>
        </w:tc>
        <w:tc>
          <w:tcPr>
            <w:tcW w:w="6946" w:type="dxa"/>
            <w:vAlign w:val="center"/>
          </w:tcPr>
          <w:p w14:paraId="4D74DA87">
            <w:pPr>
              <w:spacing w:before="290" w:line="360" w:lineRule="auto"/>
              <w:ind w:left="115" w:right="8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7"/>
                <w:sz w:val="24"/>
                <w:lang w:eastAsia="zh-CN"/>
              </w:rPr>
              <w:t>南京大学中国社会科学研究评价中心最新发布的《中文社会科</w:t>
            </w:r>
            <w:r>
              <w:rPr>
                <w:rFonts w:ascii="仿宋_GB2312" w:hAnsi="仿宋_GB2312" w:eastAsia="仿宋_GB2312" w:cs="PingFang SC"/>
                <w:snapToGrid w:val="0"/>
                <w:color w:val="000000"/>
                <w:spacing w:val="-11"/>
                <w:sz w:val="24"/>
                <w:lang w:eastAsia="zh-CN"/>
              </w:rPr>
              <w:t>学引文索引(CSSCI)来源期刊(核心版)》(简称CSSCI 核心)收</w:t>
            </w:r>
            <w:r>
              <w:rPr>
                <w:rFonts w:ascii="仿宋_GB2312" w:hAnsi="仿宋_GB2312" w:eastAsia="仿宋_GB2312" w:cs="PingFang SC"/>
                <w:snapToGrid w:val="0"/>
                <w:color w:val="000000"/>
                <w:spacing w:val="-18"/>
                <w:sz w:val="24"/>
                <w:lang w:eastAsia="zh-CN"/>
              </w:rPr>
              <w:t>录的期刊；中国科学院文献情报中心研制的《中国科学</w:t>
            </w:r>
            <w:r>
              <w:rPr>
                <w:rFonts w:ascii="仿宋_GB2312" w:hAnsi="仿宋_GB2312" w:eastAsia="仿宋_GB2312" w:cs="PingFang SC"/>
                <w:snapToGrid w:val="0"/>
                <w:color w:val="000000"/>
                <w:spacing w:val="-19"/>
                <w:sz w:val="24"/>
                <w:lang w:eastAsia="zh-CN"/>
              </w:rPr>
              <w:t>引文数</w:t>
            </w:r>
            <w:r>
              <w:rPr>
                <w:rFonts w:ascii="仿宋_GB2312" w:hAnsi="仿宋_GB2312" w:eastAsia="仿宋_GB2312" w:cs="PingFang SC"/>
                <w:snapToGrid w:val="0"/>
                <w:color w:val="000000"/>
                <w:spacing w:val="-21"/>
                <w:sz w:val="24"/>
                <w:lang w:eastAsia="zh-CN"/>
              </w:rPr>
              <w:t>据库(CSCD)来源期刊(核心库)》(简称CSCD 核心)收录的期刊；</w:t>
            </w:r>
            <w:r>
              <w:rPr>
                <w:rFonts w:ascii="仿宋_GB2312" w:hAnsi="仿宋_GB2312" w:eastAsia="仿宋_GB2312" w:cs="PingFang SC"/>
                <w:snapToGrid w:val="0"/>
                <w:color w:val="000000"/>
                <w:spacing w:val="-9"/>
                <w:sz w:val="24"/>
                <w:lang w:eastAsia="zh-CN"/>
              </w:rPr>
              <w:t>科睿唯安JCR(JournalCitationReports)当年期</w:t>
            </w:r>
            <w:r>
              <w:rPr>
                <w:rFonts w:ascii="仿宋_GB2312" w:hAnsi="仿宋_GB2312" w:eastAsia="仿宋_GB2312" w:cs="PingFang SC"/>
                <w:snapToGrid w:val="0"/>
                <w:color w:val="000000"/>
                <w:spacing w:val="-10"/>
                <w:sz w:val="24"/>
                <w:lang w:eastAsia="zh-CN"/>
              </w:rPr>
              <w:t>刊分区中，</w:t>
            </w:r>
            <w:r>
              <w:rPr>
                <w:rFonts w:ascii="仿宋_GB2312" w:hAnsi="仿宋_GB2312" w:eastAsia="仿宋_GB2312" w:cs="PingFang SC"/>
                <w:snapToGrid w:val="0"/>
                <w:color w:val="000000"/>
                <w:spacing w:val="-23"/>
                <w:sz w:val="24"/>
                <w:lang w:eastAsia="zh-CN"/>
              </w:rPr>
              <w:t>同时满足JCR 分区为Q1 且JIF 百分位≥75%并&lt;90%两项条件的</w:t>
            </w:r>
            <w:r>
              <w:rPr>
                <w:rFonts w:ascii="仿宋_GB2312" w:hAnsi="仿宋_GB2312" w:eastAsia="仿宋_GB2312" w:cs="PingFang SC"/>
                <w:snapToGrid w:val="0"/>
                <w:color w:val="000000"/>
                <w:spacing w:val="-17"/>
                <w:sz w:val="24"/>
                <w:lang w:eastAsia="zh-CN"/>
              </w:rPr>
              <w:t>期刊；艺术与人文引文索引(A&amp;HCI)收录的期刊</w:t>
            </w:r>
          </w:p>
        </w:tc>
        <w:tc>
          <w:tcPr>
            <w:tcW w:w="1030" w:type="dxa"/>
            <w:gridSpan w:val="2"/>
            <w:vAlign w:val="center"/>
          </w:tcPr>
          <w:p w14:paraId="0522F612">
            <w:pPr>
              <w:spacing w:before="109" w:line="360" w:lineRule="auto"/>
              <w:jc w:val="center"/>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6"/>
                <w:sz w:val="24"/>
                <w:lang w:eastAsia="en-US"/>
              </w:rPr>
              <w:t>3分</w:t>
            </w:r>
          </w:p>
        </w:tc>
      </w:tr>
      <w:tr w14:paraId="02F83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6" w:hRule="atLeast"/>
        </w:trPr>
        <w:tc>
          <w:tcPr>
            <w:tcW w:w="1276" w:type="dxa"/>
            <w:vAlign w:val="center"/>
          </w:tcPr>
          <w:p w14:paraId="3D208D02">
            <w:pPr>
              <w:spacing w:before="109" w:line="360" w:lineRule="auto"/>
              <w:ind w:firstLine="212" w:firstLineChars="10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一般期刊</w:t>
            </w:r>
          </w:p>
        </w:tc>
        <w:tc>
          <w:tcPr>
            <w:tcW w:w="6946" w:type="dxa"/>
            <w:vAlign w:val="center"/>
          </w:tcPr>
          <w:p w14:paraId="64A066DE">
            <w:pPr>
              <w:spacing w:before="180" w:line="360" w:lineRule="auto"/>
              <w:ind w:left="110" w:firstLine="16"/>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7"/>
                <w:sz w:val="24"/>
                <w:lang w:eastAsia="zh-CN"/>
              </w:rPr>
              <w:t>南京大学中国社会科学研究评价中心最新发</w:t>
            </w:r>
            <w:r>
              <w:rPr>
                <w:rFonts w:ascii="仿宋_GB2312" w:hAnsi="仿宋_GB2312" w:eastAsia="仿宋_GB2312" w:cs="PingFang SC"/>
                <w:snapToGrid w:val="0"/>
                <w:color w:val="000000"/>
                <w:spacing w:val="-18"/>
                <w:sz w:val="24"/>
                <w:lang w:eastAsia="zh-CN"/>
              </w:rPr>
              <w:t>布的《中文社会科</w:t>
            </w:r>
            <w:r>
              <w:rPr>
                <w:rFonts w:ascii="仿宋_GB2312" w:hAnsi="仿宋_GB2312" w:eastAsia="仿宋_GB2312" w:cs="PingFang SC"/>
                <w:snapToGrid w:val="0"/>
                <w:color w:val="000000"/>
                <w:spacing w:val="-11"/>
                <w:sz w:val="24"/>
                <w:lang w:eastAsia="zh-CN"/>
              </w:rPr>
              <w:t>学引文索引(CSSCI)来源期刊(扩展版)》(简称CSSCI 扩展)收</w:t>
            </w:r>
            <w:r>
              <w:rPr>
                <w:rFonts w:ascii="仿宋_GB2312" w:hAnsi="仿宋_GB2312" w:eastAsia="仿宋_GB2312" w:cs="PingFang SC"/>
                <w:snapToGrid w:val="0"/>
                <w:color w:val="000000"/>
                <w:spacing w:val="-18"/>
                <w:sz w:val="24"/>
                <w:lang w:eastAsia="zh-CN"/>
              </w:rPr>
              <w:t>录的期刊；中国科学院文献情报中心研制的《中国</w:t>
            </w:r>
            <w:r>
              <w:rPr>
                <w:rFonts w:ascii="仿宋_GB2312" w:hAnsi="仿宋_GB2312" w:eastAsia="仿宋_GB2312" w:cs="PingFang SC"/>
                <w:snapToGrid w:val="0"/>
                <w:color w:val="000000"/>
                <w:spacing w:val="-19"/>
                <w:sz w:val="24"/>
                <w:lang w:eastAsia="zh-CN"/>
              </w:rPr>
              <w:t>科学引文数据库(CSCD)来源期刊(扩展库)》(简称CSCD 扩展</w:t>
            </w:r>
            <w:r>
              <w:rPr>
                <w:rFonts w:ascii="仿宋_GB2312" w:hAnsi="仿宋_GB2312" w:eastAsia="仿宋_GB2312" w:cs="PingFang SC"/>
                <w:snapToGrid w:val="0"/>
                <w:color w:val="000000"/>
                <w:spacing w:val="-20"/>
                <w:sz w:val="24"/>
                <w:lang w:eastAsia="zh-CN"/>
              </w:rPr>
              <w:t>)收录的期刊；</w:t>
            </w:r>
            <w:r>
              <w:rPr>
                <w:rFonts w:ascii="仿宋_GB2312" w:hAnsi="仿宋_GB2312" w:eastAsia="仿宋_GB2312" w:cs="PingFang SC"/>
                <w:snapToGrid w:val="0"/>
                <w:color w:val="000000"/>
                <w:spacing w:val="-15"/>
                <w:sz w:val="24"/>
                <w:lang w:eastAsia="zh-CN"/>
              </w:rPr>
              <w:t>《中文核心期刊要目总览》(简称北大核心)收录的期刊；科睿</w:t>
            </w:r>
            <w:r>
              <w:rPr>
                <w:rFonts w:ascii="仿宋_GB2312" w:hAnsi="仿宋_GB2312" w:eastAsia="仿宋_GB2312" w:cs="PingFang SC"/>
                <w:snapToGrid w:val="0"/>
                <w:color w:val="000000"/>
                <w:spacing w:val="-14"/>
                <w:sz w:val="24"/>
                <w:lang w:eastAsia="zh-CN"/>
              </w:rPr>
              <w:t>唯</w:t>
            </w:r>
            <w:r>
              <w:rPr>
                <w:rFonts w:ascii="仿宋_GB2312" w:hAnsi="仿宋_GB2312" w:eastAsia="仿宋_GB2312" w:cs="PingFang SC"/>
                <w:snapToGrid w:val="0"/>
                <w:color w:val="000000"/>
                <w:spacing w:val="-13"/>
                <w:sz w:val="24"/>
                <w:lang w:eastAsia="zh-CN"/>
              </w:rPr>
              <w:t xml:space="preserve">安JCR(JournalCitationReports)当年期刊分区中，JCR </w:t>
            </w:r>
            <w:r>
              <w:rPr>
                <w:rFonts w:ascii="仿宋_GB2312" w:hAnsi="仿宋_GB2312" w:eastAsia="仿宋_GB2312" w:cs="PingFang SC"/>
                <w:snapToGrid w:val="0"/>
                <w:color w:val="000000"/>
                <w:spacing w:val="-12"/>
                <w:sz w:val="24"/>
                <w:lang w:eastAsia="zh-CN"/>
              </w:rPr>
              <w:t>分</w:t>
            </w:r>
            <w:r>
              <w:rPr>
                <w:rFonts w:ascii="仿宋_GB2312" w:hAnsi="仿宋_GB2312" w:eastAsia="仿宋_GB2312" w:cs="PingFang SC"/>
                <w:snapToGrid w:val="0"/>
                <w:color w:val="000000"/>
                <w:spacing w:val="-30"/>
                <w:sz w:val="24"/>
                <w:lang w:eastAsia="zh-CN"/>
              </w:rPr>
              <w:t>区为Q2、Q3 收录的期刊；《商学研究》</w:t>
            </w:r>
          </w:p>
        </w:tc>
        <w:tc>
          <w:tcPr>
            <w:tcW w:w="1030" w:type="dxa"/>
            <w:gridSpan w:val="2"/>
            <w:vAlign w:val="center"/>
          </w:tcPr>
          <w:p w14:paraId="35B848BD">
            <w:pPr>
              <w:spacing w:before="180" w:line="360" w:lineRule="auto"/>
              <w:ind w:right="85" w:firstLine="303" w:firstLineChars="15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9"/>
                <w:sz w:val="24"/>
                <w:lang w:eastAsia="en-US"/>
              </w:rPr>
              <w:t>1 分</w:t>
            </w:r>
          </w:p>
        </w:tc>
      </w:tr>
    </w:tbl>
    <w:p w14:paraId="3DD6E802">
      <w:pPr>
        <w:spacing w:before="330" w:line="360" w:lineRule="auto"/>
        <w:jc w:val="both"/>
        <w:outlineLvl w:val="3"/>
        <w:rPr>
          <w:rFonts w:ascii="仿宋_GB2312" w:hAnsi="仿宋_GB2312" w:eastAsia="仿宋_GB2312" w:cs="PingFang SC"/>
          <w:b/>
          <w:bCs/>
          <w:spacing w:val="-22"/>
          <w:sz w:val="28"/>
          <w:szCs w:val="28"/>
        </w:rPr>
        <w:sectPr>
          <w:headerReference r:id="rId3" w:type="default"/>
          <w:footerReference r:id="rId4" w:type="default"/>
          <w:pgSz w:w="11906" w:h="16838"/>
          <w:pgMar w:top="1134" w:right="1418" w:bottom="1259" w:left="1418" w:header="851" w:footer="992" w:gutter="0"/>
          <w:cols w:space="720" w:num="1"/>
          <w:docGrid w:type="lines" w:linePitch="0" w:charSpace="0"/>
        </w:sectPr>
      </w:pPr>
    </w:p>
    <w:p w14:paraId="6752AB05">
      <w:pPr>
        <w:spacing w:before="330" w:line="360" w:lineRule="auto"/>
        <w:jc w:val="center"/>
        <w:outlineLvl w:val="3"/>
        <w:rPr>
          <w:rFonts w:ascii="仿宋_GB2312" w:hAnsi="仿宋_GB2312" w:eastAsia="仿宋_GB2312" w:cs="PingFang SC"/>
          <w:sz w:val="28"/>
          <w:szCs w:val="28"/>
        </w:rPr>
      </w:pPr>
      <w:r>
        <w:rPr>
          <w:rFonts w:ascii="仿宋_GB2312" w:hAnsi="仿宋_GB2312" w:eastAsia="仿宋_GB2312" w:cs="PingFang SC"/>
          <w:b/>
          <w:bCs/>
          <w:spacing w:val="-22"/>
          <w:sz w:val="28"/>
          <w:szCs w:val="28"/>
        </w:rPr>
        <w:t>表3学科竞赛认定范围及计分标准</w:t>
      </w:r>
    </w:p>
    <w:tbl>
      <w:tblPr>
        <w:tblStyle w:val="6"/>
        <w:tblW w:w="928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6"/>
        <w:gridCol w:w="612"/>
        <w:gridCol w:w="1112"/>
        <w:gridCol w:w="1234"/>
        <w:gridCol w:w="5541"/>
      </w:tblGrid>
      <w:tr w14:paraId="6267D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786" w:type="dxa"/>
            <w:vAlign w:val="center"/>
          </w:tcPr>
          <w:p w14:paraId="2308EE6C">
            <w:pPr>
              <w:spacing w:before="108" w:line="360" w:lineRule="auto"/>
              <w:ind w:left="182"/>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0"/>
                <w:sz w:val="24"/>
                <w:lang w:eastAsia="en-US"/>
              </w:rPr>
              <w:t>类别</w:t>
            </w:r>
          </w:p>
        </w:tc>
        <w:tc>
          <w:tcPr>
            <w:tcW w:w="1724" w:type="dxa"/>
            <w:gridSpan w:val="2"/>
            <w:vAlign w:val="center"/>
          </w:tcPr>
          <w:p w14:paraId="273DD949">
            <w:pPr>
              <w:spacing w:before="108" w:line="360" w:lineRule="auto"/>
              <w:ind w:left="65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0"/>
                <w:sz w:val="24"/>
                <w:lang w:eastAsia="en-US"/>
              </w:rPr>
              <w:t>级别</w:t>
            </w:r>
          </w:p>
        </w:tc>
        <w:tc>
          <w:tcPr>
            <w:tcW w:w="1234" w:type="dxa"/>
            <w:vAlign w:val="center"/>
          </w:tcPr>
          <w:p w14:paraId="6806DF6E">
            <w:pPr>
              <w:spacing w:before="108" w:line="360" w:lineRule="auto"/>
              <w:ind w:left="181"/>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sz w:val="24"/>
                <w:lang w:eastAsia="en-US"/>
              </w:rPr>
              <w:t>计分标准</w:t>
            </w:r>
          </w:p>
        </w:tc>
        <w:tc>
          <w:tcPr>
            <w:tcW w:w="5541" w:type="dxa"/>
            <w:vAlign w:val="center"/>
          </w:tcPr>
          <w:p w14:paraId="6B291102">
            <w:pPr>
              <w:spacing w:before="108" w:line="360" w:lineRule="auto"/>
              <w:ind w:left="256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9"/>
                <w:sz w:val="24"/>
                <w:lang w:eastAsia="en-US"/>
              </w:rPr>
              <w:t>备注</w:t>
            </w:r>
          </w:p>
        </w:tc>
      </w:tr>
      <w:tr w14:paraId="15272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86" w:type="dxa"/>
            <w:vMerge w:val="restart"/>
            <w:tcBorders>
              <w:bottom w:val="nil"/>
            </w:tcBorders>
            <w:textDirection w:val="tbRlV"/>
            <w:vAlign w:val="center"/>
          </w:tcPr>
          <w:p w14:paraId="17FEC9CB">
            <w:pPr>
              <w:spacing w:before="260" w:line="360" w:lineRule="auto"/>
              <w:ind w:left="1626"/>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5"/>
                <w:sz w:val="24"/>
                <w:lang w:eastAsia="en-US"/>
              </w:rPr>
              <w:t>国家级</w:t>
            </w:r>
          </w:p>
        </w:tc>
        <w:tc>
          <w:tcPr>
            <w:tcW w:w="612" w:type="dxa"/>
            <w:vMerge w:val="restart"/>
            <w:tcBorders>
              <w:bottom w:val="nil"/>
            </w:tcBorders>
            <w:vAlign w:val="center"/>
          </w:tcPr>
          <w:p w14:paraId="0D299284">
            <w:pPr>
              <w:spacing w:line="360" w:lineRule="auto"/>
              <w:rPr>
                <w:rFonts w:ascii="仿宋_GB2312" w:hAnsi="仿宋_GB2312" w:eastAsia="仿宋_GB2312"/>
                <w:snapToGrid w:val="0"/>
                <w:color w:val="000000"/>
                <w:lang w:eastAsia="en-US"/>
              </w:rPr>
            </w:pPr>
          </w:p>
          <w:p w14:paraId="7C801C2C">
            <w:pPr>
              <w:spacing w:before="109" w:line="360" w:lineRule="auto"/>
              <w:ind w:left="205" w:right="175"/>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0"/>
                <w:sz w:val="24"/>
                <w:lang w:eastAsia="en-US"/>
              </w:rPr>
              <w:t>一</w:t>
            </w:r>
            <w:r>
              <w:rPr>
                <w:rFonts w:ascii="仿宋_GB2312" w:hAnsi="仿宋_GB2312" w:eastAsia="仿宋_GB2312" w:cs="PingFang SC"/>
                <w:snapToGrid w:val="0"/>
                <w:color w:val="000000"/>
                <w:spacing w:val="-18"/>
                <w:w w:val="99"/>
                <w:sz w:val="24"/>
                <w:lang w:eastAsia="en-US"/>
              </w:rPr>
              <w:t>级</w:t>
            </w:r>
          </w:p>
        </w:tc>
        <w:tc>
          <w:tcPr>
            <w:tcW w:w="1112" w:type="dxa"/>
            <w:vAlign w:val="center"/>
          </w:tcPr>
          <w:p w14:paraId="4276282D">
            <w:pPr>
              <w:spacing w:before="61" w:line="360" w:lineRule="auto"/>
              <w:ind w:left="23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1"/>
                <w:position w:val="-1"/>
                <w:sz w:val="24"/>
                <w:lang w:eastAsia="en-US"/>
              </w:rPr>
              <w:t>特等奖</w:t>
            </w:r>
          </w:p>
        </w:tc>
        <w:tc>
          <w:tcPr>
            <w:tcW w:w="1234" w:type="dxa"/>
            <w:vAlign w:val="center"/>
          </w:tcPr>
          <w:p w14:paraId="7E15F66E">
            <w:pPr>
              <w:spacing w:before="61" w:line="360" w:lineRule="auto"/>
              <w:ind w:left="565"/>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position w:val="-1"/>
                <w:sz w:val="24"/>
                <w:lang w:eastAsia="en-US"/>
              </w:rPr>
              <w:t>6</w:t>
            </w:r>
          </w:p>
        </w:tc>
        <w:tc>
          <w:tcPr>
            <w:tcW w:w="5541" w:type="dxa"/>
            <w:vMerge w:val="restart"/>
            <w:tcBorders>
              <w:bottom w:val="nil"/>
            </w:tcBorders>
            <w:vAlign w:val="center"/>
          </w:tcPr>
          <w:p w14:paraId="4BFBCA16">
            <w:pPr>
              <w:spacing w:before="245" w:line="360" w:lineRule="auto"/>
              <w:ind w:left="117" w:right="85" w:firstLine="30"/>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20"/>
                <w:sz w:val="24"/>
                <w:lang w:eastAsia="zh-CN"/>
              </w:rPr>
              <w:t>由教育部和湖南省政府主办，面向全国普通高等院校开</w:t>
            </w:r>
            <w:r>
              <w:rPr>
                <w:rFonts w:ascii="仿宋_GB2312" w:hAnsi="仿宋_GB2312" w:eastAsia="仿宋_GB2312" w:cs="PingFang SC"/>
                <w:snapToGrid w:val="0"/>
                <w:color w:val="000000"/>
                <w:spacing w:val="-18"/>
                <w:sz w:val="24"/>
                <w:lang w:eastAsia="zh-CN"/>
              </w:rPr>
              <w:t>展，具有全国性示范引领作用、行业顶尖认可度的</w:t>
            </w:r>
            <w:r>
              <w:rPr>
                <w:rFonts w:ascii="仿宋_GB2312" w:hAnsi="仿宋_GB2312" w:eastAsia="仿宋_GB2312" w:cs="PingFang SC"/>
                <w:snapToGrid w:val="0"/>
                <w:color w:val="000000"/>
                <w:spacing w:val="-19"/>
                <w:sz w:val="24"/>
                <w:lang w:eastAsia="zh-CN"/>
              </w:rPr>
              <w:t>高水</w:t>
            </w:r>
            <w:r>
              <w:rPr>
                <w:rFonts w:ascii="仿宋_GB2312" w:hAnsi="仿宋_GB2312" w:eastAsia="仿宋_GB2312" w:cs="PingFang SC"/>
                <w:snapToGrid w:val="0"/>
                <w:color w:val="000000"/>
                <w:spacing w:val="-15"/>
                <w:sz w:val="24"/>
                <w:lang w:eastAsia="zh-CN"/>
              </w:rPr>
              <w:t>平学科竞赛。</w:t>
            </w:r>
          </w:p>
        </w:tc>
      </w:tr>
      <w:tr w14:paraId="37AF5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86" w:type="dxa"/>
            <w:vMerge w:val="continue"/>
            <w:tcBorders>
              <w:top w:val="nil"/>
              <w:bottom w:val="nil"/>
            </w:tcBorders>
            <w:textDirection w:val="tbRlV"/>
            <w:vAlign w:val="center"/>
          </w:tcPr>
          <w:p w14:paraId="10B9252B">
            <w:pPr>
              <w:spacing w:line="360" w:lineRule="auto"/>
              <w:rPr>
                <w:rFonts w:ascii="仿宋_GB2312" w:hAnsi="仿宋_GB2312" w:eastAsia="仿宋_GB2312"/>
                <w:snapToGrid w:val="0"/>
                <w:color w:val="000000"/>
                <w:lang w:eastAsia="zh-CN"/>
              </w:rPr>
            </w:pPr>
          </w:p>
        </w:tc>
        <w:tc>
          <w:tcPr>
            <w:tcW w:w="612" w:type="dxa"/>
            <w:vMerge w:val="continue"/>
            <w:tcBorders>
              <w:top w:val="nil"/>
              <w:bottom w:val="nil"/>
            </w:tcBorders>
            <w:vAlign w:val="center"/>
          </w:tcPr>
          <w:p w14:paraId="570EA203">
            <w:pPr>
              <w:spacing w:line="360" w:lineRule="auto"/>
              <w:rPr>
                <w:rFonts w:ascii="仿宋_GB2312" w:hAnsi="仿宋_GB2312" w:eastAsia="仿宋_GB2312"/>
                <w:snapToGrid w:val="0"/>
                <w:color w:val="000000"/>
                <w:lang w:eastAsia="zh-CN"/>
              </w:rPr>
            </w:pPr>
          </w:p>
        </w:tc>
        <w:tc>
          <w:tcPr>
            <w:tcW w:w="1112" w:type="dxa"/>
            <w:vAlign w:val="center"/>
          </w:tcPr>
          <w:p w14:paraId="5C0A96F6">
            <w:pPr>
              <w:spacing w:before="62" w:line="360" w:lineRule="auto"/>
              <w:ind w:left="23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position w:val="-1"/>
                <w:sz w:val="24"/>
                <w:lang w:eastAsia="en-US"/>
              </w:rPr>
              <w:t>一等奖</w:t>
            </w:r>
          </w:p>
        </w:tc>
        <w:tc>
          <w:tcPr>
            <w:tcW w:w="1234" w:type="dxa"/>
            <w:vAlign w:val="center"/>
          </w:tcPr>
          <w:p w14:paraId="03830331">
            <w:pPr>
              <w:spacing w:before="62" w:line="360" w:lineRule="auto"/>
              <w:ind w:left="562"/>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position w:val="-1"/>
                <w:sz w:val="24"/>
                <w:lang w:eastAsia="en-US"/>
              </w:rPr>
              <w:t>4</w:t>
            </w:r>
          </w:p>
        </w:tc>
        <w:tc>
          <w:tcPr>
            <w:tcW w:w="5541" w:type="dxa"/>
            <w:vMerge w:val="continue"/>
            <w:tcBorders>
              <w:top w:val="nil"/>
              <w:bottom w:val="nil"/>
            </w:tcBorders>
            <w:vAlign w:val="center"/>
          </w:tcPr>
          <w:p w14:paraId="634B2822">
            <w:pPr>
              <w:spacing w:line="360" w:lineRule="auto"/>
              <w:rPr>
                <w:rFonts w:ascii="仿宋_GB2312" w:hAnsi="仿宋_GB2312" w:eastAsia="仿宋_GB2312"/>
                <w:snapToGrid w:val="0"/>
                <w:color w:val="000000"/>
                <w:lang w:eastAsia="en-US"/>
              </w:rPr>
            </w:pPr>
          </w:p>
        </w:tc>
      </w:tr>
      <w:tr w14:paraId="3AE75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86" w:type="dxa"/>
            <w:vMerge w:val="continue"/>
            <w:tcBorders>
              <w:top w:val="nil"/>
              <w:bottom w:val="nil"/>
            </w:tcBorders>
            <w:textDirection w:val="tbRlV"/>
            <w:vAlign w:val="center"/>
          </w:tcPr>
          <w:p w14:paraId="02394322">
            <w:pPr>
              <w:spacing w:line="360" w:lineRule="auto"/>
              <w:rPr>
                <w:rFonts w:ascii="仿宋_GB2312" w:hAnsi="仿宋_GB2312" w:eastAsia="仿宋_GB2312"/>
                <w:snapToGrid w:val="0"/>
                <w:color w:val="000000"/>
                <w:lang w:eastAsia="en-US"/>
              </w:rPr>
            </w:pPr>
          </w:p>
        </w:tc>
        <w:tc>
          <w:tcPr>
            <w:tcW w:w="612" w:type="dxa"/>
            <w:vMerge w:val="continue"/>
            <w:tcBorders>
              <w:top w:val="nil"/>
              <w:bottom w:val="nil"/>
            </w:tcBorders>
            <w:vAlign w:val="center"/>
          </w:tcPr>
          <w:p w14:paraId="3691A2C8">
            <w:pPr>
              <w:spacing w:line="360" w:lineRule="auto"/>
              <w:rPr>
                <w:rFonts w:ascii="仿宋_GB2312" w:hAnsi="仿宋_GB2312" w:eastAsia="仿宋_GB2312"/>
                <w:snapToGrid w:val="0"/>
                <w:color w:val="000000"/>
                <w:lang w:eastAsia="en-US"/>
              </w:rPr>
            </w:pPr>
          </w:p>
        </w:tc>
        <w:tc>
          <w:tcPr>
            <w:tcW w:w="1112" w:type="dxa"/>
            <w:vAlign w:val="center"/>
          </w:tcPr>
          <w:p w14:paraId="01591D4C">
            <w:pPr>
              <w:spacing w:before="63" w:line="360" w:lineRule="auto"/>
              <w:ind w:left="238"/>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position w:val="-1"/>
                <w:sz w:val="24"/>
                <w:lang w:eastAsia="en-US"/>
              </w:rPr>
              <w:t>二等奖</w:t>
            </w:r>
          </w:p>
        </w:tc>
        <w:tc>
          <w:tcPr>
            <w:tcW w:w="1234" w:type="dxa"/>
            <w:vAlign w:val="center"/>
          </w:tcPr>
          <w:p w14:paraId="1510EC77">
            <w:pPr>
              <w:spacing w:before="63" w:line="360" w:lineRule="auto"/>
              <w:ind w:left="566"/>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position w:val="-1"/>
                <w:sz w:val="24"/>
                <w:lang w:eastAsia="en-US"/>
              </w:rPr>
              <w:t>2</w:t>
            </w:r>
          </w:p>
        </w:tc>
        <w:tc>
          <w:tcPr>
            <w:tcW w:w="5541" w:type="dxa"/>
            <w:vMerge w:val="continue"/>
            <w:tcBorders>
              <w:top w:val="nil"/>
              <w:bottom w:val="nil"/>
            </w:tcBorders>
            <w:vAlign w:val="center"/>
          </w:tcPr>
          <w:p w14:paraId="12FB3329">
            <w:pPr>
              <w:spacing w:line="360" w:lineRule="auto"/>
              <w:rPr>
                <w:rFonts w:ascii="仿宋_GB2312" w:hAnsi="仿宋_GB2312" w:eastAsia="仿宋_GB2312"/>
                <w:snapToGrid w:val="0"/>
                <w:color w:val="000000"/>
                <w:lang w:eastAsia="en-US"/>
              </w:rPr>
            </w:pPr>
          </w:p>
        </w:tc>
      </w:tr>
      <w:tr w14:paraId="6E326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86" w:type="dxa"/>
            <w:vMerge w:val="continue"/>
            <w:tcBorders>
              <w:top w:val="nil"/>
              <w:bottom w:val="nil"/>
            </w:tcBorders>
            <w:textDirection w:val="tbRlV"/>
            <w:vAlign w:val="center"/>
          </w:tcPr>
          <w:p w14:paraId="79C3C8F4">
            <w:pPr>
              <w:spacing w:line="360" w:lineRule="auto"/>
              <w:rPr>
                <w:rFonts w:ascii="仿宋_GB2312" w:hAnsi="仿宋_GB2312" w:eastAsia="仿宋_GB2312"/>
                <w:snapToGrid w:val="0"/>
                <w:color w:val="000000"/>
                <w:lang w:eastAsia="en-US"/>
              </w:rPr>
            </w:pPr>
          </w:p>
        </w:tc>
        <w:tc>
          <w:tcPr>
            <w:tcW w:w="612" w:type="dxa"/>
            <w:vMerge w:val="continue"/>
            <w:tcBorders>
              <w:top w:val="nil"/>
            </w:tcBorders>
            <w:vAlign w:val="center"/>
          </w:tcPr>
          <w:p w14:paraId="4E9DC3AA">
            <w:pPr>
              <w:spacing w:line="360" w:lineRule="auto"/>
              <w:rPr>
                <w:rFonts w:ascii="仿宋_GB2312" w:hAnsi="仿宋_GB2312" w:eastAsia="仿宋_GB2312"/>
                <w:snapToGrid w:val="0"/>
                <w:color w:val="000000"/>
                <w:lang w:eastAsia="en-US"/>
              </w:rPr>
            </w:pPr>
          </w:p>
        </w:tc>
        <w:tc>
          <w:tcPr>
            <w:tcW w:w="1112" w:type="dxa"/>
            <w:vAlign w:val="center"/>
          </w:tcPr>
          <w:p w14:paraId="09149D86">
            <w:pPr>
              <w:spacing w:before="64" w:line="360" w:lineRule="auto"/>
              <w:ind w:left="237"/>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position w:val="-1"/>
                <w:sz w:val="24"/>
                <w:lang w:eastAsia="en-US"/>
              </w:rPr>
              <w:t>三等奖</w:t>
            </w:r>
          </w:p>
        </w:tc>
        <w:tc>
          <w:tcPr>
            <w:tcW w:w="1234" w:type="dxa"/>
            <w:vAlign w:val="center"/>
          </w:tcPr>
          <w:p w14:paraId="799A3459">
            <w:pPr>
              <w:spacing w:before="64" w:line="360" w:lineRule="auto"/>
              <w:ind w:left="581"/>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position w:val="-1"/>
                <w:sz w:val="24"/>
                <w:lang w:eastAsia="en-US"/>
              </w:rPr>
              <w:t>1</w:t>
            </w:r>
          </w:p>
        </w:tc>
        <w:tc>
          <w:tcPr>
            <w:tcW w:w="5541" w:type="dxa"/>
            <w:vMerge w:val="continue"/>
            <w:tcBorders>
              <w:top w:val="nil"/>
            </w:tcBorders>
            <w:vAlign w:val="center"/>
          </w:tcPr>
          <w:p w14:paraId="3C967574">
            <w:pPr>
              <w:spacing w:line="360" w:lineRule="auto"/>
              <w:rPr>
                <w:rFonts w:ascii="仿宋_GB2312" w:hAnsi="仿宋_GB2312" w:eastAsia="仿宋_GB2312"/>
                <w:snapToGrid w:val="0"/>
                <w:color w:val="000000"/>
                <w:lang w:eastAsia="en-US"/>
              </w:rPr>
            </w:pPr>
          </w:p>
        </w:tc>
      </w:tr>
      <w:tr w14:paraId="7B124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86" w:type="dxa"/>
            <w:vMerge w:val="continue"/>
            <w:tcBorders>
              <w:top w:val="nil"/>
              <w:bottom w:val="nil"/>
            </w:tcBorders>
            <w:textDirection w:val="tbRlV"/>
            <w:vAlign w:val="center"/>
          </w:tcPr>
          <w:p w14:paraId="5F770070">
            <w:pPr>
              <w:spacing w:line="360" w:lineRule="auto"/>
              <w:rPr>
                <w:rFonts w:ascii="仿宋_GB2312" w:hAnsi="仿宋_GB2312" w:eastAsia="仿宋_GB2312"/>
                <w:snapToGrid w:val="0"/>
                <w:color w:val="000000"/>
                <w:lang w:eastAsia="en-US"/>
              </w:rPr>
            </w:pPr>
          </w:p>
        </w:tc>
        <w:tc>
          <w:tcPr>
            <w:tcW w:w="612" w:type="dxa"/>
            <w:vMerge w:val="restart"/>
            <w:tcBorders>
              <w:bottom w:val="nil"/>
            </w:tcBorders>
            <w:vAlign w:val="center"/>
          </w:tcPr>
          <w:p w14:paraId="4FA1EAB1">
            <w:pPr>
              <w:spacing w:before="110" w:line="360" w:lineRule="auto"/>
              <w:ind w:left="205" w:right="175" w:firstLine="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4"/>
                <w:sz w:val="24"/>
                <w:lang w:eastAsia="en-US"/>
              </w:rPr>
              <w:t>二</w:t>
            </w:r>
            <w:r>
              <w:rPr>
                <w:rFonts w:ascii="仿宋_GB2312" w:hAnsi="仿宋_GB2312" w:eastAsia="仿宋_GB2312" w:cs="PingFang SC"/>
                <w:snapToGrid w:val="0"/>
                <w:color w:val="000000"/>
                <w:spacing w:val="-18"/>
                <w:w w:val="99"/>
                <w:sz w:val="24"/>
                <w:lang w:eastAsia="en-US"/>
              </w:rPr>
              <w:t>级</w:t>
            </w:r>
          </w:p>
        </w:tc>
        <w:tc>
          <w:tcPr>
            <w:tcW w:w="1112" w:type="dxa"/>
            <w:vAlign w:val="center"/>
          </w:tcPr>
          <w:p w14:paraId="1D40163C">
            <w:pPr>
              <w:spacing w:before="65" w:line="360" w:lineRule="auto"/>
              <w:ind w:left="23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1"/>
                <w:position w:val="-1"/>
                <w:sz w:val="24"/>
                <w:lang w:eastAsia="en-US"/>
              </w:rPr>
              <w:t>特等奖</w:t>
            </w:r>
          </w:p>
        </w:tc>
        <w:tc>
          <w:tcPr>
            <w:tcW w:w="1234" w:type="dxa"/>
            <w:vAlign w:val="center"/>
          </w:tcPr>
          <w:p w14:paraId="4A8FF9BD">
            <w:pPr>
              <w:spacing w:before="65" w:line="360" w:lineRule="auto"/>
              <w:ind w:left="568"/>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position w:val="-1"/>
                <w:sz w:val="24"/>
                <w:lang w:eastAsia="en-US"/>
              </w:rPr>
              <w:t>3</w:t>
            </w:r>
          </w:p>
        </w:tc>
        <w:tc>
          <w:tcPr>
            <w:tcW w:w="5541" w:type="dxa"/>
            <w:vMerge w:val="restart"/>
            <w:tcBorders>
              <w:bottom w:val="nil"/>
            </w:tcBorders>
            <w:vAlign w:val="center"/>
          </w:tcPr>
          <w:p w14:paraId="2AC38708">
            <w:pPr>
              <w:spacing w:before="67" w:line="360" w:lineRule="auto"/>
              <w:ind w:left="117" w:right="85" w:firstLine="3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20"/>
                <w:sz w:val="24"/>
                <w:lang w:eastAsia="zh-CN"/>
              </w:rPr>
              <w:t>由国家其他部委（工业和信息化部、科学技术部、共青</w:t>
            </w:r>
            <w:r>
              <w:rPr>
                <w:rFonts w:ascii="仿宋_GB2312" w:hAnsi="仿宋_GB2312" w:eastAsia="仿宋_GB2312" w:cs="PingFang SC"/>
                <w:snapToGrid w:val="0"/>
                <w:color w:val="000000"/>
                <w:spacing w:val="-27"/>
                <w:sz w:val="24"/>
                <w:lang w:eastAsia="zh-CN"/>
              </w:rPr>
              <w:t>团中央等国务院组成部门、直属机构）、国家部委下属司</w:t>
            </w:r>
            <w:r>
              <w:rPr>
                <w:rFonts w:ascii="仿宋_GB2312" w:hAnsi="仿宋_GB2312" w:eastAsia="仿宋_GB2312" w:cs="PingFang SC"/>
                <w:snapToGrid w:val="0"/>
                <w:color w:val="000000"/>
                <w:spacing w:val="-18"/>
                <w:sz w:val="24"/>
                <w:lang w:eastAsia="zh-CN"/>
              </w:rPr>
              <w:t>局、直属事业单位主办，或由国家部委委托直属机构全权承办，面向全国高校举办，赛事资质正规、行业认可</w:t>
            </w:r>
            <w:r>
              <w:rPr>
                <w:rFonts w:ascii="仿宋_GB2312" w:hAnsi="仿宋_GB2312" w:eastAsia="仿宋_GB2312" w:cs="PingFang SC"/>
                <w:snapToGrid w:val="0"/>
                <w:color w:val="000000"/>
                <w:spacing w:val="-17"/>
                <w:sz w:val="24"/>
                <w:lang w:eastAsia="zh-CN"/>
              </w:rPr>
              <w:t>度较高的全国性学科竞赛。</w:t>
            </w:r>
          </w:p>
        </w:tc>
      </w:tr>
      <w:tr w14:paraId="486BB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86" w:type="dxa"/>
            <w:vMerge w:val="continue"/>
            <w:tcBorders>
              <w:top w:val="nil"/>
              <w:bottom w:val="nil"/>
            </w:tcBorders>
            <w:textDirection w:val="tbRlV"/>
            <w:vAlign w:val="center"/>
          </w:tcPr>
          <w:p w14:paraId="16325C4B">
            <w:pPr>
              <w:spacing w:line="360" w:lineRule="auto"/>
              <w:rPr>
                <w:rFonts w:ascii="仿宋_GB2312" w:hAnsi="仿宋_GB2312" w:eastAsia="仿宋_GB2312"/>
                <w:snapToGrid w:val="0"/>
                <w:color w:val="000000"/>
                <w:lang w:eastAsia="zh-CN"/>
              </w:rPr>
            </w:pPr>
          </w:p>
        </w:tc>
        <w:tc>
          <w:tcPr>
            <w:tcW w:w="612" w:type="dxa"/>
            <w:vMerge w:val="continue"/>
            <w:tcBorders>
              <w:top w:val="nil"/>
              <w:bottom w:val="nil"/>
            </w:tcBorders>
            <w:vAlign w:val="center"/>
          </w:tcPr>
          <w:p w14:paraId="6651D7CF">
            <w:pPr>
              <w:spacing w:line="360" w:lineRule="auto"/>
              <w:rPr>
                <w:rFonts w:ascii="仿宋_GB2312" w:hAnsi="仿宋_GB2312" w:eastAsia="仿宋_GB2312"/>
                <w:snapToGrid w:val="0"/>
                <w:color w:val="000000"/>
                <w:lang w:eastAsia="zh-CN"/>
              </w:rPr>
            </w:pPr>
          </w:p>
        </w:tc>
        <w:tc>
          <w:tcPr>
            <w:tcW w:w="1112" w:type="dxa"/>
            <w:vAlign w:val="center"/>
          </w:tcPr>
          <w:p w14:paraId="33E57D51">
            <w:pPr>
              <w:spacing w:before="66" w:line="360" w:lineRule="auto"/>
              <w:ind w:left="23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position w:val="-1"/>
                <w:sz w:val="24"/>
                <w:lang w:eastAsia="en-US"/>
              </w:rPr>
              <w:t>一等奖</w:t>
            </w:r>
          </w:p>
        </w:tc>
        <w:tc>
          <w:tcPr>
            <w:tcW w:w="1234" w:type="dxa"/>
            <w:vAlign w:val="center"/>
          </w:tcPr>
          <w:p w14:paraId="1E827B07">
            <w:pPr>
              <w:spacing w:before="66" w:line="360" w:lineRule="auto"/>
              <w:ind w:left="566"/>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position w:val="-1"/>
                <w:sz w:val="24"/>
                <w:lang w:eastAsia="en-US"/>
              </w:rPr>
              <w:t>2</w:t>
            </w:r>
          </w:p>
        </w:tc>
        <w:tc>
          <w:tcPr>
            <w:tcW w:w="5541" w:type="dxa"/>
            <w:vMerge w:val="continue"/>
            <w:tcBorders>
              <w:top w:val="nil"/>
              <w:bottom w:val="nil"/>
            </w:tcBorders>
            <w:vAlign w:val="center"/>
          </w:tcPr>
          <w:p w14:paraId="7F09E94D">
            <w:pPr>
              <w:spacing w:line="360" w:lineRule="auto"/>
              <w:rPr>
                <w:rFonts w:ascii="仿宋_GB2312" w:hAnsi="仿宋_GB2312" w:eastAsia="仿宋_GB2312"/>
                <w:snapToGrid w:val="0"/>
                <w:color w:val="000000"/>
                <w:lang w:eastAsia="en-US"/>
              </w:rPr>
            </w:pPr>
          </w:p>
        </w:tc>
      </w:tr>
      <w:tr w14:paraId="04C7F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86" w:type="dxa"/>
            <w:vMerge w:val="continue"/>
            <w:tcBorders>
              <w:top w:val="nil"/>
              <w:bottom w:val="nil"/>
            </w:tcBorders>
            <w:textDirection w:val="tbRlV"/>
            <w:vAlign w:val="center"/>
          </w:tcPr>
          <w:p w14:paraId="4F5027D7">
            <w:pPr>
              <w:spacing w:line="360" w:lineRule="auto"/>
              <w:rPr>
                <w:rFonts w:ascii="仿宋_GB2312" w:hAnsi="仿宋_GB2312" w:eastAsia="仿宋_GB2312"/>
                <w:snapToGrid w:val="0"/>
                <w:color w:val="000000"/>
                <w:lang w:eastAsia="en-US"/>
              </w:rPr>
            </w:pPr>
          </w:p>
        </w:tc>
        <w:tc>
          <w:tcPr>
            <w:tcW w:w="612" w:type="dxa"/>
            <w:vMerge w:val="continue"/>
            <w:tcBorders>
              <w:top w:val="nil"/>
              <w:bottom w:val="nil"/>
            </w:tcBorders>
            <w:vAlign w:val="center"/>
          </w:tcPr>
          <w:p w14:paraId="253F654B">
            <w:pPr>
              <w:spacing w:line="360" w:lineRule="auto"/>
              <w:rPr>
                <w:rFonts w:ascii="仿宋_GB2312" w:hAnsi="仿宋_GB2312" w:eastAsia="仿宋_GB2312"/>
                <w:snapToGrid w:val="0"/>
                <w:color w:val="000000"/>
                <w:lang w:eastAsia="en-US"/>
              </w:rPr>
            </w:pPr>
          </w:p>
        </w:tc>
        <w:tc>
          <w:tcPr>
            <w:tcW w:w="1112" w:type="dxa"/>
            <w:vAlign w:val="center"/>
          </w:tcPr>
          <w:p w14:paraId="76830A32">
            <w:pPr>
              <w:spacing w:before="66" w:line="360" w:lineRule="auto"/>
              <w:ind w:left="238"/>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position w:val="-1"/>
                <w:sz w:val="24"/>
                <w:lang w:eastAsia="en-US"/>
              </w:rPr>
              <w:t>二等奖</w:t>
            </w:r>
          </w:p>
        </w:tc>
        <w:tc>
          <w:tcPr>
            <w:tcW w:w="1234" w:type="dxa"/>
            <w:vAlign w:val="center"/>
          </w:tcPr>
          <w:p w14:paraId="3487768C">
            <w:pPr>
              <w:spacing w:before="66" w:line="360" w:lineRule="auto"/>
              <w:ind w:left="581"/>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position w:val="-1"/>
                <w:sz w:val="24"/>
                <w:lang w:eastAsia="en-US"/>
              </w:rPr>
              <w:t>1</w:t>
            </w:r>
          </w:p>
        </w:tc>
        <w:tc>
          <w:tcPr>
            <w:tcW w:w="5541" w:type="dxa"/>
            <w:vMerge w:val="continue"/>
            <w:tcBorders>
              <w:top w:val="nil"/>
              <w:bottom w:val="nil"/>
            </w:tcBorders>
            <w:vAlign w:val="center"/>
          </w:tcPr>
          <w:p w14:paraId="7F359867">
            <w:pPr>
              <w:spacing w:line="360" w:lineRule="auto"/>
              <w:rPr>
                <w:rFonts w:ascii="仿宋_GB2312" w:hAnsi="仿宋_GB2312" w:eastAsia="仿宋_GB2312"/>
                <w:snapToGrid w:val="0"/>
                <w:color w:val="000000"/>
                <w:lang w:eastAsia="en-US"/>
              </w:rPr>
            </w:pPr>
          </w:p>
        </w:tc>
      </w:tr>
      <w:tr w14:paraId="70B3C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786" w:type="dxa"/>
            <w:vMerge w:val="continue"/>
            <w:tcBorders>
              <w:top w:val="nil"/>
              <w:bottom w:val="nil"/>
            </w:tcBorders>
            <w:textDirection w:val="tbRlV"/>
            <w:vAlign w:val="center"/>
          </w:tcPr>
          <w:p w14:paraId="75B7B48F">
            <w:pPr>
              <w:spacing w:line="360" w:lineRule="auto"/>
              <w:rPr>
                <w:rFonts w:ascii="仿宋_GB2312" w:hAnsi="仿宋_GB2312" w:eastAsia="仿宋_GB2312"/>
                <w:snapToGrid w:val="0"/>
                <w:color w:val="000000"/>
                <w:lang w:eastAsia="en-US"/>
              </w:rPr>
            </w:pPr>
          </w:p>
        </w:tc>
        <w:tc>
          <w:tcPr>
            <w:tcW w:w="612" w:type="dxa"/>
            <w:vMerge w:val="continue"/>
            <w:tcBorders>
              <w:top w:val="nil"/>
            </w:tcBorders>
            <w:vAlign w:val="center"/>
          </w:tcPr>
          <w:p w14:paraId="4FA108C0">
            <w:pPr>
              <w:spacing w:line="360" w:lineRule="auto"/>
              <w:rPr>
                <w:rFonts w:ascii="仿宋_GB2312" w:hAnsi="仿宋_GB2312" w:eastAsia="仿宋_GB2312"/>
                <w:snapToGrid w:val="0"/>
                <w:color w:val="000000"/>
                <w:lang w:eastAsia="en-US"/>
              </w:rPr>
            </w:pPr>
          </w:p>
        </w:tc>
        <w:tc>
          <w:tcPr>
            <w:tcW w:w="1112" w:type="dxa"/>
            <w:vAlign w:val="center"/>
          </w:tcPr>
          <w:p w14:paraId="7261A8D8">
            <w:pPr>
              <w:spacing w:before="223" w:line="360" w:lineRule="auto"/>
              <w:ind w:left="237"/>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三等奖</w:t>
            </w:r>
          </w:p>
        </w:tc>
        <w:tc>
          <w:tcPr>
            <w:tcW w:w="1234" w:type="dxa"/>
            <w:vAlign w:val="center"/>
          </w:tcPr>
          <w:p w14:paraId="611B7B62">
            <w:pPr>
              <w:spacing w:before="222" w:line="360" w:lineRule="auto"/>
              <w:ind w:left="45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4"/>
                <w:sz w:val="24"/>
                <w:lang w:eastAsia="en-US"/>
              </w:rPr>
              <w:t>0.5</w:t>
            </w:r>
          </w:p>
        </w:tc>
        <w:tc>
          <w:tcPr>
            <w:tcW w:w="5541" w:type="dxa"/>
            <w:vMerge w:val="continue"/>
            <w:tcBorders>
              <w:top w:val="nil"/>
            </w:tcBorders>
            <w:vAlign w:val="center"/>
          </w:tcPr>
          <w:p w14:paraId="6A59248B">
            <w:pPr>
              <w:spacing w:line="360" w:lineRule="auto"/>
              <w:rPr>
                <w:rFonts w:ascii="仿宋_GB2312" w:hAnsi="仿宋_GB2312" w:eastAsia="仿宋_GB2312"/>
                <w:snapToGrid w:val="0"/>
                <w:color w:val="000000"/>
                <w:lang w:eastAsia="en-US"/>
              </w:rPr>
            </w:pPr>
          </w:p>
        </w:tc>
      </w:tr>
      <w:tr w14:paraId="67A2F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786" w:type="dxa"/>
            <w:vMerge w:val="continue"/>
            <w:tcBorders>
              <w:top w:val="nil"/>
              <w:bottom w:val="nil"/>
            </w:tcBorders>
            <w:textDirection w:val="tbRlV"/>
            <w:vAlign w:val="center"/>
          </w:tcPr>
          <w:p w14:paraId="3031497A">
            <w:pPr>
              <w:spacing w:line="360" w:lineRule="auto"/>
              <w:rPr>
                <w:rFonts w:ascii="仿宋_GB2312" w:hAnsi="仿宋_GB2312" w:eastAsia="仿宋_GB2312"/>
                <w:snapToGrid w:val="0"/>
                <w:color w:val="000000"/>
                <w:lang w:eastAsia="en-US"/>
              </w:rPr>
            </w:pPr>
          </w:p>
        </w:tc>
        <w:tc>
          <w:tcPr>
            <w:tcW w:w="612" w:type="dxa"/>
            <w:vMerge w:val="restart"/>
            <w:tcBorders>
              <w:bottom w:val="nil"/>
            </w:tcBorders>
            <w:textDirection w:val="tbRlV"/>
            <w:vAlign w:val="center"/>
          </w:tcPr>
          <w:p w14:paraId="090D4369">
            <w:pPr>
              <w:spacing w:before="175" w:line="360" w:lineRule="auto"/>
              <w:ind w:left="27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30"/>
                <w:sz w:val="24"/>
                <w:lang w:eastAsia="en-US"/>
              </w:rPr>
              <w:t>三级</w:t>
            </w:r>
          </w:p>
        </w:tc>
        <w:tc>
          <w:tcPr>
            <w:tcW w:w="1112" w:type="dxa"/>
            <w:vAlign w:val="center"/>
          </w:tcPr>
          <w:p w14:paraId="30312EE0">
            <w:pPr>
              <w:spacing w:before="68" w:line="360" w:lineRule="auto"/>
              <w:ind w:left="23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1"/>
                <w:position w:val="-1"/>
                <w:sz w:val="24"/>
                <w:lang w:eastAsia="en-US"/>
              </w:rPr>
              <w:t>特等奖</w:t>
            </w:r>
          </w:p>
        </w:tc>
        <w:tc>
          <w:tcPr>
            <w:tcW w:w="1234" w:type="dxa"/>
            <w:vAlign w:val="center"/>
          </w:tcPr>
          <w:p w14:paraId="4B45346C">
            <w:pPr>
              <w:spacing w:before="68" w:line="360" w:lineRule="auto"/>
              <w:ind w:left="581"/>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position w:val="-1"/>
                <w:sz w:val="24"/>
                <w:lang w:eastAsia="en-US"/>
              </w:rPr>
              <w:t>1</w:t>
            </w:r>
          </w:p>
        </w:tc>
        <w:tc>
          <w:tcPr>
            <w:tcW w:w="5541" w:type="dxa"/>
            <w:vMerge w:val="restart"/>
            <w:tcBorders>
              <w:bottom w:val="nil"/>
            </w:tcBorders>
            <w:vAlign w:val="center"/>
          </w:tcPr>
          <w:p w14:paraId="7581DDB6">
            <w:pPr>
              <w:spacing w:before="77" w:line="360" w:lineRule="auto"/>
              <w:ind w:left="118" w:right="85" w:firstLine="30"/>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20"/>
                <w:sz w:val="24"/>
                <w:lang w:eastAsia="zh-CN"/>
              </w:rPr>
              <w:t>由全国性一级学会、行业协会、教学指导委员会等正规</w:t>
            </w:r>
            <w:r>
              <w:rPr>
                <w:rFonts w:ascii="仿宋_GB2312" w:hAnsi="仿宋_GB2312" w:eastAsia="仿宋_GB2312" w:cs="PingFang SC"/>
                <w:snapToGrid w:val="0"/>
                <w:color w:val="000000"/>
                <w:spacing w:val="-18"/>
                <w:sz w:val="24"/>
                <w:lang w:eastAsia="zh-CN"/>
              </w:rPr>
              <w:t>学术社会团体主办，面向全国高校开展、具备行</w:t>
            </w:r>
            <w:r>
              <w:rPr>
                <w:rFonts w:ascii="仿宋_GB2312" w:hAnsi="仿宋_GB2312" w:eastAsia="仿宋_GB2312" w:cs="PingFang SC"/>
                <w:snapToGrid w:val="0"/>
                <w:color w:val="000000"/>
                <w:spacing w:val="-19"/>
                <w:sz w:val="24"/>
                <w:lang w:eastAsia="zh-CN"/>
              </w:rPr>
              <w:t>业专业</w:t>
            </w:r>
            <w:r>
              <w:rPr>
                <w:rFonts w:ascii="仿宋_GB2312" w:hAnsi="仿宋_GB2312" w:eastAsia="仿宋_GB2312" w:cs="PingFang SC"/>
                <w:snapToGrid w:val="0"/>
                <w:color w:val="000000"/>
                <w:spacing w:val="-16"/>
                <w:sz w:val="24"/>
                <w:lang w:eastAsia="zh-CN"/>
              </w:rPr>
              <w:t>认可度的学科竞赛。</w:t>
            </w:r>
          </w:p>
        </w:tc>
      </w:tr>
      <w:tr w14:paraId="4363C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86" w:type="dxa"/>
            <w:vMerge w:val="continue"/>
            <w:tcBorders>
              <w:top w:val="nil"/>
              <w:bottom w:val="nil"/>
            </w:tcBorders>
            <w:textDirection w:val="tbRlV"/>
            <w:vAlign w:val="center"/>
          </w:tcPr>
          <w:p w14:paraId="178F0A79">
            <w:pPr>
              <w:spacing w:line="360" w:lineRule="auto"/>
              <w:rPr>
                <w:rFonts w:ascii="仿宋_GB2312" w:hAnsi="仿宋_GB2312" w:eastAsia="仿宋_GB2312"/>
                <w:snapToGrid w:val="0"/>
                <w:color w:val="000000"/>
                <w:lang w:eastAsia="zh-CN"/>
              </w:rPr>
            </w:pPr>
          </w:p>
        </w:tc>
        <w:tc>
          <w:tcPr>
            <w:tcW w:w="612" w:type="dxa"/>
            <w:vMerge w:val="continue"/>
            <w:tcBorders>
              <w:top w:val="nil"/>
              <w:bottom w:val="nil"/>
            </w:tcBorders>
            <w:textDirection w:val="tbRlV"/>
            <w:vAlign w:val="center"/>
          </w:tcPr>
          <w:p w14:paraId="3B32ED42">
            <w:pPr>
              <w:spacing w:line="360" w:lineRule="auto"/>
              <w:rPr>
                <w:rFonts w:ascii="仿宋_GB2312" w:hAnsi="仿宋_GB2312" w:eastAsia="仿宋_GB2312"/>
                <w:snapToGrid w:val="0"/>
                <w:color w:val="000000"/>
                <w:lang w:eastAsia="zh-CN"/>
              </w:rPr>
            </w:pPr>
          </w:p>
        </w:tc>
        <w:tc>
          <w:tcPr>
            <w:tcW w:w="1112" w:type="dxa"/>
            <w:vAlign w:val="center"/>
          </w:tcPr>
          <w:p w14:paraId="29D425AB">
            <w:pPr>
              <w:spacing w:before="69" w:line="360" w:lineRule="auto"/>
              <w:ind w:left="23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position w:val="-1"/>
                <w:sz w:val="24"/>
                <w:lang w:eastAsia="en-US"/>
              </w:rPr>
              <w:t>一等奖</w:t>
            </w:r>
          </w:p>
        </w:tc>
        <w:tc>
          <w:tcPr>
            <w:tcW w:w="1234" w:type="dxa"/>
            <w:vAlign w:val="center"/>
          </w:tcPr>
          <w:p w14:paraId="6AC34B3B">
            <w:pPr>
              <w:spacing w:before="69" w:line="360" w:lineRule="auto"/>
              <w:ind w:left="45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4"/>
                <w:position w:val="-1"/>
                <w:sz w:val="24"/>
                <w:lang w:eastAsia="en-US"/>
              </w:rPr>
              <w:t>0.8</w:t>
            </w:r>
          </w:p>
        </w:tc>
        <w:tc>
          <w:tcPr>
            <w:tcW w:w="5541" w:type="dxa"/>
            <w:vMerge w:val="continue"/>
            <w:tcBorders>
              <w:top w:val="nil"/>
              <w:bottom w:val="nil"/>
            </w:tcBorders>
            <w:vAlign w:val="center"/>
          </w:tcPr>
          <w:p w14:paraId="79DDD868">
            <w:pPr>
              <w:spacing w:line="360" w:lineRule="auto"/>
              <w:rPr>
                <w:rFonts w:ascii="仿宋_GB2312" w:hAnsi="仿宋_GB2312" w:eastAsia="仿宋_GB2312"/>
                <w:snapToGrid w:val="0"/>
                <w:color w:val="000000"/>
                <w:lang w:eastAsia="en-US"/>
              </w:rPr>
            </w:pPr>
          </w:p>
        </w:tc>
      </w:tr>
      <w:tr w14:paraId="61EDF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86" w:type="dxa"/>
            <w:vMerge w:val="continue"/>
            <w:tcBorders>
              <w:top w:val="nil"/>
            </w:tcBorders>
            <w:textDirection w:val="tbRlV"/>
            <w:vAlign w:val="center"/>
          </w:tcPr>
          <w:p w14:paraId="134F54B4">
            <w:pPr>
              <w:spacing w:line="360" w:lineRule="auto"/>
              <w:rPr>
                <w:rFonts w:ascii="仿宋_GB2312" w:hAnsi="仿宋_GB2312" w:eastAsia="仿宋_GB2312"/>
                <w:snapToGrid w:val="0"/>
                <w:color w:val="000000"/>
                <w:lang w:eastAsia="en-US"/>
              </w:rPr>
            </w:pPr>
          </w:p>
        </w:tc>
        <w:tc>
          <w:tcPr>
            <w:tcW w:w="612" w:type="dxa"/>
            <w:vMerge w:val="continue"/>
            <w:tcBorders>
              <w:top w:val="nil"/>
            </w:tcBorders>
            <w:textDirection w:val="tbRlV"/>
            <w:vAlign w:val="center"/>
          </w:tcPr>
          <w:p w14:paraId="0204FAE1">
            <w:pPr>
              <w:spacing w:line="360" w:lineRule="auto"/>
              <w:rPr>
                <w:rFonts w:ascii="仿宋_GB2312" w:hAnsi="仿宋_GB2312" w:eastAsia="仿宋_GB2312"/>
                <w:snapToGrid w:val="0"/>
                <w:color w:val="000000"/>
                <w:lang w:eastAsia="en-US"/>
              </w:rPr>
            </w:pPr>
          </w:p>
        </w:tc>
        <w:tc>
          <w:tcPr>
            <w:tcW w:w="1112" w:type="dxa"/>
            <w:vAlign w:val="center"/>
          </w:tcPr>
          <w:p w14:paraId="758F16A3">
            <w:pPr>
              <w:spacing w:before="69" w:line="360" w:lineRule="auto"/>
              <w:ind w:left="238"/>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position w:val="-1"/>
                <w:sz w:val="24"/>
                <w:lang w:eastAsia="en-US"/>
              </w:rPr>
              <w:t>二等奖</w:t>
            </w:r>
          </w:p>
        </w:tc>
        <w:tc>
          <w:tcPr>
            <w:tcW w:w="1234" w:type="dxa"/>
            <w:vAlign w:val="center"/>
          </w:tcPr>
          <w:p w14:paraId="33B71493">
            <w:pPr>
              <w:spacing w:before="69" w:line="360" w:lineRule="auto"/>
              <w:ind w:left="45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4"/>
                <w:position w:val="-1"/>
                <w:sz w:val="24"/>
                <w:lang w:eastAsia="en-US"/>
              </w:rPr>
              <w:t>0.5</w:t>
            </w:r>
          </w:p>
        </w:tc>
        <w:tc>
          <w:tcPr>
            <w:tcW w:w="5541" w:type="dxa"/>
            <w:vMerge w:val="continue"/>
            <w:tcBorders>
              <w:top w:val="nil"/>
            </w:tcBorders>
            <w:vAlign w:val="center"/>
          </w:tcPr>
          <w:p w14:paraId="670486C0">
            <w:pPr>
              <w:spacing w:line="360" w:lineRule="auto"/>
              <w:rPr>
                <w:rFonts w:ascii="仿宋_GB2312" w:hAnsi="仿宋_GB2312" w:eastAsia="仿宋_GB2312"/>
                <w:snapToGrid w:val="0"/>
                <w:color w:val="000000"/>
                <w:lang w:eastAsia="en-US"/>
              </w:rPr>
            </w:pPr>
          </w:p>
        </w:tc>
      </w:tr>
    </w:tbl>
    <w:p w14:paraId="479A2577">
      <w:pPr>
        <w:pStyle w:val="2"/>
        <w:spacing w:before="189" w:line="360" w:lineRule="auto"/>
        <w:ind w:right="160"/>
        <w:jc w:val="both"/>
        <w:rPr>
          <w:lang w:eastAsia="zh-CN"/>
        </w:rPr>
        <w:sectPr>
          <w:pgSz w:w="11906" w:h="16838"/>
          <w:pgMar w:top="1134" w:right="1418" w:bottom="1259" w:left="1418" w:header="851" w:footer="992" w:gutter="0"/>
          <w:cols w:space="720" w:num="1"/>
          <w:docGrid w:type="lines" w:linePitch="0" w:charSpace="0"/>
        </w:sectPr>
      </w:pPr>
    </w:p>
    <w:p w14:paraId="357C3F21">
      <w:pPr>
        <w:spacing w:before="128" w:line="360" w:lineRule="auto"/>
        <w:jc w:val="center"/>
        <w:outlineLvl w:val="3"/>
        <w:rPr>
          <w:rFonts w:ascii="仿宋_GB2312" w:hAnsi="仿宋_GB2312" w:eastAsia="仿宋_GB2312" w:cs="PingFang SC"/>
          <w:sz w:val="28"/>
          <w:szCs w:val="28"/>
        </w:rPr>
      </w:pPr>
      <w:r>
        <w:rPr>
          <w:rFonts w:ascii="仿宋_GB2312" w:hAnsi="仿宋_GB2312" w:eastAsia="仿宋_GB2312" w:cs="PingFang SC"/>
          <w:b/>
          <w:bCs/>
          <w:spacing w:val="-21"/>
          <w:sz w:val="28"/>
          <w:szCs w:val="28"/>
        </w:rPr>
        <w:t>表4体育类竞赛计分标准一览表</w:t>
      </w:r>
    </w:p>
    <w:tbl>
      <w:tblPr>
        <w:tblStyle w:val="6"/>
        <w:tblW w:w="945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1"/>
        <w:gridCol w:w="1872"/>
        <w:gridCol w:w="1990"/>
        <w:gridCol w:w="2174"/>
        <w:gridCol w:w="1719"/>
      </w:tblGrid>
      <w:tr w14:paraId="0C05A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3573" w:type="dxa"/>
            <w:gridSpan w:val="2"/>
          </w:tcPr>
          <w:p w14:paraId="1FE0C9F8">
            <w:pPr>
              <w:spacing w:before="186"/>
              <w:ind w:left="135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5"/>
                <w:sz w:val="24"/>
                <w:lang w:eastAsia="en-US"/>
              </w:rPr>
              <w:t>竞赛类别</w:t>
            </w:r>
          </w:p>
        </w:tc>
        <w:tc>
          <w:tcPr>
            <w:tcW w:w="1990" w:type="dxa"/>
          </w:tcPr>
          <w:p w14:paraId="1DD39990">
            <w:pPr>
              <w:spacing w:before="186"/>
              <w:ind w:left="565"/>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获奖等级</w:t>
            </w:r>
          </w:p>
        </w:tc>
        <w:tc>
          <w:tcPr>
            <w:tcW w:w="2174" w:type="dxa"/>
          </w:tcPr>
          <w:p w14:paraId="2A825CCB">
            <w:pPr>
              <w:spacing w:before="186"/>
              <w:ind w:left="43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5"/>
                <w:sz w:val="24"/>
                <w:lang w:eastAsia="en-US"/>
              </w:rPr>
              <w:t>集体项目计分</w:t>
            </w:r>
          </w:p>
        </w:tc>
        <w:tc>
          <w:tcPr>
            <w:tcW w:w="1719" w:type="dxa"/>
          </w:tcPr>
          <w:p w14:paraId="0674AF3B">
            <w:pPr>
              <w:spacing w:before="186"/>
              <w:ind w:left="433"/>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5"/>
                <w:sz w:val="24"/>
                <w:lang w:eastAsia="en-US"/>
              </w:rPr>
              <w:t>单项计分</w:t>
            </w:r>
          </w:p>
        </w:tc>
      </w:tr>
      <w:tr w14:paraId="740C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01" w:type="dxa"/>
            <w:vMerge w:val="restart"/>
            <w:tcBorders>
              <w:bottom w:val="nil"/>
            </w:tcBorders>
          </w:tcPr>
          <w:p w14:paraId="293A07BD">
            <w:pPr>
              <w:spacing w:before="109"/>
              <w:ind w:left="58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1"/>
                <w:sz w:val="24"/>
                <w:lang w:eastAsia="en-US"/>
              </w:rPr>
              <w:t>国家级</w:t>
            </w:r>
          </w:p>
        </w:tc>
        <w:tc>
          <w:tcPr>
            <w:tcW w:w="1872" w:type="dxa"/>
            <w:vMerge w:val="restart"/>
            <w:tcBorders>
              <w:bottom w:val="nil"/>
            </w:tcBorders>
          </w:tcPr>
          <w:p w14:paraId="2634693E">
            <w:pPr>
              <w:spacing w:before="109"/>
              <w:ind w:left="695"/>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0"/>
                <w:sz w:val="24"/>
                <w:lang w:eastAsia="en-US"/>
              </w:rPr>
              <w:t>一级</w:t>
            </w:r>
          </w:p>
        </w:tc>
        <w:tc>
          <w:tcPr>
            <w:tcW w:w="1990" w:type="dxa"/>
          </w:tcPr>
          <w:p w14:paraId="69756616">
            <w:pPr>
              <w:spacing w:before="183"/>
              <w:ind w:left="676"/>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sz w:val="24"/>
                <w:lang w:eastAsia="en-US"/>
              </w:rPr>
              <w:t>一等奖</w:t>
            </w:r>
          </w:p>
        </w:tc>
        <w:tc>
          <w:tcPr>
            <w:tcW w:w="2174" w:type="dxa"/>
          </w:tcPr>
          <w:p w14:paraId="3DC96611">
            <w:pPr>
              <w:spacing w:before="182"/>
              <w:ind w:left="99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
                <w:sz w:val="24"/>
                <w:lang w:eastAsia="en-US"/>
              </w:rPr>
              <w:t>10</w:t>
            </w:r>
          </w:p>
        </w:tc>
        <w:tc>
          <w:tcPr>
            <w:tcW w:w="1719" w:type="dxa"/>
          </w:tcPr>
          <w:p w14:paraId="28E888A4">
            <w:pPr>
              <w:spacing w:before="182"/>
              <w:ind w:left="81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8</w:t>
            </w:r>
          </w:p>
        </w:tc>
      </w:tr>
      <w:tr w14:paraId="6F4E9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01" w:type="dxa"/>
            <w:vMerge w:val="continue"/>
            <w:tcBorders>
              <w:top w:val="nil"/>
              <w:bottom w:val="nil"/>
            </w:tcBorders>
          </w:tcPr>
          <w:p w14:paraId="1425CD2F">
            <w:pPr>
              <w:rPr>
                <w:rFonts w:ascii="仿宋_GB2312" w:hAnsi="仿宋_GB2312" w:eastAsia="仿宋_GB2312"/>
                <w:snapToGrid w:val="0"/>
                <w:color w:val="000000"/>
                <w:lang w:eastAsia="en-US"/>
              </w:rPr>
            </w:pPr>
          </w:p>
        </w:tc>
        <w:tc>
          <w:tcPr>
            <w:tcW w:w="1872" w:type="dxa"/>
            <w:vMerge w:val="continue"/>
            <w:tcBorders>
              <w:top w:val="nil"/>
              <w:bottom w:val="nil"/>
            </w:tcBorders>
          </w:tcPr>
          <w:p w14:paraId="14B6DE45">
            <w:pPr>
              <w:rPr>
                <w:rFonts w:ascii="仿宋_GB2312" w:hAnsi="仿宋_GB2312" w:eastAsia="仿宋_GB2312"/>
                <w:snapToGrid w:val="0"/>
                <w:color w:val="000000"/>
                <w:lang w:eastAsia="en-US"/>
              </w:rPr>
            </w:pPr>
          </w:p>
        </w:tc>
        <w:tc>
          <w:tcPr>
            <w:tcW w:w="1990" w:type="dxa"/>
          </w:tcPr>
          <w:p w14:paraId="7B5B8DAA">
            <w:pPr>
              <w:spacing w:before="184"/>
              <w:ind w:left="68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二等奖</w:t>
            </w:r>
          </w:p>
        </w:tc>
        <w:tc>
          <w:tcPr>
            <w:tcW w:w="2174" w:type="dxa"/>
          </w:tcPr>
          <w:p w14:paraId="4998561F">
            <w:pPr>
              <w:spacing w:before="183"/>
              <w:ind w:left="1038"/>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8</w:t>
            </w:r>
          </w:p>
        </w:tc>
        <w:tc>
          <w:tcPr>
            <w:tcW w:w="1719" w:type="dxa"/>
          </w:tcPr>
          <w:p w14:paraId="76B57AD4">
            <w:pPr>
              <w:spacing w:before="183"/>
              <w:ind w:left="81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5</w:t>
            </w:r>
          </w:p>
        </w:tc>
      </w:tr>
      <w:tr w14:paraId="78CFB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01" w:type="dxa"/>
            <w:vMerge w:val="continue"/>
            <w:tcBorders>
              <w:top w:val="nil"/>
              <w:bottom w:val="nil"/>
            </w:tcBorders>
          </w:tcPr>
          <w:p w14:paraId="30EEF2EF">
            <w:pPr>
              <w:rPr>
                <w:rFonts w:ascii="仿宋_GB2312" w:hAnsi="仿宋_GB2312" w:eastAsia="仿宋_GB2312"/>
                <w:snapToGrid w:val="0"/>
                <w:color w:val="000000"/>
                <w:lang w:eastAsia="en-US"/>
              </w:rPr>
            </w:pPr>
          </w:p>
        </w:tc>
        <w:tc>
          <w:tcPr>
            <w:tcW w:w="1872" w:type="dxa"/>
            <w:vMerge w:val="continue"/>
            <w:tcBorders>
              <w:top w:val="nil"/>
            </w:tcBorders>
          </w:tcPr>
          <w:p w14:paraId="2CDADCBA">
            <w:pPr>
              <w:rPr>
                <w:rFonts w:ascii="仿宋_GB2312" w:hAnsi="仿宋_GB2312" w:eastAsia="仿宋_GB2312"/>
                <w:snapToGrid w:val="0"/>
                <w:color w:val="000000"/>
                <w:lang w:eastAsia="en-US"/>
              </w:rPr>
            </w:pPr>
          </w:p>
        </w:tc>
        <w:tc>
          <w:tcPr>
            <w:tcW w:w="1990" w:type="dxa"/>
          </w:tcPr>
          <w:p w14:paraId="46D1A605">
            <w:pPr>
              <w:spacing w:before="185"/>
              <w:ind w:left="67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三等奖</w:t>
            </w:r>
          </w:p>
        </w:tc>
        <w:tc>
          <w:tcPr>
            <w:tcW w:w="2174" w:type="dxa"/>
          </w:tcPr>
          <w:p w14:paraId="41819964">
            <w:pPr>
              <w:spacing w:before="184"/>
              <w:ind w:left="103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6</w:t>
            </w:r>
          </w:p>
        </w:tc>
        <w:tc>
          <w:tcPr>
            <w:tcW w:w="1719" w:type="dxa"/>
          </w:tcPr>
          <w:p w14:paraId="7DA2C3A7">
            <w:pPr>
              <w:spacing w:before="184"/>
              <w:ind w:left="81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3</w:t>
            </w:r>
          </w:p>
        </w:tc>
      </w:tr>
      <w:tr w14:paraId="75ABF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01" w:type="dxa"/>
            <w:vMerge w:val="continue"/>
            <w:tcBorders>
              <w:top w:val="nil"/>
              <w:bottom w:val="nil"/>
            </w:tcBorders>
          </w:tcPr>
          <w:p w14:paraId="57E9B50B">
            <w:pPr>
              <w:rPr>
                <w:rFonts w:ascii="仿宋_GB2312" w:hAnsi="仿宋_GB2312" w:eastAsia="仿宋_GB2312"/>
                <w:snapToGrid w:val="0"/>
                <w:color w:val="000000"/>
                <w:lang w:eastAsia="en-US"/>
              </w:rPr>
            </w:pPr>
          </w:p>
        </w:tc>
        <w:tc>
          <w:tcPr>
            <w:tcW w:w="1872" w:type="dxa"/>
            <w:vMerge w:val="restart"/>
            <w:tcBorders>
              <w:bottom w:val="nil"/>
            </w:tcBorders>
          </w:tcPr>
          <w:p w14:paraId="08C92B0C">
            <w:pPr>
              <w:spacing w:before="109"/>
              <w:ind w:left="69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2"/>
                <w:sz w:val="24"/>
                <w:lang w:eastAsia="en-US"/>
              </w:rPr>
              <w:t>二级</w:t>
            </w:r>
          </w:p>
        </w:tc>
        <w:tc>
          <w:tcPr>
            <w:tcW w:w="1990" w:type="dxa"/>
          </w:tcPr>
          <w:p w14:paraId="064E99F4">
            <w:pPr>
              <w:spacing w:before="186"/>
              <w:ind w:left="676"/>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sz w:val="24"/>
                <w:lang w:eastAsia="en-US"/>
              </w:rPr>
              <w:t>一等奖</w:t>
            </w:r>
          </w:p>
        </w:tc>
        <w:tc>
          <w:tcPr>
            <w:tcW w:w="2174" w:type="dxa"/>
          </w:tcPr>
          <w:p w14:paraId="529C3297">
            <w:pPr>
              <w:spacing w:before="185"/>
              <w:ind w:left="103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6</w:t>
            </w:r>
          </w:p>
        </w:tc>
        <w:tc>
          <w:tcPr>
            <w:tcW w:w="1719" w:type="dxa"/>
          </w:tcPr>
          <w:p w14:paraId="3A3E7776">
            <w:pPr>
              <w:spacing w:before="185"/>
              <w:ind w:left="81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3</w:t>
            </w:r>
          </w:p>
        </w:tc>
      </w:tr>
      <w:tr w14:paraId="2BECE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01" w:type="dxa"/>
            <w:vMerge w:val="continue"/>
            <w:tcBorders>
              <w:top w:val="nil"/>
              <w:bottom w:val="nil"/>
            </w:tcBorders>
          </w:tcPr>
          <w:p w14:paraId="6EBE8ACB">
            <w:pPr>
              <w:rPr>
                <w:rFonts w:ascii="仿宋_GB2312" w:hAnsi="仿宋_GB2312" w:eastAsia="仿宋_GB2312"/>
                <w:snapToGrid w:val="0"/>
                <w:color w:val="000000"/>
                <w:lang w:eastAsia="en-US"/>
              </w:rPr>
            </w:pPr>
          </w:p>
        </w:tc>
        <w:tc>
          <w:tcPr>
            <w:tcW w:w="1872" w:type="dxa"/>
            <w:vMerge w:val="continue"/>
            <w:tcBorders>
              <w:top w:val="nil"/>
              <w:bottom w:val="nil"/>
            </w:tcBorders>
          </w:tcPr>
          <w:p w14:paraId="19DAF300">
            <w:pPr>
              <w:rPr>
                <w:rFonts w:ascii="仿宋_GB2312" w:hAnsi="仿宋_GB2312" w:eastAsia="仿宋_GB2312"/>
                <w:snapToGrid w:val="0"/>
                <w:color w:val="000000"/>
                <w:lang w:eastAsia="en-US"/>
              </w:rPr>
            </w:pPr>
          </w:p>
        </w:tc>
        <w:tc>
          <w:tcPr>
            <w:tcW w:w="1990" w:type="dxa"/>
          </w:tcPr>
          <w:p w14:paraId="76CB429D">
            <w:pPr>
              <w:spacing w:before="187"/>
              <w:ind w:left="68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二等奖</w:t>
            </w:r>
          </w:p>
        </w:tc>
        <w:tc>
          <w:tcPr>
            <w:tcW w:w="2174" w:type="dxa"/>
          </w:tcPr>
          <w:p w14:paraId="19197097">
            <w:pPr>
              <w:spacing w:before="187"/>
              <w:ind w:left="1036"/>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4</w:t>
            </w:r>
          </w:p>
        </w:tc>
        <w:tc>
          <w:tcPr>
            <w:tcW w:w="1719" w:type="dxa"/>
          </w:tcPr>
          <w:p w14:paraId="6263D0AD">
            <w:pPr>
              <w:spacing w:before="187"/>
              <w:ind w:left="812"/>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2</w:t>
            </w:r>
          </w:p>
        </w:tc>
      </w:tr>
      <w:tr w14:paraId="6A8AF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01" w:type="dxa"/>
            <w:vMerge w:val="continue"/>
            <w:tcBorders>
              <w:top w:val="nil"/>
              <w:bottom w:val="nil"/>
            </w:tcBorders>
          </w:tcPr>
          <w:p w14:paraId="71083054">
            <w:pPr>
              <w:rPr>
                <w:rFonts w:ascii="仿宋_GB2312" w:hAnsi="仿宋_GB2312" w:eastAsia="仿宋_GB2312"/>
                <w:snapToGrid w:val="0"/>
                <w:color w:val="000000"/>
                <w:lang w:eastAsia="en-US"/>
              </w:rPr>
            </w:pPr>
          </w:p>
        </w:tc>
        <w:tc>
          <w:tcPr>
            <w:tcW w:w="1872" w:type="dxa"/>
            <w:vMerge w:val="continue"/>
            <w:tcBorders>
              <w:top w:val="nil"/>
            </w:tcBorders>
          </w:tcPr>
          <w:p w14:paraId="00CD7D39">
            <w:pPr>
              <w:rPr>
                <w:rFonts w:ascii="仿宋_GB2312" w:hAnsi="仿宋_GB2312" w:eastAsia="仿宋_GB2312"/>
                <w:snapToGrid w:val="0"/>
                <w:color w:val="000000"/>
                <w:lang w:eastAsia="en-US"/>
              </w:rPr>
            </w:pPr>
          </w:p>
        </w:tc>
        <w:tc>
          <w:tcPr>
            <w:tcW w:w="1990" w:type="dxa"/>
          </w:tcPr>
          <w:p w14:paraId="022E5154">
            <w:pPr>
              <w:spacing w:before="188"/>
              <w:ind w:left="67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三等奖</w:t>
            </w:r>
          </w:p>
        </w:tc>
        <w:tc>
          <w:tcPr>
            <w:tcW w:w="2174" w:type="dxa"/>
          </w:tcPr>
          <w:p w14:paraId="665B5AB7">
            <w:pPr>
              <w:spacing w:before="188"/>
              <w:ind w:left="104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2</w:t>
            </w:r>
          </w:p>
        </w:tc>
        <w:tc>
          <w:tcPr>
            <w:tcW w:w="1719" w:type="dxa"/>
          </w:tcPr>
          <w:p w14:paraId="59623E69">
            <w:pPr>
              <w:spacing w:before="188"/>
              <w:ind w:left="827"/>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1</w:t>
            </w:r>
          </w:p>
        </w:tc>
      </w:tr>
      <w:tr w14:paraId="017B5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01" w:type="dxa"/>
            <w:vMerge w:val="continue"/>
            <w:tcBorders>
              <w:top w:val="nil"/>
              <w:bottom w:val="nil"/>
            </w:tcBorders>
          </w:tcPr>
          <w:p w14:paraId="07AC8950">
            <w:pPr>
              <w:rPr>
                <w:rFonts w:ascii="仿宋_GB2312" w:hAnsi="仿宋_GB2312" w:eastAsia="仿宋_GB2312"/>
                <w:snapToGrid w:val="0"/>
                <w:color w:val="000000"/>
                <w:lang w:eastAsia="en-US"/>
              </w:rPr>
            </w:pPr>
          </w:p>
        </w:tc>
        <w:tc>
          <w:tcPr>
            <w:tcW w:w="1872" w:type="dxa"/>
            <w:vMerge w:val="restart"/>
            <w:tcBorders>
              <w:bottom w:val="nil"/>
            </w:tcBorders>
          </w:tcPr>
          <w:p w14:paraId="6E8A60EB">
            <w:pPr>
              <w:spacing w:before="109"/>
              <w:ind w:left="698"/>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2"/>
                <w:sz w:val="24"/>
                <w:lang w:eastAsia="en-US"/>
              </w:rPr>
              <w:t>三级</w:t>
            </w:r>
          </w:p>
        </w:tc>
        <w:tc>
          <w:tcPr>
            <w:tcW w:w="1990" w:type="dxa"/>
          </w:tcPr>
          <w:p w14:paraId="61FD7448">
            <w:pPr>
              <w:spacing w:before="189"/>
              <w:ind w:left="676"/>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sz w:val="24"/>
                <w:lang w:eastAsia="en-US"/>
              </w:rPr>
              <w:t>一等奖</w:t>
            </w:r>
          </w:p>
        </w:tc>
        <w:tc>
          <w:tcPr>
            <w:tcW w:w="2174" w:type="dxa"/>
          </w:tcPr>
          <w:p w14:paraId="01DADFB9">
            <w:pPr>
              <w:spacing w:before="188"/>
              <w:ind w:left="1042"/>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3</w:t>
            </w:r>
          </w:p>
        </w:tc>
        <w:tc>
          <w:tcPr>
            <w:tcW w:w="1719" w:type="dxa"/>
          </w:tcPr>
          <w:p w14:paraId="55DBBFF9">
            <w:pPr>
              <w:spacing w:before="189"/>
              <w:ind w:left="827"/>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1</w:t>
            </w:r>
          </w:p>
        </w:tc>
      </w:tr>
      <w:tr w14:paraId="3D44A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01" w:type="dxa"/>
            <w:vMerge w:val="continue"/>
            <w:tcBorders>
              <w:top w:val="nil"/>
              <w:bottom w:val="nil"/>
            </w:tcBorders>
          </w:tcPr>
          <w:p w14:paraId="31260420">
            <w:pPr>
              <w:rPr>
                <w:rFonts w:ascii="仿宋_GB2312" w:hAnsi="仿宋_GB2312" w:eastAsia="仿宋_GB2312"/>
                <w:snapToGrid w:val="0"/>
                <w:color w:val="000000"/>
                <w:lang w:eastAsia="en-US"/>
              </w:rPr>
            </w:pPr>
          </w:p>
        </w:tc>
        <w:tc>
          <w:tcPr>
            <w:tcW w:w="1872" w:type="dxa"/>
            <w:vMerge w:val="continue"/>
            <w:tcBorders>
              <w:top w:val="nil"/>
              <w:bottom w:val="nil"/>
            </w:tcBorders>
          </w:tcPr>
          <w:p w14:paraId="2A95FD42">
            <w:pPr>
              <w:rPr>
                <w:rFonts w:ascii="仿宋_GB2312" w:hAnsi="仿宋_GB2312" w:eastAsia="仿宋_GB2312"/>
                <w:snapToGrid w:val="0"/>
                <w:color w:val="000000"/>
                <w:lang w:eastAsia="en-US"/>
              </w:rPr>
            </w:pPr>
          </w:p>
        </w:tc>
        <w:tc>
          <w:tcPr>
            <w:tcW w:w="1990" w:type="dxa"/>
          </w:tcPr>
          <w:p w14:paraId="2E81A30E">
            <w:pPr>
              <w:spacing w:before="190"/>
              <w:ind w:left="68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二等奖</w:t>
            </w:r>
          </w:p>
        </w:tc>
        <w:tc>
          <w:tcPr>
            <w:tcW w:w="2174" w:type="dxa"/>
          </w:tcPr>
          <w:p w14:paraId="208A313F">
            <w:pPr>
              <w:spacing w:before="190"/>
              <w:ind w:left="104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2</w:t>
            </w:r>
          </w:p>
        </w:tc>
        <w:tc>
          <w:tcPr>
            <w:tcW w:w="1719" w:type="dxa"/>
          </w:tcPr>
          <w:p w14:paraId="6062A077">
            <w:pPr>
              <w:spacing w:before="189"/>
              <w:ind w:left="70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4"/>
                <w:sz w:val="24"/>
                <w:lang w:eastAsia="en-US"/>
              </w:rPr>
              <w:t>0.6</w:t>
            </w:r>
          </w:p>
        </w:tc>
      </w:tr>
      <w:tr w14:paraId="1079E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701" w:type="dxa"/>
            <w:vMerge w:val="continue"/>
            <w:tcBorders>
              <w:top w:val="nil"/>
            </w:tcBorders>
          </w:tcPr>
          <w:p w14:paraId="1B5E629A">
            <w:pPr>
              <w:rPr>
                <w:rFonts w:ascii="仿宋_GB2312" w:hAnsi="仿宋_GB2312" w:eastAsia="仿宋_GB2312"/>
                <w:snapToGrid w:val="0"/>
                <w:color w:val="000000"/>
                <w:lang w:eastAsia="en-US"/>
              </w:rPr>
            </w:pPr>
          </w:p>
        </w:tc>
        <w:tc>
          <w:tcPr>
            <w:tcW w:w="1872" w:type="dxa"/>
            <w:vMerge w:val="continue"/>
            <w:tcBorders>
              <w:top w:val="nil"/>
            </w:tcBorders>
          </w:tcPr>
          <w:p w14:paraId="74249F32">
            <w:pPr>
              <w:rPr>
                <w:rFonts w:ascii="仿宋_GB2312" w:hAnsi="仿宋_GB2312" w:eastAsia="仿宋_GB2312"/>
                <w:snapToGrid w:val="0"/>
                <w:color w:val="000000"/>
                <w:lang w:eastAsia="en-US"/>
              </w:rPr>
            </w:pPr>
          </w:p>
        </w:tc>
        <w:tc>
          <w:tcPr>
            <w:tcW w:w="1990" w:type="dxa"/>
          </w:tcPr>
          <w:p w14:paraId="4580CD8B">
            <w:pPr>
              <w:spacing w:before="191"/>
              <w:ind w:left="67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三等奖</w:t>
            </w:r>
          </w:p>
        </w:tc>
        <w:tc>
          <w:tcPr>
            <w:tcW w:w="2174" w:type="dxa"/>
          </w:tcPr>
          <w:p w14:paraId="2524D790">
            <w:pPr>
              <w:spacing w:before="191"/>
              <w:ind w:left="1055"/>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z w:val="24"/>
                <w:lang w:eastAsia="en-US"/>
              </w:rPr>
              <w:t>1</w:t>
            </w:r>
          </w:p>
        </w:tc>
        <w:tc>
          <w:tcPr>
            <w:tcW w:w="1719" w:type="dxa"/>
          </w:tcPr>
          <w:p w14:paraId="513E8A61">
            <w:pPr>
              <w:spacing w:before="190"/>
              <w:ind w:left="70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4"/>
                <w:sz w:val="24"/>
                <w:lang w:eastAsia="en-US"/>
              </w:rPr>
              <w:t>0.4</w:t>
            </w:r>
          </w:p>
        </w:tc>
      </w:tr>
    </w:tbl>
    <w:p w14:paraId="1ECF6320">
      <w:pPr>
        <w:spacing w:before="329"/>
        <w:ind w:left="2875"/>
        <w:outlineLvl w:val="3"/>
        <w:rPr>
          <w:rFonts w:ascii="仿宋_GB2312" w:hAnsi="仿宋_GB2312" w:eastAsia="仿宋_GB2312" w:cs="PingFang SC"/>
          <w:sz w:val="28"/>
          <w:szCs w:val="28"/>
        </w:rPr>
      </w:pPr>
      <w:r>
        <w:rPr>
          <w:rFonts w:ascii="仿宋_GB2312" w:hAnsi="仿宋_GB2312" w:eastAsia="仿宋_GB2312" w:cs="PingFang SC"/>
          <w:b/>
          <w:bCs/>
          <w:spacing w:val="-21"/>
          <w:sz w:val="28"/>
          <w:szCs w:val="28"/>
        </w:rPr>
        <w:t>表5综合素质评价成绩参考标准</w:t>
      </w:r>
    </w:p>
    <w:p w14:paraId="53CDD57D">
      <w:pPr>
        <w:rPr>
          <w:rFonts w:ascii="仿宋_GB2312" w:hAnsi="仿宋_GB2312" w:eastAsia="仿宋_GB2312"/>
        </w:rPr>
      </w:pPr>
    </w:p>
    <w:tbl>
      <w:tblPr>
        <w:tblStyle w:val="6"/>
        <w:tblW w:w="50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94"/>
        <w:gridCol w:w="5219"/>
        <w:gridCol w:w="1196"/>
        <w:gridCol w:w="1607"/>
      </w:tblGrid>
      <w:tr w14:paraId="496AC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tcPr>
          <w:p w14:paraId="14514E3C">
            <w:pPr>
              <w:snapToGrid w:val="0"/>
              <w:spacing w:before="117"/>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0"/>
                <w:sz w:val="24"/>
                <w:lang w:eastAsia="en-US"/>
              </w:rPr>
              <w:t>类别</w:t>
            </w:r>
          </w:p>
        </w:tc>
        <w:tc>
          <w:tcPr>
            <w:tcW w:w="2862" w:type="pct"/>
          </w:tcPr>
          <w:p w14:paraId="25146C44">
            <w:pPr>
              <w:snapToGrid w:val="0"/>
              <w:spacing w:before="117"/>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参考标准</w:t>
            </w:r>
          </w:p>
        </w:tc>
        <w:tc>
          <w:tcPr>
            <w:tcW w:w="656" w:type="pct"/>
          </w:tcPr>
          <w:p w14:paraId="596D83AA">
            <w:pPr>
              <w:snapToGrid w:val="0"/>
              <w:spacing w:before="117"/>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4"/>
                <w:sz w:val="24"/>
                <w:lang w:eastAsia="en-US"/>
              </w:rPr>
              <w:t>分值区间</w:t>
            </w:r>
          </w:p>
        </w:tc>
        <w:tc>
          <w:tcPr>
            <w:tcW w:w="881" w:type="pct"/>
          </w:tcPr>
          <w:p w14:paraId="10DB47B3">
            <w:pPr>
              <w:snapToGrid w:val="0"/>
              <w:spacing w:before="117"/>
              <w:ind w:left="231"/>
              <w:rPr>
                <w:rFonts w:hint="eastAsia" w:ascii="仿宋_GB2312" w:hAnsi="仿宋_GB2312" w:eastAsia="仿宋_GB2312" w:cs="PingFang SC"/>
                <w:snapToGrid w:val="0"/>
                <w:color w:val="000000"/>
                <w:spacing w:val="-14"/>
                <w:sz w:val="24"/>
                <w:lang w:val="en-US" w:eastAsia="zh-CN"/>
              </w:rPr>
            </w:pPr>
            <w:r>
              <w:rPr>
                <w:rFonts w:hint="eastAsia" w:ascii="仿宋_GB2312" w:hAnsi="仿宋_GB2312" w:eastAsia="仿宋_GB2312" w:cs="PingFang SC"/>
                <w:snapToGrid w:val="0"/>
                <w:color w:val="000000"/>
                <w:spacing w:val="-14"/>
                <w:sz w:val="24"/>
                <w:lang w:val="en-US" w:eastAsia="zh-CN"/>
              </w:rPr>
              <w:t>备注</w:t>
            </w:r>
          </w:p>
        </w:tc>
      </w:tr>
      <w:tr w14:paraId="046DE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Merge w:val="restart"/>
            <w:tcBorders>
              <w:bottom w:val="nil"/>
            </w:tcBorders>
            <w:vAlign w:val="center"/>
          </w:tcPr>
          <w:p w14:paraId="6F0FFD88">
            <w:pPr>
              <w:snapToGrid w:val="0"/>
              <w:spacing w:before="10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6"/>
                <w:sz w:val="24"/>
                <w:lang w:eastAsia="en-US"/>
              </w:rPr>
              <w:t>参军入伍服兵役</w:t>
            </w:r>
          </w:p>
        </w:tc>
        <w:tc>
          <w:tcPr>
            <w:tcW w:w="2862" w:type="pct"/>
            <w:vAlign w:val="center"/>
          </w:tcPr>
          <w:p w14:paraId="56F89304">
            <w:pPr>
              <w:snapToGrid w:val="0"/>
              <w:spacing w:before="143"/>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8"/>
                <w:sz w:val="24"/>
                <w:lang w:eastAsia="zh-CN"/>
              </w:rPr>
              <w:t>获得二等功及以上加5 分</w:t>
            </w:r>
          </w:p>
        </w:tc>
        <w:tc>
          <w:tcPr>
            <w:tcW w:w="656" w:type="pct"/>
            <w:vMerge w:val="restart"/>
            <w:tcBorders>
              <w:bottom w:val="nil"/>
            </w:tcBorders>
            <w:vAlign w:val="center"/>
          </w:tcPr>
          <w:p w14:paraId="4F090C78">
            <w:pPr>
              <w:snapToGrid w:val="0"/>
              <w:spacing w:before="109"/>
              <w:jc w:val="center"/>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3"/>
                <w:sz w:val="24"/>
                <w:lang w:eastAsia="en-US"/>
              </w:rPr>
              <w:t>0-5</w:t>
            </w:r>
          </w:p>
        </w:tc>
        <w:tc>
          <w:tcPr>
            <w:tcW w:w="881" w:type="pct"/>
            <w:vMerge w:val="restart"/>
            <w:vAlign w:val="center"/>
          </w:tcPr>
          <w:p w14:paraId="78BA5168">
            <w:pPr>
              <w:snapToGrid w:val="0"/>
              <w:spacing w:before="109"/>
              <w:rPr>
                <w:rFonts w:ascii="仿宋_GB2312" w:hAnsi="仿宋_GB2312" w:eastAsia="仿宋_GB2312" w:cs="PingFang SC"/>
                <w:snapToGrid w:val="0"/>
                <w:color w:val="000000"/>
                <w:spacing w:val="-23"/>
                <w:sz w:val="24"/>
                <w:lang w:eastAsia="en-US"/>
              </w:rPr>
            </w:pPr>
            <w:r>
              <w:rPr>
                <w:rFonts w:hint="eastAsia" w:ascii="仿宋_GB2312" w:hAnsi="仿宋_GB2312" w:eastAsia="仿宋_GB2312" w:cs="PingFang SC"/>
                <w:snapToGrid w:val="0"/>
                <w:color w:val="000000"/>
                <w:spacing w:val="-23"/>
                <w:sz w:val="24"/>
                <w:lang w:eastAsia="en-US"/>
              </w:rPr>
              <w:t>提供完成服役</w:t>
            </w:r>
            <w:r>
              <w:rPr>
                <w:rFonts w:hint="eastAsia" w:ascii="仿宋_GB2312" w:hAnsi="仿宋_GB2312" w:eastAsia="仿宋_GB2312" w:cs="PingFang SC"/>
                <w:snapToGrid w:val="0"/>
                <w:color w:val="000000"/>
                <w:spacing w:val="-23"/>
                <w:sz w:val="24"/>
                <w:lang w:val="en-US" w:eastAsia="zh-CN"/>
              </w:rPr>
              <w:t>或立功</w:t>
            </w:r>
            <w:r>
              <w:rPr>
                <w:rFonts w:hint="eastAsia" w:ascii="仿宋_GB2312" w:hAnsi="仿宋_GB2312" w:eastAsia="仿宋_GB2312" w:cs="PingFang SC"/>
                <w:snapToGrid w:val="0"/>
                <w:color w:val="000000"/>
                <w:spacing w:val="-23"/>
                <w:sz w:val="24"/>
                <w:lang w:eastAsia="en-US"/>
              </w:rPr>
              <w:t>相关证明材料。</w:t>
            </w:r>
          </w:p>
        </w:tc>
      </w:tr>
      <w:tr w14:paraId="7BA1D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Merge w:val="continue"/>
            <w:tcBorders>
              <w:top w:val="nil"/>
              <w:bottom w:val="nil"/>
            </w:tcBorders>
            <w:vAlign w:val="center"/>
          </w:tcPr>
          <w:p w14:paraId="642F2BBE">
            <w:pPr>
              <w:snapToGrid w:val="0"/>
              <w:rPr>
                <w:rFonts w:ascii="仿宋_GB2312" w:hAnsi="仿宋_GB2312" w:eastAsia="仿宋_GB2312"/>
                <w:snapToGrid w:val="0"/>
                <w:color w:val="000000"/>
                <w:lang w:eastAsia="en-US"/>
              </w:rPr>
            </w:pPr>
          </w:p>
        </w:tc>
        <w:tc>
          <w:tcPr>
            <w:tcW w:w="2862" w:type="pct"/>
            <w:vAlign w:val="center"/>
          </w:tcPr>
          <w:p w14:paraId="65AD26E7">
            <w:pPr>
              <w:snapToGrid w:val="0"/>
              <w:spacing w:before="13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7"/>
                <w:sz w:val="24"/>
                <w:lang w:eastAsia="en-US"/>
              </w:rPr>
              <w:t>获得三等功加4 分</w:t>
            </w:r>
          </w:p>
        </w:tc>
        <w:tc>
          <w:tcPr>
            <w:tcW w:w="656" w:type="pct"/>
            <w:vMerge w:val="continue"/>
            <w:tcBorders>
              <w:top w:val="nil"/>
              <w:bottom w:val="nil"/>
            </w:tcBorders>
            <w:vAlign w:val="center"/>
          </w:tcPr>
          <w:p w14:paraId="11EF4DA2">
            <w:pPr>
              <w:snapToGrid w:val="0"/>
              <w:jc w:val="center"/>
              <w:rPr>
                <w:rFonts w:ascii="仿宋_GB2312" w:hAnsi="仿宋_GB2312" w:eastAsia="仿宋_GB2312"/>
                <w:snapToGrid w:val="0"/>
                <w:color w:val="000000"/>
                <w:lang w:eastAsia="en-US"/>
              </w:rPr>
            </w:pPr>
          </w:p>
        </w:tc>
        <w:tc>
          <w:tcPr>
            <w:tcW w:w="881" w:type="pct"/>
            <w:vMerge w:val="continue"/>
            <w:vAlign w:val="center"/>
          </w:tcPr>
          <w:p w14:paraId="101932F1">
            <w:pPr>
              <w:snapToGrid w:val="0"/>
              <w:rPr>
                <w:rFonts w:ascii="仿宋_GB2312" w:hAnsi="仿宋_GB2312" w:eastAsia="仿宋_GB2312"/>
                <w:snapToGrid w:val="0"/>
                <w:color w:val="000000"/>
                <w:lang w:eastAsia="en-US"/>
              </w:rPr>
            </w:pPr>
          </w:p>
        </w:tc>
      </w:tr>
      <w:tr w14:paraId="61C65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Merge w:val="continue"/>
            <w:tcBorders>
              <w:top w:val="nil"/>
              <w:bottom w:val="nil"/>
            </w:tcBorders>
            <w:vAlign w:val="center"/>
          </w:tcPr>
          <w:p w14:paraId="62E70CA5">
            <w:pPr>
              <w:snapToGrid w:val="0"/>
              <w:rPr>
                <w:rFonts w:ascii="仿宋_GB2312" w:hAnsi="仿宋_GB2312" w:eastAsia="仿宋_GB2312"/>
                <w:snapToGrid w:val="0"/>
                <w:color w:val="000000"/>
                <w:lang w:eastAsia="en-US"/>
              </w:rPr>
            </w:pPr>
          </w:p>
        </w:tc>
        <w:tc>
          <w:tcPr>
            <w:tcW w:w="2862" w:type="pct"/>
            <w:vAlign w:val="center"/>
          </w:tcPr>
          <w:p w14:paraId="7A755E84">
            <w:pPr>
              <w:snapToGrid w:val="0"/>
              <w:spacing w:before="155"/>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4"/>
                <w:sz w:val="24"/>
                <w:lang w:eastAsia="zh-CN"/>
              </w:rPr>
              <w:t>获奖（含嘉奖、“四有”优秀士兵等）加3 分</w:t>
            </w:r>
          </w:p>
        </w:tc>
        <w:tc>
          <w:tcPr>
            <w:tcW w:w="656" w:type="pct"/>
            <w:vMerge w:val="continue"/>
            <w:tcBorders>
              <w:top w:val="nil"/>
              <w:bottom w:val="nil"/>
            </w:tcBorders>
            <w:vAlign w:val="center"/>
          </w:tcPr>
          <w:p w14:paraId="03B875F2">
            <w:pPr>
              <w:snapToGrid w:val="0"/>
              <w:jc w:val="center"/>
              <w:rPr>
                <w:rFonts w:ascii="仿宋_GB2312" w:hAnsi="仿宋_GB2312" w:eastAsia="仿宋_GB2312"/>
                <w:snapToGrid w:val="0"/>
                <w:color w:val="000000"/>
                <w:lang w:eastAsia="zh-CN"/>
              </w:rPr>
            </w:pPr>
          </w:p>
        </w:tc>
        <w:tc>
          <w:tcPr>
            <w:tcW w:w="881" w:type="pct"/>
            <w:vMerge w:val="continue"/>
            <w:vAlign w:val="center"/>
          </w:tcPr>
          <w:p w14:paraId="12DBFB03">
            <w:pPr>
              <w:snapToGrid w:val="0"/>
              <w:rPr>
                <w:rFonts w:ascii="仿宋_GB2312" w:hAnsi="仿宋_GB2312" w:eastAsia="仿宋_GB2312"/>
                <w:snapToGrid w:val="0"/>
                <w:color w:val="000000"/>
                <w:lang w:eastAsia="zh-CN"/>
              </w:rPr>
            </w:pPr>
          </w:p>
        </w:tc>
      </w:tr>
      <w:tr w14:paraId="55DFC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Merge w:val="continue"/>
            <w:tcBorders>
              <w:top w:val="nil"/>
            </w:tcBorders>
            <w:vAlign w:val="center"/>
          </w:tcPr>
          <w:p w14:paraId="5F7FD504">
            <w:pPr>
              <w:snapToGrid w:val="0"/>
              <w:rPr>
                <w:rFonts w:ascii="仿宋_GB2312" w:hAnsi="仿宋_GB2312" w:eastAsia="仿宋_GB2312"/>
                <w:snapToGrid w:val="0"/>
                <w:color w:val="000000"/>
                <w:lang w:eastAsia="zh-CN"/>
              </w:rPr>
            </w:pPr>
          </w:p>
        </w:tc>
        <w:tc>
          <w:tcPr>
            <w:tcW w:w="2862" w:type="pct"/>
            <w:vAlign w:val="center"/>
          </w:tcPr>
          <w:p w14:paraId="0A8A79BC">
            <w:pPr>
              <w:snapToGrid w:val="0"/>
              <w:spacing w:before="122"/>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9"/>
                <w:sz w:val="24"/>
                <w:lang w:eastAsia="zh-CN"/>
              </w:rPr>
              <w:t>圆满履行兵役义务加2 分</w:t>
            </w:r>
          </w:p>
        </w:tc>
        <w:tc>
          <w:tcPr>
            <w:tcW w:w="656" w:type="pct"/>
            <w:vMerge w:val="continue"/>
            <w:tcBorders>
              <w:top w:val="nil"/>
            </w:tcBorders>
            <w:vAlign w:val="center"/>
          </w:tcPr>
          <w:p w14:paraId="747A8C57">
            <w:pPr>
              <w:snapToGrid w:val="0"/>
              <w:jc w:val="center"/>
              <w:rPr>
                <w:rFonts w:ascii="仿宋_GB2312" w:hAnsi="仿宋_GB2312" w:eastAsia="仿宋_GB2312"/>
                <w:snapToGrid w:val="0"/>
                <w:color w:val="000000"/>
                <w:lang w:eastAsia="zh-CN"/>
              </w:rPr>
            </w:pPr>
          </w:p>
        </w:tc>
        <w:tc>
          <w:tcPr>
            <w:tcW w:w="881" w:type="pct"/>
            <w:vMerge w:val="continue"/>
            <w:vAlign w:val="center"/>
          </w:tcPr>
          <w:p w14:paraId="24E5E089">
            <w:pPr>
              <w:snapToGrid w:val="0"/>
              <w:rPr>
                <w:rFonts w:ascii="仿宋_GB2312" w:hAnsi="仿宋_GB2312" w:eastAsia="仿宋_GB2312"/>
                <w:snapToGrid w:val="0"/>
                <w:color w:val="000000"/>
                <w:lang w:eastAsia="zh-CN"/>
              </w:rPr>
            </w:pPr>
          </w:p>
        </w:tc>
      </w:tr>
      <w:tr w14:paraId="422FB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Align w:val="center"/>
          </w:tcPr>
          <w:p w14:paraId="1392CDE4">
            <w:pPr>
              <w:snapToGrid w:val="0"/>
              <w:spacing w:before="10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5"/>
                <w:sz w:val="24"/>
                <w:lang w:eastAsia="en-US"/>
              </w:rPr>
              <w:t>志愿服务</w:t>
            </w:r>
          </w:p>
        </w:tc>
        <w:tc>
          <w:tcPr>
            <w:tcW w:w="2862" w:type="pct"/>
            <w:vAlign w:val="center"/>
          </w:tcPr>
          <w:p w14:paraId="09D86EFF">
            <w:pPr>
              <w:snapToGrid w:val="0"/>
              <w:spacing w:before="301"/>
              <w:ind w:right="8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4"/>
                <w:sz w:val="24"/>
                <w:lang w:eastAsia="zh-CN"/>
              </w:rPr>
              <w:t>有组织志愿服务累计加分不超过1分，由校</w:t>
            </w:r>
            <w:r>
              <w:rPr>
                <w:rFonts w:ascii="仿宋_GB2312" w:hAnsi="仿宋_GB2312" w:eastAsia="仿宋_GB2312" w:cs="PingFang SC"/>
                <w:snapToGrid w:val="0"/>
                <w:color w:val="000000"/>
                <w:spacing w:val="-15"/>
                <w:sz w:val="24"/>
                <w:lang w:eastAsia="zh-CN"/>
              </w:rPr>
              <w:t>团委按照从严从紧</w:t>
            </w:r>
            <w:r>
              <w:rPr>
                <w:rFonts w:ascii="仿宋_GB2312" w:hAnsi="仿宋_GB2312" w:eastAsia="仿宋_GB2312" w:cs="PingFang SC"/>
                <w:snapToGrid w:val="0"/>
                <w:color w:val="000000"/>
                <w:spacing w:val="-18"/>
                <w:sz w:val="24"/>
                <w:lang w:eastAsia="zh-CN"/>
              </w:rPr>
              <w:t>的原则认定并确定具体加分分值。加分规则如下：</w:t>
            </w:r>
          </w:p>
          <w:p w14:paraId="17485B0C">
            <w:pPr>
              <w:snapToGrid w:val="0"/>
              <w:spacing w:before="2"/>
              <w:ind w:right="8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2"/>
                <w:sz w:val="24"/>
                <w:lang w:eastAsia="zh-CN"/>
              </w:rPr>
              <w:t>1.圆满完成具有国内国际重大影响活动的志愿服务或在</w:t>
            </w:r>
            <w:r>
              <w:rPr>
                <w:rFonts w:ascii="仿宋_GB2312" w:hAnsi="仿宋_GB2312" w:eastAsia="仿宋_GB2312" w:cs="PingFang SC"/>
                <w:snapToGrid w:val="0"/>
                <w:color w:val="000000"/>
                <w:spacing w:val="-13"/>
                <w:sz w:val="24"/>
                <w:lang w:eastAsia="zh-CN"/>
              </w:rPr>
              <w:t>志愿服</w:t>
            </w:r>
            <w:r>
              <w:rPr>
                <w:rFonts w:ascii="仿宋_GB2312" w:hAnsi="仿宋_GB2312" w:eastAsia="仿宋_GB2312" w:cs="PingFang SC"/>
                <w:snapToGrid w:val="0"/>
                <w:color w:val="000000"/>
                <w:spacing w:val="-16"/>
                <w:sz w:val="24"/>
                <w:lang w:eastAsia="zh-CN"/>
              </w:rPr>
              <w:t>务中表现突出、产生较大影响者，加0.3 分；</w:t>
            </w:r>
          </w:p>
          <w:p w14:paraId="45132CB0">
            <w:pPr>
              <w:snapToGrid w:val="0"/>
              <w:spacing w:before="2"/>
              <w:ind w:right="8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3"/>
                <w:sz w:val="24"/>
                <w:lang w:eastAsia="zh-CN"/>
              </w:rPr>
              <w:t>2.圆满完成具有省级重大影响活动的志愿服</w:t>
            </w:r>
            <w:r>
              <w:rPr>
                <w:rFonts w:ascii="仿宋_GB2312" w:hAnsi="仿宋_GB2312" w:eastAsia="仿宋_GB2312" w:cs="PingFang SC"/>
                <w:snapToGrid w:val="0"/>
                <w:color w:val="000000"/>
                <w:spacing w:val="-14"/>
                <w:sz w:val="24"/>
                <w:lang w:eastAsia="zh-CN"/>
              </w:rPr>
              <w:t>务或在志愿服务中</w:t>
            </w:r>
            <w:r>
              <w:rPr>
                <w:rFonts w:ascii="仿宋_GB2312" w:hAnsi="仿宋_GB2312" w:eastAsia="仿宋_GB2312" w:cs="PingFang SC"/>
                <w:snapToGrid w:val="0"/>
                <w:color w:val="000000"/>
                <w:spacing w:val="-15"/>
                <w:sz w:val="24"/>
                <w:lang w:eastAsia="zh-CN"/>
              </w:rPr>
              <w:t>表现突出、产生较大影响者加0.2 分；</w:t>
            </w:r>
          </w:p>
          <w:p w14:paraId="149E7E51">
            <w:pPr>
              <w:snapToGrid w:val="0"/>
              <w:spacing w:before="2"/>
              <w:ind w:right="8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4"/>
                <w:sz w:val="24"/>
                <w:lang w:eastAsia="zh-CN"/>
              </w:rPr>
              <w:t>3.圆满完成具有校级重大影响活动的志愿服务或在志愿服务中</w:t>
            </w:r>
            <w:r>
              <w:rPr>
                <w:rFonts w:ascii="仿宋_GB2312" w:hAnsi="仿宋_GB2312" w:eastAsia="仿宋_GB2312" w:cs="PingFang SC"/>
                <w:snapToGrid w:val="0"/>
                <w:color w:val="000000"/>
                <w:spacing w:val="-13"/>
                <w:sz w:val="24"/>
                <w:lang w:eastAsia="zh-CN"/>
              </w:rPr>
              <w:t>表现突出、产生较大影响者加 0.1 分。</w:t>
            </w:r>
          </w:p>
        </w:tc>
        <w:tc>
          <w:tcPr>
            <w:tcW w:w="656" w:type="pct"/>
            <w:vAlign w:val="center"/>
          </w:tcPr>
          <w:p w14:paraId="76255F4E">
            <w:pPr>
              <w:snapToGrid w:val="0"/>
              <w:spacing w:before="110"/>
              <w:jc w:val="center"/>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8"/>
                <w:sz w:val="24"/>
                <w:lang w:eastAsia="en-US"/>
              </w:rPr>
              <w:t>0-1</w:t>
            </w:r>
          </w:p>
        </w:tc>
        <w:tc>
          <w:tcPr>
            <w:tcW w:w="881" w:type="pct"/>
            <w:vAlign w:val="center"/>
          </w:tcPr>
          <w:p w14:paraId="1878A8B3">
            <w:pPr>
              <w:snapToGrid w:val="0"/>
              <w:spacing w:before="110"/>
              <w:rPr>
                <w:rFonts w:ascii="仿宋_GB2312" w:hAnsi="仿宋_GB2312" w:eastAsia="仿宋_GB2312" w:cs="PingFang SC"/>
                <w:snapToGrid w:val="0"/>
                <w:color w:val="000000"/>
                <w:spacing w:val="-18"/>
                <w:sz w:val="24"/>
                <w:lang w:eastAsia="en-US"/>
              </w:rPr>
            </w:pPr>
            <w:r>
              <w:rPr>
                <w:rFonts w:hint="eastAsia" w:ascii="仿宋_GB2312" w:hAnsi="仿宋_GB2312" w:eastAsia="仿宋_GB2312" w:cs="PingFang SC"/>
                <w:snapToGrid w:val="0"/>
                <w:color w:val="000000"/>
                <w:spacing w:val="-18"/>
                <w:sz w:val="24"/>
                <w:lang w:eastAsia="en-US"/>
              </w:rPr>
              <w:t>由校团委认定</w:t>
            </w:r>
          </w:p>
        </w:tc>
      </w:tr>
      <w:tr w14:paraId="163E1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Align w:val="center"/>
          </w:tcPr>
          <w:p w14:paraId="5990D51F">
            <w:pPr>
              <w:snapToGrid w:val="0"/>
              <w:spacing w:before="10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0"/>
                <w:sz w:val="24"/>
                <w:lang w:eastAsia="en-US"/>
              </w:rPr>
              <w:t>国际组织实习</w:t>
            </w:r>
          </w:p>
        </w:tc>
        <w:tc>
          <w:tcPr>
            <w:tcW w:w="2862" w:type="pct"/>
            <w:vAlign w:val="center"/>
          </w:tcPr>
          <w:p w14:paraId="1FA43DFA">
            <w:pPr>
              <w:snapToGrid w:val="0"/>
              <w:spacing w:before="223"/>
              <w:ind w:right="12"/>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20"/>
                <w:sz w:val="24"/>
                <w:lang w:eastAsia="zh-CN"/>
              </w:rPr>
              <w:t>大学期间参加并完成国家留学基金委认可的国际组织实习项目，</w:t>
            </w:r>
            <w:r>
              <w:rPr>
                <w:rFonts w:ascii="仿宋_GB2312" w:hAnsi="仿宋_GB2312" w:eastAsia="仿宋_GB2312" w:cs="PingFang SC"/>
                <w:snapToGrid w:val="0"/>
                <w:color w:val="000000"/>
                <w:spacing w:val="-18"/>
                <w:sz w:val="24"/>
                <w:lang w:eastAsia="zh-CN"/>
              </w:rPr>
              <w:t>累计加分不超过2分，具体加分规则如下：</w:t>
            </w:r>
          </w:p>
          <w:p w14:paraId="343CBA83">
            <w:pPr>
              <w:snapToGrid w:val="0"/>
              <w:spacing w:before="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2"/>
                <w:sz w:val="24"/>
                <w:lang w:eastAsia="zh-CN"/>
              </w:rPr>
              <w:t>1.12 个月及以上最多可加2 分；</w:t>
            </w:r>
          </w:p>
          <w:p w14:paraId="3E7418E6">
            <w:pPr>
              <w:snapToGrid w:val="0"/>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2"/>
                <w:sz w:val="24"/>
                <w:lang w:eastAsia="zh-CN"/>
              </w:rPr>
              <w:t>2.6 个月及以上，12 个月以下，最多可加1 分；</w:t>
            </w:r>
          </w:p>
          <w:p w14:paraId="0315AD8D">
            <w:pPr>
              <w:snapToGrid w:val="0"/>
              <w:spacing w:before="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5"/>
                <w:sz w:val="24"/>
                <w:lang w:eastAsia="zh-CN"/>
              </w:rPr>
              <w:t>3.3 个月及以上，6 个月以下，最多可加0.5 分。</w:t>
            </w:r>
          </w:p>
        </w:tc>
        <w:tc>
          <w:tcPr>
            <w:tcW w:w="656" w:type="pct"/>
            <w:vAlign w:val="center"/>
          </w:tcPr>
          <w:p w14:paraId="5461AE1B">
            <w:pPr>
              <w:snapToGrid w:val="0"/>
              <w:spacing w:before="109"/>
              <w:jc w:val="center"/>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3"/>
                <w:sz w:val="24"/>
                <w:lang w:eastAsia="en-US"/>
              </w:rPr>
              <w:t>0-2</w:t>
            </w:r>
          </w:p>
        </w:tc>
        <w:tc>
          <w:tcPr>
            <w:tcW w:w="881" w:type="pct"/>
            <w:vAlign w:val="center"/>
          </w:tcPr>
          <w:p w14:paraId="1BF79481">
            <w:pPr>
              <w:snapToGrid w:val="0"/>
              <w:spacing w:before="109"/>
              <w:ind w:left="500"/>
              <w:rPr>
                <w:rFonts w:ascii="仿宋_GB2312" w:hAnsi="仿宋_GB2312" w:eastAsia="仿宋_GB2312" w:cs="PingFang SC"/>
                <w:snapToGrid w:val="0"/>
                <w:color w:val="000000"/>
                <w:spacing w:val="-23"/>
                <w:sz w:val="24"/>
                <w:lang w:eastAsia="en-US"/>
              </w:rPr>
            </w:pPr>
          </w:p>
        </w:tc>
      </w:tr>
      <w:tr w14:paraId="1966E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Merge w:val="restart"/>
            <w:tcBorders>
              <w:bottom w:val="nil"/>
            </w:tcBorders>
            <w:vAlign w:val="center"/>
          </w:tcPr>
          <w:p w14:paraId="37E66E71">
            <w:pPr>
              <w:snapToGrid w:val="0"/>
              <w:spacing w:before="109"/>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5"/>
                <w:sz w:val="24"/>
                <w:lang w:eastAsia="en-US"/>
              </w:rPr>
              <w:t>发明专利</w:t>
            </w:r>
          </w:p>
        </w:tc>
        <w:tc>
          <w:tcPr>
            <w:tcW w:w="2862" w:type="pct"/>
            <w:vAlign w:val="center"/>
          </w:tcPr>
          <w:p w14:paraId="21B5D553">
            <w:pPr>
              <w:snapToGrid w:val="0"/>
              <w:spacing w:before="145"/>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0"/>
                <w:sz w:val="24"/>
                <w:lang w:eastAsia="en-US"/>
              </w:rPr>
              <w:t>国际发明专利加3 分</w:t>
            </w:r>
          </w:p>
        </w:tc>
        <w:tc>
          <w:tcPr>
            <w:tcW w:w="656" w:type="pct"/>
            <w:vMerge w:val="restart"/>
            <w:tcBorders>
              <w:bottom w:val="nil"/>
            </w:tcBorders>
            <w:vAlign w:val="center"/>
          </w:tcPr>
          <w:p w14:paraId="51D1F9EF">
            <w:pPr>
              <w:snapToGrid w:val="0"/>
              <w:spacing w:before="109"/>
              <w:jc w:val="center"/>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3"/>
                <w:sz w:val="24"/>
                <w:lang w:eastAsia="en-US"/>
              </w:rPr>
              <w:t>0-3</w:t>
            </w:r>
          </w:p>
        </w:tc>
        <w:tc>
          <w:tcPr>
            <w:tcW w:w="881" w:type="pct"/>
            <w:vMerge w:val="restart"/>
            <w:vAlign w:val="center"/>
          </w:tcPr>
          <w:p w14:paraId="68C9E705">
            <w:pPr>
              <w:snapToGrid w:val="0"/>
              <w:spacing w:before="109"/>
              <w:ind w:left="500"/>
              <w:rPr>
                <w:rFonts w:ascii="仿宋_GB2312" w:hAnsi="仿宋_GB2312" w:eastAsia="仿宋_GB2312" w:cs="PingFang SC"/>
                <w:snapToGrid w:val="0"/>
                <w:color w:val="000000"/>
                <w:spacing w:val="-23"/>
                <w:sz w:val="24"/>
                <w:lang w:eastAsia="en-US"/>
              </w:rPr>
            </w:pPr>
          </w:p>
        </w:tc>
      </w:tr>
      <w:tr w14:paraId="7CC03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Merge w:val="continue"/>
            <w:tcBorders>
              <w:top w:val="nil"/>
              <w:bottom w:val="nil"/>
            </w:tcBorders>
            <w:vAlign w:val="center"/>
          </w:tcPr>
          <w:p w14:paraId="7E4FCD76">
            <w:pPr>
              <w:snapToGrid w:val="0"/>
              <w:rPr>
                <w:rFonts w:ascii="仿宋_GB2312" w:hAnsi="仿宋_GB2312" w:eastAsia="仿宋_GB2312"/>
                <w:snapToGrid w:val="0"/>
                <w:color w:val="000000"/>
                <w:lang w:eastAsia="en-US"/>
              </w:rPr>
            </w:pPr>
          </w:p>
        </w:tc>
        <w:tc>
          <w:tcPr>
            <w:tcW w:w="2862" w:type="pct"/>
            <w:vAlign w:val="center"/>
          </w:tcPr>
          <w:p w14:paraId="2E1330CE">
            <w:pPr>
              <w:snapToGrid w:val="0"/>
              <w:spacing w:before="126"/>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6"/>
                <w:sz w:val="24"/>
                <w:lang w:eastAsia="en-US"/>
              </w:rPr>
              <w:t>国家发明专利加1分</w:t>
            </w:r>
          </w:p>
        </w:tc>
        <w:tc>
          <w:tcPr>
            <w:tcW w:w="656" w:type="pct"/>
            <w:vMerge w:val="continue"/>
            <w:tcBorders>
              <w:top w:val="nil"/>
              <w:bottom w:val="nil"/>
            </w:tcBorders>
            <w:vAlign w:val="center"/>
          </w:tcPr>
          <w:p w14:paraId="078E5A1E">
            <w:pPr>
              <w:snapToGrid w:val="0"/>
              <w:jc w:val="center"/>
              <w:rPr>
                <w:rFonts w:ascii="仿宋_GB2312" w:hAnsi="仿宋_GB2312" w:eastAsia="仿宋_GB2312"/>
                <w:snapToGrid w:val="0"/>
                <w:color w:val="000000"/>
                <w:lang w:eastAsia="en-US"/>
              </w:rPr>
            </w:pPr>
          </w:p>
        </w:tc>
        <w:tc>
          <w:tcPr>
            <w:tcW w:w="881" w:type="pct"/>
            <w:vMerge w:val="continue"/>
            <w:vAlign w:val="center"/>
          </w:tcPr>
          <w:p w14:paraId="198C2F25">
            <w:pPr>
              <w:snapToGrid w:val="0"/>
              <w:rPr>
                <w:rFonts w:ascii="仿宋_GB2312" w:hAnsi="仿宋_GB2312" w:eastAsia="仿宋_GB2312"/>
                <w:snapToGrid w:val="0"/>
                <w:color w:val="000000"/>
                <w:lang w:eastAsia="en-US"/>
              </w:rPr>
            </w:pPr>
          </w:p>
        </w:tc>
      </w:tr>
      <w:tr w14:paraId="3DD0F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Merge w:val="continue"/>
            <w:tcBorders>
              <w:top w:val="nil"/>
              <w:bottom w:val="nil"/>
            </w:tcBorders>
            <w:vAlign w:val="center"/>
          </w:tcPr>
          <w:p w14:paraId="629C427F">
            <w:pPr>
              <w:snapToGrid w:val="0"/>
              <w:rPr>
                <w:rFonts w:ascii="仿宋_GB2312" w:hAnsi="仿宋_GB2312" w:eastAsia="仿宋_GB2312"/>
                <w:snapToGrid w:val="0"/>
                <w:color w:val="000000"/>
                <w:lang w:eastAsia="en-US"/>
              </w:rPr>
            </w:pPr>
          </w:p>
        </w:tc>
        <w:tc>
          <w:tcPr>
            <w:tcW w:w="2862" w:type="pct"/>
            <w:vAlign w:val="center"/>
          </w:tcPr>
          <w:p w14:paraId="4393D1EA">
            <w:pPr>
              <w:snapToGrid w:val="0"/>
              <w:spacing w:before="150"/>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6"/>
                <w:sz w:val="24"/>
                <w:lang w:eastAsia="zh-CN"/>
              </w:rPr>
              <w:t>国家实用新型/外观设计专利/集成电路布图设计加0.2 分</w:t>
            </w:r>
          </w:p>
        </w:tc>
        <w:tc>
          <w:tcPr>
            <w:tcW w:w="656" w:type="pct"/>
            <w:vMerge w:val="continue"/>
            <w:tcBorders>
              <w:top w:val="nil"/>
              <w:bottom w:val="nil"/>
            </w:tcBorders>
            <w:vAlign w:val="center"/>
          </w:tcPr>
          <w:p w14:paraId="65E5DB62">
            <w:pPr>
              <w:snapToGrid w:val="0"/>
              <w:jc w:val="center"/>
              <w:rPr>
                <w:rFonts w:ascii="仿宋_GB2312" w:hAnsi="仿宋_GB2312" w:eastAsia="仿宋_GB2312"/>
                <w:snapToGrid w:val="0"/>
                <w:color w:val="000000"/>
                <w:lang w:eastAsia="zh-CN"/>
              </w:rPr>
            </w:pPr>
          </w:p>
        </w:tc>
        <w:tc>
          <w:tcPr>
            <w:tcW w:w="881" w:type="pct"/>
            <w:vMerge w:val="continue"/>
            <w:vAlign w:val="center"/>
          </w:tcPr>
          <w:p w14:paraId="5673E168">
            <w:pPr>
              <w:snapToGrid w:val="0"/>
              <w:rPr>
                <w:rFonts w:ascii="仿宋_GB2312" w:hAnsi="仿宋_GB2312" w:eastAsia="仿宋_GB2312"/>
                <w:snapToGrid w:val="0"/>
                <w:color w:val="000000"/>
                <w:lang w:eastAsia="zh-CN"/>
              </w:rPr>
            </w:pPr>
          </w:p>
        </w:tc>
      </w:tr>
      <w:tr w14:paraId="31EBD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Merge w:val="continue"/>
            <w:tcBorders>
              <w:top w:val="nil"/>
            </w:tcBorders>
            <w:vAlign w:val="center"/>
          </w:tcPr>
          <w:p w14:paraId="089744CE">
            <w:pPr>
              <w:snapToGrid w:val="0"/>
              <w:rPr>
                <w:rFonts w:ascii="仿宋_GB2312" w:hAnsi="仿宋_GB2312" w:eastAsia="仿宋_GB2312"/>
                <w:snapToGrid w:val="0"/>
                <w:color w:val="000000"/>
                <w:lang w:eastAsia="zh-CN"/>
              </w:rPr>
            </w:pPr>
          </w:p>
        </w:tc>
        <w:tc>
          <w:tcPr>
            <w:tcW w:w="2862" w:type="pct"/>
            <w:vAlign w:val="center"/>
          </w:tcPr>
          <w:p w14:paraId="54A848D9">
            <w:pPr>
              <w:snapToGrid w:val="0"/>
              <w:spacing w:before="124"/>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8"/>
                <w:sz w:val="24"/>
                <w:lang w:eastAsia="en-US"/>
              </w:rPr>
              <w:t>软件著作权加0.1分</w:t>
            </w:r>
          </w:p>
        </w:tc>
        <w:tc>
          <w:tcPr>
            <w:tcW w:w="656" w:type="pct"/>
            <w:vMerge w:val="continue"/>
            <w:tcBorders>
              <w:top w:val="nil"/>
            </w:tcBorders>
            <w:vAlign w:val="center"/>
          </w:tcPr>
          <w:p w14:paraId="72A30191">
            <w:pPr>
              <w:snapToGrid w:val="0"/>
              <w:jc w:val="center"/>
              <w:rPr>
                <w:rFonts w:ascii="仿宋_GB2312" w:hAnsi="仿宋_GB2312" w:eastAsia="仿宋_GB2312"/>
                <w:snapToGrid w:val="0"/>
                <w:color w:val="000000"/>
                <w:lang w:eastAsia="en-US"/>
              </w:rPr>
            </w:pPr>
          </w:p>
        </w:tc>
        <w:tc>
          <w:tcPr>
            <w:tcW w:w="881" w:type="pct"/>
            <w:vMerge w:val="continue"/>
            <w:vAlign w:val="center"/>
          </w:tcPr>
          <w:p w14:paraId="76E189A3">
            <w:pPr>
              <w:snapToGrid w:val="0"/>
              <w:rPr>
                <w:rFonts w:ascii="仿宋_GB2312" w:hAnsi="仿宋_GB2312" w:eastAsia="仿宋_GB2312"/>
                <w:snapToGrid w:val="0"/>
                <w:color w:val="000000"/>
                <w:lang w:eastAsia="en-US"/>
              </w:rPr>
            </w:pPr>
          </w:p>
        </w:tc>
      </w:tr>
      <w:tr w14:paraId="23FB8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00" w:type="pct"/>
            <w:vAlign w:val="center"/>
          </w:tcPr>
          <w:p w14:paraId="11F98FA3">
            <w:pPr>
              <w:snapToGrid w:val="0"/>
              <w:spacing w:before="110"/>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13"/>
                <w:sz w:val="24"/>
                <w:lang w:eastAsia="en-US"/>
              </w:rPr>
              <w:t>荣誉表彰</w:t>
            </w:r>
          </w:p>
        </w:tc>
        <w:tc>
          <w:tcPr>
            <w:tcW w:w="2862" w:type="pct"/>
            <w:vAlign w:val="center"/>
          </w:tcPr>
          <w:p w14:paraId="40F27419">
            <w:pPr>
              <w:snapToGrid w:val="0"/>
              <w:spacing w:before="109"/>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8"/>
                <w:sz w:val="24"/>
                <w:lang w:eastAsia="zh-CN"/>
              </w:rPr>
              <w:t>荣誉表彰累计加分不超过5 分，具体加分规则如下：</w:t>
            </w:r>
          </w:p>
          <w:p w14:paraId="644136CF">
            <w:pPr>
              <w:snapToGrid w:val="0"/>
              <w:spacing w:before="7"/>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7"/>
                <w:sz w:val="24"/>
                <w:lang w:eastAsia="zh-CN"/>
              </w:rPr>
              <w:t>1.国家级：大学期间获得全国道德模范、中国大学生</w:t>
            </w:r>
            <w:r>
              <w:rPr>
                <w:rFonts w:ascii="仿宋_GB2312" w:hAnsi="仿宋_GB2312" w:eastAsia="仿宋_GB2312" w:cs="PingFang SC"/>
                <w:snapToGrid w:val="0"/>
                <w:color w:val="000000"/>
                <w:spacing w:val="-18"/>
                <w:sz w:val="24"/>
                <w:lang w:eastAsia="zh-CN"/>
              </w:rPr>
              <w:t>年度人物、</w:t>
            </w:r>
            <w:r>
              <w:rPr>
                <w:rFonts w:ascii="仿宋_GB2312" w:hAnsi="仿宋_GB2312" w:eastAsia="仿宋_GB2312" w:cs="PingFang SC"/>
                <w:snapToGrid w:val="0"/>
                <w:color w:val="000000"/>
                <w:spacing w:val="-23"/>
                <w:sz w:val="24"/>
                <w:lang w:eastAsia="zh-CN"/>
              </w:rPr>
              <w:t>全国优秀共产党员、全国优秀共青团员其中一项者，最多可加2分；获全国三好学生、全国大学生自强之星等荣誉者最多可加2</w:t>
            </w:r>
            <w:r>
              <w:rPr>
                <w:rFonts w:ascii="仿宋_GB2312" w:hAnsi="仿宋_GB2312" w:eastAsia="仿宋_GB2312" w:cs="PingFang SC"/>
                <w:snapToGrid w:val="0"/>
                <w:color w:val="000000"/>
                <w:spacing w:val="-10"/>
                <w:sz w:val="24"/>
                <w:lang w:eastAsia="zh-CN"/>
              </w:rPr>
              <w:t>分；</w:t>
            </w:r>
          </w:p>
          <w:p w14:paraId="693E5952">
            <w:pPr>
              <w:snapToGrid w:val="0"/>
              <w:spacing w:before="2"/>
              <w:ind w:right="81"/>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20"/>
                <w:sz w:val="24"/>
                <w:lang w:eastAsia="zh-CN"/>
              </w:rPr>
              <w:t>2.省部级：大学期间获省三好学生、省优秀学生干部、省优秀共</w:t>
            </w:r>
            <w:r>
              <w:rPr>
                <w:rFonts w:ascii="仿宋_GB2312" w:hAnsi="仿宋_GB2312" w:eastAsia="仿宋_GB2312" w:cs="PingFang SC"/>
                <w:snapToGrid w:val="0"/>
                <w:color w:val="000000"/>
                <w:spacing w:val="-16"/>
                <w:sz w:val="24"/>
                <w:lang w:eastAsia="zh-CN"/>
              </w:rPr>
              <w:t>产党员、省优秀共青团员等，每一项最多可加1分。</w:t>
            </w:r>
          </w:p>
          <w:p w14:paraId="0A2616A4">
            <w:pPr>
              <w:snapToGrid w:val="0"/>
              <w:ind w:right="102"/>
              <w:rPr>
                <w:rFonts w:ascii="仿宋_GB2312" w:hAnsi="仿宋_GB2312" w:eastAsia="仿宋_GB2312" w:cs="PingFang SC"/>
                <w:snapToGrid w:val="0"/>
                <w:color w:val="000000"/>
                <w:sz w:val="24"/>
                <w:lang w:eastAsia="zh-CN"/>
              </w:rPr>
            </w:pPr>
            <w:r>
              <w:rPr>
                <w:rFonts w:ascii="仿宋_GB2312" w:hAnsi="仿宋_GB2312" w:eastAsia="仿宋_GB2312" w:cs="PingFang SC"/>
                <w:snapToGrid w:val="0"/>
                <w:color w:val="000000"/>
                <w:spacing w:val="-15"/>
                <w:sz w:val="24"/>
                <w:lang w:eastAsia="zh-CN"/>
              </w:rPr>
              <w:t>3.湖南工商大学年度</w:t>
            </w:r>
            <w:r>
              <w:rPr>
                <w:rFonts w:hint="eastAsia" w:ascii="仿宋_GB2312" w:hAnsi="仿宋_GB2312" w:eastAsia="仿宋_GB2312" w:cs="PingFang SC"/>
                <w:snapToGrid w:val="0"/>
                <w:color w:val="000000"/>
                <w:spacing w:val="-15"/>
                <w:sz w:val="24"/>
                <w:lang w:eastAsia="zh-CN"/>
              </w:rPr>
              <w:t>“十佳青年”“十佳团支书”“湖南工商大学优秀青年志愿者”“三下乡先进个人”“最美大学生”“优秀学生干部”“优秀团干”“优秀团员”“芙蓉学子”“院士奖学金”“优秀党员”</w:t>
            </w:r>
            <w:r>
              <w:rPr>
                <w:rFonts w:ascii="仿宋_GB2312" w:hAnsi="仿宋_GB2312" w:eastAsia="仿宋_GB2312" w:cs="PingFang SC"/>
                <w:snapToGrid w:val="0"/>
                <w:color w:val="000000"/>
                <w:spacing w:val="-15"/>
                <w:sz w:val="24"/>
                <w:lang w:eastAsia="zh-CN"/>
              </w:rPr>
              <w:t>、湖南工商大学优秀青年志愿者等重要荣誉，最多可加0.</w:t>
            </w:r>
            <w:r>
              <w:rPr>
                <w:rFonts w:ascii="仿宋_GB2312" w:hAnsi="仿宋_GB2312" w:eastAsia="仿宋_GB2312" w:cs="PingFang SC"/>
                <w:snapToGrid w:val="0"/>
                <w:color w:val="000000"/>
                <w:spacing w:val="-16"/>
                <w:sz w:val="24"/>
                <w:lang w:eastAsia="zh-CN"/>
              </w:rPr>
              <w:t>5 分。</w:t>
            </w:r>
          </w:p>
        </w:tc>
        <w:tc>
          <w:tcPr>
            <w:tcW w:w="656" w:type="pct"/>
            <w:vAlign w:val="center"/>
          </w:tcPr>
          <w:p w14:paraId="60316EE8">
            <w:pPr>
              <w:snapToGrid w:val="0"/>
              <w:spacing w:before="109"/>
              <w:jc w:val="center"/>
              <w:rPr>
                <w:rFonts w:ascii="仿宋_GB2312" w:hAnsi="仿宋_GB2312" w:eastAsia="仿宋_GB2312" w:cs="PingFang SC"/>
                <w:snapToGrid w:val="0"/>
                <w:color w:val="000000"/>
                <w:sz w:val="24"/>
                <w:lang w:eastAsia="en-US"/>
              </w:rPr>
            </w:pPr>
            <w:r>
              <w:rPr>
                <w:rFonts w:ascii="仿宋_GB2312" w:hAnsi="仿宋_GB2312" w:eastAsia="仿宋_GB2312" w:cs="PingFang SC"/>
                <w:snapToGrid w:val="0"/>
                <w:color w:val="000000"/>
                <w:spacing w:val="-23"/>
                <w:sz w:val="24"/>
                <w:lang w:eastAsia="en-US"/>
              </w:rPr>
              <w:t>0-5</w:t>
            </w:r>
          </w:p>
        </w:tc>
        <w:tc>
          <w:tcPr>
            <w:tcW w:w="881" w:type="pct"/>
            <w:vAlign w:val="center"/>
          </w:tcPr>
          <w:p w14:paraId="099E26AA">
            <w:pPr>
              <w:snapToGrid w:val="0"/>
              <w:spacing w:before="109"/>
              <w:rPr>
                <w:rFonts w:hint="default" w:ascii="仿宋_GB2312" w:hAnsi="仿宋_GB2312" w:eastAsia="仿宋_GB2312" w:cs="PingFang SC"/>
                <w:snapToGrid w:val="0"/>
                <w:color w:val="000000"/>
                <w:spacing w:val="-23"/>
                <w:sz w:val="24"/>
                <w:lang w:val="en-US" w:eastAsia="zh-CN"/>
              </w:rPr>
            </w:pPr>
            <w:r>
              <w:rPr>
                <w:rFonts w:hint="eastAsia" w:ascii="仿宋_GB2312" w:hAnsi="仿宋_GB2312" w:eastAsia="仿宋_GB2312" w:cs="PingFang SC"/>
                <w:snapToGrid w:val="0"/>
                <w:color w:val="000000"/>
                <w:spacing w:val="-23"/>
                <w:sz w:val="24"/>
                <w:lang w:val="en-US" w:eastAsia="zh-CN"/>
              </w:rPr>
              <w:t>提供相关证书材料</w:t>
            </w:r>
          </w:p>
        </w:tc>
      </w:tr>
    </w:tbl>
    <w:p w14:paraId="709D575D">
      <w:pPr>
        <w:spacing w:before="186" w:line="360" w:lineRule="auto"/>
        <w:ind w:left="630"/>
        <w:rPr>
          <w:rFonts w:ascii="仿宋_GB2312" w:hAnsi="仿宋_GB2312" w:eastAsia="仿宋_GB2312" w:cs="PingFang SC"/>
          <w:sz w:val="24"/>
        </w:rPr>
        <w:sectPr>
          <w:footerReference r:id="rId5" w:type="default"/>
          <w:pgSz w:w="11906" w:h="16838"/>
          <w:pgMar w:top="1134" w:right="1418" w:bottom="1259" w:left="1418" w:header="851" w:footer="992" w:gutter="0"/>
          <w:cols w:space="720" w:num="1"/>
          <w:docGrid w:type="lines" w:linePitch="0" w:charSpace="0"/>
        </w:sectPr>
      </w:pPr>
      <w:r>
        <w:rPr>
          <w:rFonts w:ascii="仿宋_GB2312" w:hAnsi="仿宋_GB2312" w:eastAsia="仿宋_GB2312" w:cs="PingFang SC"/>
          <w:spacing w:val="-18"/>
          <w:sz w:val="24"/>
        </w:rPr>
        <w:t>备注：表5同一项目不累计，只取最高值；各项累计不</w:t>
      </w:r>
      <w:r>
        <w:rPr>
          <w:rFonts w:ascii="仿宋_GB2312" w:hAnsi="仿宋_GB2312" w:eastAsia="仿宋_GB2312" w:cs="PingFang SC"/>
          <w:spacing w:val="-19"/>
          <w:sz w:val="24"/>
        </w:rPr>
        <w:t>超过 10 分</w:t>
      </w:r>
    </w:p>
    <w:p w14:paraId="6D4EE92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b w:val="0"/>
          <w:i w:val="0"/>
          <w:strike w:val="0"/>
          <w:color w:val="auto"/>
          <w:sz w:val="28"/>
          <w:szCs w:val="28"/>
          <w:u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PingFang SC">
    <w:altName w:val="Malgun Gothic Semilight"/>
    <w:panose1 w:val="00000000000000000000"/>
    <w:charset w:val="86"/>
    <w:family w:val="auto"/>
    <w:pitch w:val="default"/>
    <w:sig w:usb0="00000000" w:usb1="00000000" w:usb2="00000017" w:usb3="00000000" w:csb0="000401FF"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26650">
    <w:pPr>
      <w:spacing w:line="327" w:lineRule="exact"/>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0FC88">
    <w:pPr>
      <w:spacing w:line="330" w:lineRule="exact"/>
      <w:ind w:left="234"/>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798CE">
    <w:pPr>
      <w:spacing w:before="84" w:line="164" w:lineRule="auto"/>
      <w:rPr>
        <w:rFonts w:ascii="PingFang SC" w:hAnsi="PingFang SC" w:eastAsia="PingFang SC" w:cs="PingFang SC"/>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347631"/>
    <w:multiLevelType w:val="singleLevel"/>
    <w:tmpl w:val="4634763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5754C9"/>
    <w:rsid w:val="112959D5"/>
    <w:rsid w:val="13465E30"/>
    <w:rsid w:val="1C090A28"/>
    <w:rsid w:val="225B338C"/>
    <w:rsid w:val="365754C9"/>
    <w:rsid w:val="38A10B77"/>
    <w:rsid w:val="52113250"/>
    <w:rsid w:val="61105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kinsoku w:val="0"/>
      <w:autoSpaceDE w:val="0"/>
      <w:autoSpaceDN w:val="0"/>
      <w:adjustRightInd w:val="0"/>
      <w:snapToGrid w:val="0"/>
      <w:jc w:val="left"/>
      <w:textAlignment w:val="baseline"/>
    </w:pPr>
    <w:rPr>
      <w:rFonts w:ascii="仿宋_GB2312" w:hAnsi="仿宋_GB2312" w:eastAsia="仿宋_GB2312" w:cs="仿宋_GB2312"/>
      <w:snapToGrid w:val="0"/>
      <w:color w:val="000000"/>
      <w:kern w:val="0"/>
      <w:sz w:val="32"/>
      <w:szCs w:val="32"/>
      <w:lang w:eastAsia="en-US"/>
    </w:rPr>
  </w:style>
  <w:style w:type="paragraph" w:customStyle="1" w:styleId="5">
    <w:name w:val="Table Text"/>
    <w:basedOn w:val="1"/>
    <w:semiHidden/>
    <w:qFormat/>
    <w:uiPriority w:val="0"/>
    <w:pPr>
      <w:widowControl/>
      <w:kinsoku w:val="0"/>
      <w:autoSpaceDE w:val="0"/>
      <w:autoSpaceDN w:val="0"/>
      <w:adjustRightInd w:val="0"/>
      <w:snapToGrid w:val="0"/>
      <w:jc w:val="left"/>
      <w:textAlignment w:val="baseline"/>
    </w:pPr>
    <w:rPr>
      <w:rFonts w:ascii="仿宋_GB2312" w:hAnsi="仿宋_GB2312" w:eastAsia="仿宋_GB2312" w:cs="仿宋_GB2312"/>
      <w:snapToGrid w:val="0"/>
      <w:color w:val="000000"/>
      <w:kern w:val="0"/>
      <w:sz w:val="24"/>
      <w:lang w:eastAsia="en-US"/>
    </w:rPr>
  </w:style>
  <w:style w:type="table" w:customStyle="1" w:styleId="6">
    <w:name w:val="Table Normal"/>
    <w:semiHidden/>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5382</Words>
  <Characters>5659</Characters>
  <Lines>0</Lines>
  <Paragraphs>0</Paragraphs>
  <TotalTime>9</TotalTime>
  <ScaleCrop>false</ScaleCrop>
  <LinksUpToDate>false</LinksUpToDate>
  <CharactersWithSpaces>5721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2026-08-01T10:41:00Z</dcterms:created>
  <dc:creator>渡边早季</dc:creator>
  <cp:lastModifiedBy>渡边早季</cp:lastModifiedBy>
  <dcterms:modified xsi:type="dcterms:W3CDTF">2026-08-11T09:24:17Z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DFF063C4F64A4B818BD4AA3DAA3B07A1_13</vt:lpwstr>
  </property>
  <property fmtid="{D5CDD505-2E9C-101B-9397-08002B2CF9AE}" pid="4" name="KSOTemplateDocerSaveRecord">
    <vt:lpwstr>eyJoZGlkIjoiNDg5ZTYzYmFkNjhhZmFjY2M3MTNiMTA5NTE0YzY5MzgiLCJ1c2VySWQiOiIzNDcyMzk0NDkifQ==</vt:lpwstr>
  </property>
</Properties>
</file>