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713E5">
      <w:pPr>
        <w:widowControl w:val="0"/>
        <w:shd w:val="clear" w:color="auto" w:fill="FFFFFF"/>
        <w:spacing w:beforeAutospacing="0" w:afterAutospacing="0" w:line="240" w:lineRule="auto"/>
        <w:ind w:left="0" w:firstLine="0"/>
        <w:jc w:val="center"/>
        <w:rPr>
          <w:rFonts w:hint="eastAsia" w:ascii="方正小标宋简体" w:hAnsi="方正小标宋简体" w:eastAsia="方正小标宋简体" w:cs="方正仿宋_GBK"/>
          <w:color w:val="auto"/>
          <w:kern w:val="2"/>
          <w:sz w:val="36"/>
          <w:szCs w:val="36"/>
          <w:lang w:val="en-US" w:eastAsia="zh-CN" w:bidi="ar-SA"/>
        </w:rPr>
      </w:pPr>
      <w:r>
        <w:rPr>
          <w:rFonts w:hint="eastAsia" w:ascii="方正小标宋简体" w:hAnsi="方正小标宋简体" w:eastAsia="方正小标宋简体" w:cs="方正仿宋_GBK"/>
          <w:color w:val="auto"/>
          <w:kern w:val="2"/>
          <w:sz w:val="36"/>
          <w:szCs w:val="36"/>
          <w:lang w:val="en-US" w:eastAsia="zh-CN" w:bidi="ar-SA"/>
        </w:rPr>
        <w:t>邓迪国际学院推荐优秀应届本科生免试攻读硕士学位研究生专项评价成绩指导意见</w:t>
      </w:r>
    </w:p>
    <w:p w14:paraId="1D633B8B">
      <w:pPr>
        <w:widowControl w:val="0"/>
        <w:shd w:val="clear" w:color="auto" w:fill="FFFFFF"/>
        <w:spacing w:beforeAutospacing="0" w:afterAutospacing="0" w:line="540" w:lineRule="exact"/>
        <w:ind w:left="0" w:firstLine="560" w:firstLineChars="200"/>
        <w:jc w:val="both"/>
        <w:rPr>
          <w:rFonts w:hint="eastAsia" w:ascii="仿宋" w:hAnsi="仿宋" w:eastAsia="仿宋" w:cs="方正仿宋_GBK"/>
          <w:color w:val="auto"/>
          <w:kern w:val="2"/>
          <w:sz w:val="28"/>
          <w:szCs w:val="28"/>
          <w:lang w:val="en-US" w:eastAsia="zh-CN" w:bidi="ar-SA"/>
        </w:rPr>
      </w:pPr>
      <w:r>
        <w:rPr>
          <w:rFonts w:hint="eastAsia" w:ascii="仿宋" w:hAnsi="仿宋" w:eastAsia="仿宋" w:cs="方正仿宋_GBK"/>
          <w:color w:val="auto"/>
          <w:kern w:val="2"/>
          <w:sz w:val="28"/>
          <w:szCs w:val="28"/>
          <w:lang w:val="en-US" w:eastAsia="zh-CN" w:bidi="ar-SA"/>
        </w:rPr>
        <w:t>学院评价加分项目包含</w:t>
      </w:r>
      <w:r>
        <w:rPr>
          <w:rFonts w:hint="eastAsia" w:ascii="仿宋" w:hAnsi="仿宋" w:eastAsia="仿宋" w:cs="方正仿宋_GBK"/>
          <w:b/>
          <w:bCs/>
          <w:color w:val="auto"/>
          <w:kern w:val="2"/>
          <w:sz w:val="28"/>
          <w:szCs w:val="28"/>
          <w:lang w:val="en-US" w:eastAsia="zh-CN" w:bidi="ar-SA"/>
        </w:rPr>
        <w:t>学科竞赛</w:t>
      </w:r>
      <w:r>
        <w:rPr>
          <w:rFonts w:hint="eastAsia" w:ascii="仿宋" w:hAnsi="仿宋" w:eastAsia="仿宋" w:cs="方正仿宋_GBK"/>
          <w:color w:val="auto"/>
          <w:kern w:val="2"/>
          <w:sz w:val="28"/>
          <w:szCs w:val="28"/>
          <w:lang w:val="en-US" w:eastAsia="zh-CN" w:bidi="ar-SA"/>
        </w:rPr>
        <w:t>获奖加分、</w:t>
      </w:r>
      <w:r>
        <w:rPr>
          <w:rFonts w:hint="eastAsia" w:ascii="仿宋" w:hAnsi="仿宋" w:eastAsia="仿宋" w:cs="方正仿宋_GBK"/>
          <w:b/>
          <w:bCs/>
          <w:color w:val="auto"/>
          <w:kern w:val="2"/>
          <w:sz w:val="28"/>
          <w:szCs w:val="28"/>
          <w:lang w:val="en-US" w:eastAsia="zh-CN" w:bidi="ar-SA"/>
        </w:rPr>
        <w:t>学术科研</w:t>
      </w:r>
      <w:r>
        <w:rPr>
          <w:rFonts w:hint="eastAsia" w:ascii="仿宋" w:hAnsi="仿宋" w:eastAsia="仿宋" w:cs="方正仿宋_GBK"/>
          <w:color w:val="auto"/>
          <w:kern w:val="2"/>
          <w:sz w:val="28"/>
          <w:szCs w:val="28"/>
          <w:lang w:val="en-US" w:eastAsia="zh-CN" w:bidi="ar-SA"/>
        </w:rPr>
        <w:t>成果加分以及</w:t>
      </w:r>
      <w:r>
        <w:rPr>
          <w:rFonts w:hint="eastAsia" w:ascii="仿宋" w:hAnsi="仿宋" w:eastAsia="仿宋" w:cs="方正仿宋_GBK"/>
          <w:b/>
          <w:bCs/>
          <w:color w:val="auto"/>
          <w:kern w:val="2"/>
          <w:sz w:val="28"/>
          <w:szCs w:val="28"/>
          <w:lang w:val="en-US" w:eastAsia="zh-CN" w:bidi="ar-SA"/>
        </w:rPr>
        <w:t>荣誉称号</w:t>
      </w:r>
      <w:r>
        <w:rPr>
          <w:rFonts w:hint="eastAsia" w:ascii="仿宋" w:hAnsi="仿宋" w:eastAsia="仿宋" w:cs="方正仿宋_GBK"/>
          <w:color w:val="auto"/>
          <w:kern w:val="2"/>
          <w:sz w:val="28"/>
          <w:szCs w:val="28"/>
          <w:lang w:val="en-US" w:eastAsia="zh-CN" w:bidi="ar-SA"/>
        </w:rPr>
        <w:t>加分等三种类型。学院评价加分总上限为2.5分。学生在某一类型中有多项加分情况时，只取同类最高分予以认定。同一类型事项已获学校专项加分者，学院评价中不再重复加分。</w:t>
      </w:r>
    </w:p>
    <w:p w14:paraId="02F00703">
      <w:pPr>
        <w:widowControl w:val="0"/>
        <w:shd w:val="clear" w:color="auto" w:fill="FFFFFF"/>
        <w:spacing w:beforeAutospacing="0" w:afterAutospacing="0" w:line="540" w:lineRule="exact"/>
        <w:ind w:left="0" w:firstLine="562" w:firstLineChars="200"/>
        <w:jc w:val="both"/>
        <w:rPr>
          <w:rFonts w:hint="eastAsia" w:ascii="仿宋" w:hAnsi="仿宋" w:eastAsia="仿宋" w:cs="方正仿宋_GBK"/>
          <w:b/>
          <w:bCs/>
          <w:color w:val="auto"/>
          <w:kern w:val="2"/>
          <w:sz w:val="28"/>
          <w:szCs w:val="28"/>
          <w:lang w:val="en-US" w:eastAsia="zh-CN" w:bidi="ar-SA"/>
        </w:rPr>
      </w:pPr>
      <w:r>
        <w:rPr>
          <w:rFonts w:hint="eastAsia" w:ascii="仿宋" w:hAnsi="仿宋" w:eastAsia="仿宋" w:cs="方正仿宋_GBK"/>
          <w:b/>
          <w:bCs/>
          <w:color w:val="auto"/>
          <w:kern w:val="2"/>
          <w:sz w:val="28"/>
          <w:szCs w:val="28"/>
          <w:lang w:val="en-US" w:eastAsia="zh-CN" w:bidi="ar-SA"/>
        </w:rPr>
        <w:t>（一）学科竞赛类获奖加分</w:t>
      </w:r>
    </w:p>
    <w:p w14:paraId="4D49A474">
      <w:pPr>
        <w:widowControl w:val="0"/>
        <w:shd w:val="clear" w:color="auto" w:fill="FFFFFF"/>
        <w:spacing w:beforeAutospacing="0" w:afterAutospacing="0" w:line="540" w:lineRule="exact"/>
        <w:ind w:left="0" w:firstLine="560" w:firstLineChars="200"/>
        <w:jc w:val="both"/>
        <w:rPr>
          <w:rFonts w:hint="eastAsia" w:ascii="仿宋" w:hAnsi="仿宋" w:eastAsia="仿宋" w:cs="方正仿宋_GBK"/>
          <w:color w:val="auto"/>
          <w:kern w:val="2"/>
          <w:sz w:val="28"/>
          <w:szCs w:val="28"/>
          <w:lang w:val="en-US" w:eastAsia="zh-CN" w:bidi="ar-SA"/>
        </w:rPr>
      </w:pPr>
      <w:r>
        <w:rPr>
          <w:rFonts w:hint="eastAsia" w:ascii="仿宋" w:hAnsi="仿宋" w:eastAsia="仿宋" w:cs="方正仿宋_GBK"/>
          <w:color w:val="auto"/>
          <w:kern w:val="2"/>
          <w:sz w:val="28"/>
          <w:szCs w:val="28"/>
          <w:lang w:val="en-US" w:eastAsia="zh-CN" w:bidi="ar-SA"/>
        </w:rPr>
        <w:t>参加学科竞赛（2023级本科生以“中大教字〔2022〕35号”所列学科竞赛为准；2024级及以后年级本科生以“中大教字〔2024〕105号”所列学科竞赛为准）未获得学校专项评价成绩附加分的同学可申请学院评价加分。</w:t>
      </w:r>
    </w:p>
    <w:p w14:paraId="1D36CFFC">
      <w:pPr>
        <w:widowControl w:val="0"/>
        <w:shd w:val="clear" w:color="auto" w:fill="FFFFFF"/>
        <w:spacing w:beforeAutospacing="0" w:afterAutospacing="0" w:line="540" w:lineRule="exact"/>
        <w:ind w:left="0" w:firstLine="560" w:firstLineChars="200"/>
        <w:jc w:val="both"/>
        <w:rPr>
          <w:rFonts w:hint="eastAsia" w:ascii="仿宋" w:hAnsi="仿宋" w:eastAsia="仿宋" w:cs="方正仿宋_GBK"/>
          <w:color w:val="auto"/>
          <w:kern w:val="2"/>
          <w:sz w:val="28"/>
          <w:szCs w:val="28"/>
          <w:lang w:val="en-US" w:eastAsia="zh-CN" w:bidi="ar-SA"/>
        </w:rPr>
      </w:pPr>
      <w:r>
        <w:rPr>
          <w:rFonts w:hint="eastAsia" w:ascii="仿宋" w:hAnsi="仿宋" w:eastAsia="仿宋" w:cs="方正仿宋_GBK"/>
          <w:color w:val="auto"/>
          <w:kern w:val="2"/>
          <w:sz w:val="28"/>
          <w:szCs w:val="28"/>
          <w:lang w:val="en-US" w:eastAsia="zh-CN" w:bidi="ar-SA"/>
        </w:rPr>
        <w:t>1.国家最高等级奖：未获得学校专项评价成绩加分的其他同学，限学校专项评价加分中排名最后一个往后延3名，延后排名第一至第三个获奖者分别加0.5分、0.3分、0.1分；</w:t>
      </w:r>
    </w:p>
    <w:p w14:paraId="5AD5B8DB">
      <w:pPr>
        <w:widowControl w:val="0"/>
        <w:shd w:val="clear" w:color="auto" w:fill="FFFFFF"/>
        <w:spacing w:beforeAutospacing="0" w:afterAutospacing="0" w:line="540" w:lineRule="exact"/>
        <w:ind w:left="0" w:firstLine="560" w:firstLineChars="200"/>
        <w:jc w:val="both"/>
        <w:rPr>
          <w:rFonts w:hint="eastAsia" w:ascii="仿宋" w:hAnsi="仿宋" w:eastAsia="仿宋" w:cs="方正仿宋_GBK"/>
          <w:color w:val="auto"/>
          <w:kern w:val="2"/>
          <w:sz w:val="28"/>
          <w:szCs w:val="28"/>
          <w:lang w:val="en-US" w:eastAsia="zh-CN" w:bidi="ar-SA"/>
        </w:rPr>
      </w:pPr>
      <w:r>
        <w:rPr>
          <w:rFonts w:hint="eastAsia" w:ascii="仿宋" w:hAnsi="仿宋" w:eastAsia="仿宋" w:cs="方正仿宋_GBK"/>
          <w:color w:val="auto"/>
          <w:kern w:val="2"/>
          <w:sz w:val="28"/>
          <w:szCs w:val="28"/>
          <w:lang w:val="en-US" w:eastAsia="zh-CN" w:bidi="ar-SA"/>
        </w:rPr>
        <w:t>2.国家第二等级奖：排名第一至第三获奖者分别加0.3分、0.2分、0.08分；</w:t>
      </w:r>
    </w:p>
    <w:p w14:paraId="5421A03E">
      <w:pPr>
        <w:widowControl w:val="0"/>
        <w:shd w:val="clear" w:color="auto" w:fill="FFFFFF"/>
        <w:spacing w:beforeAutospacing="0" w:afterAutospacing="0" w:line="540" w:lineRule="exact"/>
        <w:ind w:left="0" w:firstLine="560" w:firstLineChars="200"/>
        <w:jc w:val="both"/>
        <w:rPr>
          <w:rFonts w:hint="eastAsia" w:ascii="仿宋" w:hAnsi="仿宋" w:eastAsia="仿宋" w:cs="方正仿宋_GBK"/>
          <w:color w:val="auto"/>
          <w:kern w:val="2"/>
          <w:sz w:val="28"/>
          <w:szCs w:val="28"/>
          <w:lang w:val="en-US" w:eastAsia="zh-CN" w:bidi="ar-SA"/>
        </w:rPr>
      </w:pPr>
      <w:r>
        <w:rPr>
          <w:rFonts w:hint="eastAsia" w:ascii="仿宋" w:hAnsi="仿宋" w:eastAsia="仿宋" w:cs="方正仿宋_GBK"/>
          <w:color w:val="auto"/>
          <w:kern w:val="2"/>
          <w:sz w:val="28"/>
          <w:szCs w:val="28"/>
          <w:lang w:val="en-US" w:eastAsia="zh-CN" w:bidi="ar-SA"/>
        </w:rPr>
        <w:t>3.国家第三等级奖（或省级最高等级奖）：排名第一至第三获奖者分别加0.2分、0.1分、0.05分；</w:t>
      </w:r>
    </w:p>
    <w:p w14:paraId="290D5FF0">
      <w:pPr>
        <w:widowControl w:val="0"/>
        <w:shd w:val="clear" w:color="auto" w:fill="FFFFFF"/>
        <w:spacing w:beforeAutospacing="0" w:afterAutospacing="0" w:line="540" w:lineRule="exact"/>
        <w:ind w:left="0" w:firstLine="560" w:firstLineChars="200"/>
        <w:jc w:val="both"/>
        <w:rPr>
          <w:rFonts w:hint="eastAsia" w:ascii="仿宋" w:hAnsi="仿宋" w:eastAsia="仿宋" w:cs="方正仿宋_GBK"/>
          <w:color w:val="auto"/>
          <w:kern w:val="2"/>
          <w:sz w:val="28"/>
          <w:szCs w:val="28"/>
          <w:lang w:val="en-US" w:eastAsia="zh-CN" w:bidi="ar-SA"/>
        </w:rPr>
      </w:pPr>
      <w:r>
        <w:rPr>
          <w:rFonts w:hint="eastAsia" w:ascii="仿宋" w:hAnsi="仿宋" w:eastAsia="仿宋" w:cs="方正仿宋_GBK"/>
          <w:color w:val="auto"/>
          <w:kern w:val="2"/>
          <w:sz w:val="28"/>
          <w:szCs w:val="28"/>
          <w:lang w:val="en-US" w:eastAsia="zh-CN" w:bidi="ar-SA"/>
        </w:rPr>
        <w:t>4.参加个人赛未获得国家最高等级奖项，未获得学校专项加分的个人，按相应团体赛等级的排名第一获奖者加分，如个人赛获国家第二等级奖加0.3分，获国家第三等级奖加0.2分。</w:t>
      </w:r>
    </w:p>
    <w:p w14:paraId="012645DF">
      <w:pPr>
        <w:widowControl w:val="0"/>
        <w:shd w:val="clear" w:color="auto" w:fill="FFFFFF"/>
        <w:spacing w:beforeAutospacing="0" w:afterAutospacing="0" w:line="540" w:lineRule="exact"/>
        <w:ind w:left="0" w:firstLine="560" w:firstLineChars="200"/>
        <w:jc w:val="both"/>
        <w:rPr>
          <w:rFonts w:hint="eastAsia" w:ascii="仿宋" w:hAnsi="仿宋" w:eastAsia="仿宋" w:cs="方正仿宋_GBK"/>
          <w:color w:val="auto"/>
          <w:kern w:val="2"/>
          <w:sz w:val="28"/>
          <w:szCs w:val="28"/>
          <w:lang w:val="en-US" w:eastAsia="zh-CN" w:bidi="ar-SA"/>
        </w:rPr>
      </w:pPr>
      <w:r>
        <w:rPr>
          <w:rFonts w:hint="eastAsia" w:ascii="仿宋" w:hAnsi="仿宋" w:eastAsia="仿宋" w:cs="方正仿宋_GBK"/>
          <w:color w:val="auto"/>
          <w:kern w:val="2"/>
          <w:sz w:val="28"/>
          <w:szCs w:val="28"/>
          <w:lang w:val="en-US" w:eastAsia="zh-CN" w:bidi="ar-SA"/>
        </w:rPr>
        <w:t>5.本方案所述各类竞赛的最高等级对应学校专项评价成绩有关学科竞赛的获奖加分等级。如有关学科竞赛设立特等奖，则认定特等奖为最高等级奖、一等奖为第二等级奖，依此类推。</w:t>
      </w:r>
    </w:p>
    <w:p w14:paraId="34531AA9">
      <w:pPr>
        <w:widowControl w:val="0"/>
        <w:shd w:val="clear" w:color="auto" w:fill="FFFFFF"/>
        <w:spacing w:beforeAutospacing="0" w:afterAutospacing="0" w:line="360" w:lineRule="auto"/>
        <w:ind w:left="0" w:firstLine="562" w:firstLineChars="200"/>
        <w:jc w:val="both"/>
        <w:rPr>
          <w:rFonts w:hint="eastAsia" w:ascii="仿宋" w:hAnsi="仿宋" w:eastAsia="仿宋" w:cs="方正仿宋_GBK"/>
          <w:b/>
          <w:bCs/>
          <w:color w:val="auto"/>
          <w:kern w:val="2"/>
          <w:sz w:val="28"/>
          <w:szCs w:val="28"/>
          <w:lang w:val="en-US" w:eastAsia="zh-CN" w:bidi="ar-SA"/>
        </w:rPr>
      </w:pPr>
    </w:p>
    <w:p w14:paraId="73328408">
      <w:pPr>
        <w:widowControl w:val="0"/>
        <w:shd w:val="clear" w:color="auto" w:fill="FFFFFF"/>
        <w:spacing w:beforeAutospacing="0" w:afterAutospacing="0" w:line="360" w:lineRule="auto"/>
        <w:ind w:left="0" w:firstLine="562" w:firstLineChars="200"/>
        <w:jc w:val="both"/>
        <w:rPr>
          <w:rFonts w:hint="eastAsia" w:ascii="仿宋" w:hAnsi="仿宋" w:eastAsia="仿宋" w:cs="方正仿宋_GBK"/>
          <w:b/>
          <w:bCs/>
          <w:color w:val="auto"/>
          <w:kern w:val="2"/>
          <w:sz w:val="28"/>
          <w:szCs w:val="28"/>
          <w:lang w:val="en-US" w:eastAsia="zh-CN" w:bidi="ar-SA"/>
        </w:rPr>
      </w:pPr>
      <w:r>
        <w:rPr>
          <w:rFonts w:hint="eastAsia" w:ascii="仿宋" w:hAnsi="仿宋" w:eastAsia="仿宋" w:cs="方正仿宋_GBK"/>
          <w:b/>
          <w:bCs/>
          <w:color w:val="auto"/>
          <w:kern w:val="2"/>
          <w:sz w:val="28"/>
          <w:szCs w:val="28"/>
          <w:lang w:val="en-US" w:eastAsia="zh-CN" w:bidi="ar-SA"/>
        </w:rPr>
        <w:t>（二）学术科研成果加分</w:t>
      </w:r>
    </w:p>
    <w:tbl>
      <w:tblPr>
        <w:tblStyle w:val="2"/>
        <w:tblW w:w="8861" w:type="dxa"/>
        <w:jc w:val="center"/>
        <w:shd w:val="clear" w:color="auto" w:fill="DDDDDD"/>
        <w:tblLayout w:type="autofit"/>
        <w:tblCellMar>
          <w:top w:w="0" w:type="dxa"/>
          <w:left w:w="0" w:type="dxa"/>
          <w:bottom w:w="0" w:type="dxa"/>
          <w:right w:w="0" w:type="dxa"/>
        </w:tblCellMar>
      </w:tblPr>
      <w:tblGrid>
        <w:gridCol w:w="1220"/>
        <w:gridCol w:w="2605"/>
        <w:gridCol w:w="5036"/>
      </w:tblGrid>
      <w:tr w14:paraId="29D6A592">
        <w:tblPrEx>
          <w:shd w:val="clear" w:color="auto" w:fill="DDDDDD"/>
          <w:tblCellMar>
            <w:top w:w="0" w:type="dxa"/>
            <w:left w:w="0" w:type="dxa"/>
            <w:bottom w:w="0" w:type="dxa"/>
            <w:right w:w="0" w:type="dxa"/>
          </w:tblCellMar>
        </w:tblPrEx>
        <w:trPr>
          <w:trHeight w:val="713" w:hRule="atLeast"/>
          <w:jc w:val="center"/>
        </w:trPr>
        <w:tc>
          <w:tcPr>
            <w:tcW w:w="1220" w:type="dxa"/>
            <w:tcBorders>
              <w:top w:val="single" w:color="000000" w:sz="2" w:space="0"/>
              <w:left w:val="single" w:color="000000" w:sz="2" w:space="0"/>
              <w:bottom w:val="single" w:color="000000" w:sz="2" w:space="0"/>
              <w:right w:val="single" w:color="000000" w:sz="2" w:space="0"/>
            </w:tcBorders>
            <w:shd w:val="clear" w:color="auto" w:fill="FFFFFF"/>
            <w:vAlign w:val="center"/>
          </w:tcPr>
          <w:p w14:paraId="74002CEA">
            <w:pPr>
              <w:widowControl w:val="0"/>
              <w:spacing w:before="15" w:beforeAutospacing="0" w:after="75" w:afterAutospacing="0" w:line="360" w:lineRule="auto"/>
              <w:ind w:left="0" w:hanging="10"/>
              <w:jc w:val="center"/>
              <w:rPr>
                <w:rFonts w:hint="eastAsia" w:ascii="仿宋" w:hAnsi="仿宋" w:eastAsia="宋体" w:cs="Times New Roman"/>
                <w:b/>
                <w:color w:val="auto"/>
                <w:kern w:val="0"/>
                <w:sz w:val="24"/>
                <w:szCs w:val="22"/>
                <w:lang w:val="en-US" w:eastAsia="zh-CN" w:bidi="ar-SA"/>
              </w:rPr>
            </w:pPr>
            <w:r>
              <w:rPr>
                <w:rFonts w:hint="eastAsia" w:ascii="仿宋" w:hAnsi="仿宋" w:eastAsia="宋体" w:cs="Times New Roman"/>
                <w:b/>
                <w:color w:val="auto"/>
                <w:kern w:val="0"/>
                <w:sz w:val="24"/>
                <w:szCs w:val="22"/>
                <w:lang w:val="en-US" w:eastAsia="zh-CN" w:bidi="ar-SA"/>
              </w:rPr>
              <w:t>加分项目</w:t>
            </w:r>
          </w:p>
        </w:tc>
        <w:tc>
          <w:tcPr>
            <w:tcW w:w="2605" w:type="dxa"/>
            <w:tcBorders>
              <w:top w:val="single" w:color="000000" w:sz="2" w:space="0"/>
              <w:left w:val="nil"/>
              <w:bottom w:val="single" w:color="000000" w:sz="2" w:space="0"/>
              <w:right w:val="single" w:color="000000" w:sz="2" w:space="0"/>
            </w:tcBorders>
            <w:shd w:val="clear" w:color="auto" w:fill="FFFFFF"/>
            <w:vAlign w:val="center"/>
          </w:tcPr>
          <w:p w14:paraId="45C7F4EF">
            <w:pPr>
              <w:widowControl w:val="0"/>
              <w:spacing w:beforeAutospacing="0" w:afterAutospacing="0" w:line="360" w:lineRule="auto"/>
              <w:ind w:left="0" w:hanging="11"/>
              <w:jc w:val="center"/>
              <w:rPr>
                <w:rFonts w:hint="eastAsia" w:ascii="仿宋" w:hAnsi="仿宋" w:eastAsia="宋体" w:cs="Times New Roman"/>
                <w:b/>
                <w:color w:val="auto"/>
                <w:kern w:val="0"/>
                <w:sz w:val="24"/>
                <w:szCs w:val="22"/>
                <w:lang w:val="en-US" w:eastAsia="zh-CN" w:bidi="ar-SA"/>
              </w:rPr>
            </w:pPr>
            <w:r>
              <w:rPr>
                <w:rFonts w:hint="eastAsia" w:ascii="仿宋" w:hAnsi="仿宋" w:eastAsia="宋体" w:cs="Times New Roman"/>
                <w:b/>
                <w:color w:val="auto"/>
                <w:kern w:val="0"/>
                <w:sz w:val="24"/>
                <w:szCs w:val="22"/>
                <w:lang w:val="en-US" w:eastAsia="zh-CN" w:bidi="ar-SA"/>
              </w:rPr>
              <w:t>学术科研成果和级别</w:t>
            </w:r>
          </w:p>
        </w:tc>
        <w:tc>
          <w:tcPr>
            <w:tcW w:w="5036" w:type="dxa"/>
            <w:tcBorders>
              <w:top w:val="single" w:color="000000" w:sz="2" w:space="0"/>
              <w:left w:val="nil"/>
              <w:bottom w:val="single" w:color="000000" w:sz="2" w:space="0"/>
              <w:right w:val="single" w:color="000000" w:sz="2" w:space="0"/>
            </w:tcBorders>
            <w:shd w:val="clear" w:color="auto" w:fill="FFFFFF"/>
            <w:vAlign w:val="center"/>
          </w:tcPr>
          <w:p w14:paraId="230C4C45">
            <w:pPr>
              <w:widowControl w:val="0"/>
              <w:spacing w:beforeAutospacing="0" w:afterAutospacing="0" w:line="360" w:lineRule="auto"/>
              <w:ind w:left="0" w:hanging="11"/>
              <w:jc w:val="center"/>
              <w:rPr>
                <w:rFonts w:hint="eastAsia" w:ascii="仿宋" w:hAnsi="仿宋" w:eastAsia="宋体" w:cs="Times New Roman"/>
                <w:b/>
                <w:color w:val="auto"/>
                <w:kern w:val="0"/>
                <w:sz w:val="24"/>
                <w:szCs w:val="22"/>
                <w:lang w:val="en-US" w:eastAsia="zh-CN" w:bidi="ar-SA"/>
              </w:rPr>
            </w:pPr>
            <w:r>
              <w:rPr>
                <w:rFonts w:hint="eastAsia" w:ascii="仿宋" w:hAnsi="仿宋" w:eastAsia="宋体" w:cs="Times New Roman"/>
                <w:b/>
                <w:color w:val="auto"/>
                <w:kern w:val="0"/>
                <w:sz w:val="24"/>
                <w:szCs w:val="22"/>
                <w:lang w:val="en-US" w:eastAsia="zh-CN" w:bidi="ar-SA"/>
              </w:rPr>
              <w:t>加分标准</w:t>
            </w:r>
          </w:p>
        </w:tc>
      </w:tr>
      <w:tr w14:paraId="334939A1">
        <w:tblPrEx>
          <w:shd w:val="clear" w:color="auto" w:fill="DDDDDD"/>
          <w:tblCellMar>
            <w:top w:w="0" w:type="dxa"/>
            <w:left w:w="0" w:type="dxa"/>
            <w:bottom w:w="0" w:type="dxa"/>
            <w:right w:w="0" w:type="dxa"/>
          </w:tblCellMar>
        </w:tblPrEx>
        <w:trPr>
          <w:trHeight w:val="218" w:hRule="atLeast"/>
          <w:jc w:val="center"/>
        </w:trPr>
        <w:tc>
          <w:tcPr>
            <w:tcW w:w="1220" w:type="dxa"/>
            <w:vMerge w:val="restart"/>
            <w:tcBorders>
              <w:top w:val="nil"/>
              <w:left w:val="single" w:color="000000" w:sz="2" w:space="0"/>
              <w:bottom w:val="single" w:color="000000" w:sz="2" w:space="0"/>
              <w:right w:val="single" w:color="000000" w:sz="2" w:space="0"/>
            </w:tcBorders>
            <w:shd w:val="clear" w:color="auto" w:fill="FFFFFF"/>
            <w:vAlign w:val="center"/>
          </w:tcPr>
          <w:p w14:paraId="2A9A95DA">
            <w:pPr>
              <w:widowControl w:val="0"/>
              <w:spacing w:before="15" w:beforeAutospacing="0" w:after="75" w:afterAutospacing="0" w:line="360" w:lineRule="auto"/>
              <w:ind w:left="0" w:hanging="10"/>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学术论文</w:t>
            </w:r>
          </w:p>
        </w:tc>
        <w:tc>
          <w:tcPr>
            <w:tcW w:w="2605" w:type="dxa"/>
            <w:tcBorders>
              <w:top w:val="nil"/>
              <w:left w:val="nil"/>
              <w:bottom w:val="single" w:color="000000" w:sz="2" w:space="0"/>
              <w:right w:val="single" w:color="000000" w:sz="2" w:space="0"/>
            </w:tcBorders>
            <w:shd w:val="clear" w:color="auto" w:fill="FFFFFF"/>
            <w:vAlign w:val="center"/>
          </w:tcPr>
          <w:p w14:paraId="07738E70">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SCI期刊论文</w:t>
            </w:r>
          </w:p>
        </w:tc>
        <w:tc>
          <w:tcPr>
            <w:tcW w:w="5036" w:type="dxa"/>
            <w:tcBorders>
              <w:top w:val="nil"/>
              <w:left w:val="nil"/>
              <w:bottom w:val="single" w:color="000000" w:sz="2" w:space="0"/>
              <w:right w:val="single" w:color="000000" w:sz="2" w:space="0"/>
            </w:tcBorders>
            <w:shd w:val="clear" w:color="auto" w:fill="FFFFFF"/>
            <w:vAlign w:val="center"/>
          </w:tcPr>
          <w:p w14:paraId="772C01AD">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JCR 1区：0.3</w:t>
            </w:r>
          </w:p>
          <w:p w14:paraId="6E494361">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JCR 2区：0.2</w:t>
            </w:r>
          </w:p>
          <w:p w14:paraId="0BAAD20F">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JCR 3区：0.1</w:t>
            </w:r>
          </w:p>
        </w:tc>
      </w:tr>
      <w:tr w14:paraId="0B0A8499">
        <w:tblPrEx>
          <w:shd w:val="clear" w:color="auto" w:fill="DDDDDD"/>
          <w:tblCellMar>
            <w:top w:w="0" w:type="dxa"/>
            <w:left w:w="0" w:type="dxa"/>
            <w:bottom w:w="0" w:type="dxa"/>
            <w:right w:w="0" w:type="dxa"/>
          </w:tblCellMar>
        </w:tblPrEx>
        <w:trPr>
          <w:trHeight w:val="218" w:hRule="atLeast"/>
          <w:jc w:val="center"/>
        </w:trPr>
        <w:tc>
          <w:tcPr>
            <w:tcW w:w="1220" w:type="dxa"/>
            <w:vMerge w:val="continue"/>
            <w:tcBorders>
              <w:left w:val="single" w:color="000000" w:sz="2" w:space="0"/>
              <w:right w:val="single" w:color="000000" w:sz="2" w:space="0"/>
            </w:tcBorders>
            <w:shd w:val="clear" w:color="auto" w:fill="FFFFFF"/>
            <w:vAlign w:val="center"/>
          </w:tcPr>
          <w:p w14:paraId="1B34A776">
            <w:pPr>
              <w:widowControl w:val="0"/>
              <w:spacing w:before="15" w:beforeAutospacing="0" w:after="75" w:afterAutospacing="0" w:line="360" w:lineRule="auto"/>
              <w:ind w:left="0" w:hanging="10"/>
              <w:jc w:val="center"/>
              <w:rPr>
                <w:rFonts w:hint="eastAsia" w:ascii="仿宋" w:hAnsi="仿宋" w:eastAsia="仿宋" w:cs="方正仿宋_GBK"/>
                <w:color w:val="auto"/>
                <w:kern w:val="0"/>
                <w:sz w:val="24"/>
                <w:szCs w:val="24"/>
                <w:lang w:val="en-US" w:eastAsia="zh-CN" w:bidi="ar-SA"/>
              </w:rPr>
            </w:pPr>
          </w:p>
        </w:tc>
        <w:tc>
          <w:tcPr>
            <w:tcW w:w="2605" w:type="dxa"/>
            <w:tcBorders>
              <w:top w:val="nil"/>
              <w:left w:val="nil"/>
              <w:bottom w:val="single" w:color="000000" w:sz="2" w:space="0"/>
              <w:right w:val="single" w:color="000000" w:sz="2" w:space="0"/>
            </w:tcBorders>
            <w:shd w:val="clear" w:color="auto" w:fill="FFFFFF"/>
            <w:vAlign w:val="center"/>
          </w:tcPr>
          <w:p w14:paraId="4E0928C4">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仿宋"/>
                <w:color w:val="auto"/>
                <w:kern w:val="0"/>
                <w:sz w:val="21"/>
                <w:szCs w:val="21"/>
                <w:shd w:val="clear" w:color="auto" w:fill="FFFFFF"/>
                <w:lang w:val="en-US" w:eastAsia="zh-CN" w:bidi="ar-SA"/>
              </w:rPr>
              <w:t>CCF推荐国际学术会议论文</w:t>
            </w:r>
          </w:p>
        </w:tc>
        <w:tc>
          <w:tcPr>
            <w:tcW w:w="5036" w:type="dxa"/>
            <w:tcBorders>
              <w:top w:val="nil"/>
              <w:left w:val="nil"/>
              <w:bottom w:val="single" w:color="000000" w:sz="2" w:space="0"/>
              <w:right w:val="single" w:color="000000" w:sz="2" w:space="0"/>
            </w:tcBorders>
            <w:shd w:val="clear" w:color="auto" w:fill="FFFFFF"/>
            <w:vAlign w:val="center"/>
          </w:tcPr>
          <w:p w14:paraId="506DCB4F">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A类：0.3</w:t>
            </w:r>
          </w:p>
          <w:p w14:paraId="1F1D62F4">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B类：0.2</w:t>
            </w:r>
          </w:p>
          <w:p w14:paraId="4569E888">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C类：0.1</w:t>
            </w:r>
          </w:p>
        </w:tc>
      </w:tr>
      <w:tr w14:paraId="4566F2C6">
        <w:tblPrEx>
          <w:shd w:val="clear" w:color="auto" w:fill="DDDDDD"/>
          <w:tblCellMar>
            <w:top w:w="0" w:type="dxa"/>
            <w:left w:w="0" w:type="dxa"/>
            <w:bottom w:w="0" w:type="dxa"/>
            <w:right w:w="0" w:type="dxa"/>
          </w:tblCellMar>
        </w:tblPrEx>
        <w:trPr>
          <w:trHeight w:val="263" w:hRule="atLeast"/>
          <w:jc w:val="center"/>
        </w:trPr>
        <w:tc>
          <w:tcPr>
            <w:tcW w:w="1220" w:type="dxa"/>
            <w:vMerge w:val="continue"/>
            <w:tcBorders>
              <w:top w:val="nil"/>
              <w:left w:val="single" w:color="000000" w:sz="2" w:space="0"/>
              <w:bottom w:val="single" w:color="000000" w:sz="2" w:space="0"/>
              <w:right w:val="single" w:color="000000" w:sz="2" w:space="0"/>
            </w:tcBorders>
            <w:shd w:val="clear" w:color="auto" w:fill="FFFFFF"/>
            <w:vAlign w:val="center"/>
          </w:tcPr>
          <w:p w14:paraId="2D8D973B">
            <w:pPr>
              <w:widowControl w:val="0"/>
              <w:spacing w:before="15" w:beforeAutospacing="0" w:after="75" w:afterAutospacing="0" w:line="360" w:lineRule="auto"/>
              <w:ind w:left="0" w:hanging="10"/>
              <w:jc w:val="center"/>
              <w:rPr>
                <w:rFonts w:hint="eastAsia" w:ascii="仿宋" w:hAnsi="仿宋" w:eastAsia="仿宋" w:cs="方正仿宋_GBK"/>
                <w:color w:val="auto"/>
                <w:kern w:val="0"/>
                <w:sz w:val="24"/>
                <w:szCs w:val="24"/>
                <w:lang w:val="en-US" w:eastAsia="zh-CN" w:bidi="ar-SA"/>
              </w:rPr>
            </w:pPr>
          </w:p>
        </w:tc>
        <w:tc>
          <w:tcPr>
            <w:tcW w:w="2605" w:type="dxa"/>
            <w:tcBorders>
              <w:top w:val="nil"/>
              <w:left w:val="nil"/>
              <w:bottom w:val="single" w:color="000000" w:sz="2" w:space="0"/>
              <w:right w:val="single" w:color="000000" w:sz="2" w:space="0"/>
            </w:tcBorders>
            <w:shd w:val="clear" w:color="auto" w:fill="FFFFFF"/>
            <w:vAlign w:val="center"/>
          </w:tcPr>
          <w:p w14:paraId="2BEF8E5F">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EI期刊论文</w:t>
            </w:r>
          </w:p>
        </w:tc>
        <w:tc>
          <w:tcPr>
            <w:tcW w:w="5036" w:type="dxa"/>
            <w:tcBorders>
              <w:top w:val="nil"/>
              <w:left w:val="nil"/>
              <w:bottom w:val="single" w:color="000000" w:sz="2" w:space="0"/>
              <w:right w:val="single" w:color="000000" w:sz="2" w:space="0"/>
            </w:tcBorders>
            <w:shd w:val="clear" w:color="auto" w:fill="FFFFFF"/>
            <w:vAlign w:val="center"/>
          </w:tcPr>
          <w:p w14:paraId="2035A77C">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0.1分</w:t>
            </w:r>
          </w:p>
        </w:tc>
      </w:tr>
      <w:tr w14:paraId="36D39F68">
        <w:tblPrEx>
          <w:shd w:val="clear" w:color="auto" w:fill="DDDDDD"/>
          <w:tblCellMar>
            <w:top w:w="0" w:type="dxa"/>
            <w:left w:w="0" w:type="dxa"/>
            <w:bottom w:w="0" w:type="dxa"/>
            <w:right w:w="0" w:type="dxa"/>
          </w:tblCellMar>
        </w:tblPrEx>
        <w:trPr>
          <w:trHeight w:val="316" w:hRule="atLeast"/>
          <w:jc w:val="center"/>
        </w:trPr>
        <w:tc>
          <w:tcPr>
            <w:tcW w:w="1220" w:type="dxa"/>
            <w:vMerge w:val="continue"/>
            <w:tcBorders>
              <w:top w:val="nil"/>
              <w:left w:val="single" w:color="000000" w:sz="2" w:space="0"/>
              <w:bottom w:val="single" w:color="000000" w:sz="2" w:space="0"/>
              <w:right w:val="single" w:color="000000" w:sz="2" w:space="0"/>
            </w:tcBorders>
            <w:shd w:val="clear" w:color="auto" w:fill="FFFFFF"/>
            <w:vAlign w:val="center"/>
          </w:tcPr>
          <w:p w14:paraId="197C6EA6">
            <w:pPr>
              <w:widowControl w:val="0"/>
              <w:spacing w:before="15" w:beforeAutospacing="0" w:after="75" w:afterAutospacing="0" w:line="360" w:lineRule="auto"/>
              <w:ind w:left="0" w:hanging="10"/>
              <w:jc w:val="center"/>
              <w:rPr>
                <w:rFonts w:hint="eastAsia" w:ascii="仿宋" w:hAnsi="仿宋" w:eastAsia="仿宋" w:cs="方正仿宋_GBK"/>
                <w:color w:val="auto"/>
                <w:kern w:val="0"/>
                <w:sz w:val="24"/>
                <w:szCs w:val="24"/>
                <w:lang w:val="en-US" w:eastAsia="zh-CN" w:bidi="ar-SA"/>
              </w:rPr>
            </w:pPr>
          </w:p>
        </w:tc>
        <w:tc>
          <w:tcPr>
            <w:tcW w:w="2605" w:type="dxa"/>
            <w:tcBorders>
              <w:top w:val="nil"/>
              <w:left w:val="nil"/>
              <w:bottom w:val="single" w:color="000000" w:sz="2" w:space="0"/>
              <w:right w:val="single" w:color="000000" w:sz="2" w:space="0"/>
            </w:tcBorders>
            <w:shd w:val="clear" w:color="auto" w:fill="FFFFFF"/>
            <w:vAlign w:val="center"/>
          </w:tcPr>
          <w:p w14:paraId="55AD8C2D">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中文A级、B级期刊论文</w:t>
            </w:r>
          </w:p>
        </w:tc>
        <w:tc>
          <w:tcPr>
            <w:tcW w:w="5036" w:type="dxa"/>
            <w:tcBorders>
              <w:top w:val="nil"/>
              <w:left w:val="nil"/>
              <w:bottom w:val="single" w:color="000000" w:sz="2" w:space="0"/>
              <w:right w:val="single" w:color="000000" w:sz="2" w:space="0"/>
            </w:tcBorders>
            <w:shd w:val="clear" w:color="auto" w:fill="FFFFFF"/>
            <w:vAlign w:val="center"/>
          </w:tcPr>
          <w:p w14:paraId="7DE78B30">
            <w:pPr>
              <w:widowControl w:val="0"/>
              <w:spacing w:beforeAutospacing="0" w:afterAutospacing="0" w:line="360" w:lineRule="auto"/>
              <w:ind w:left="0" w:hanging="11"/>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0.05分</w:t>
            </w:r>
          </w:p>
        </w:tc>
      </w:tr>
    </w:tbl>
    <w:p w14:paraId="6F973311">
      <w:pPr>
        <w:widowControl w:val="0"/>
        <w:spacing w:line="360" w:lineRule="auto"/>
        <w:ind w:left="0" w:firstLine="0"/>
        <w:jc w:val="both"/>
        <w:rPr>
          <w:rFonts w:hint="eastAsia" w:ascii="仿宋" w:hAnsi="仿宋" w:eastAsia="仿宋" w:cs="仿宋"/>
          <w:color w:val="auto"/>
          <w:sz w:val="21"/>
          <w:szCs w:val="21"/>
          <w:shd w:val="clear" w:color="auto" w:fill="FFFFFF"/>
        </w:rPr>
      </w:pPr>
      <w:r>
        <w:rPr>
          <w:rFonts w:hint="eastAsia" w:ascii="仿宋" w:hAnsi="仿宋" w:eastAsia="仿宋" w:cs="仿宋"/>
          <w:color w:val="auto"/>
          <w:sz w:val="21"/>
          <w:szCs w:val="21"/>
          <w:shd w:val="clear" w:color="auto" w:fill="FFFFFF"/>
        </w:rPr>
        <w:t>【1】学术成果必须由中南大学在编在岗教师指导并署名，仅限学生为第一作者/发明人或第二作者/发明人（指导老师为第一作者/发明人），并需校内指导老师在相关成果复印件首页签字认可。</w:t>
      </w:r>
    </w:p>
    <w:p w14:paraId="168F0EA9">
      <w:pPr>
        <w:widowControl w:val="0"/>
        <w:spacing w:line="360" w:lineRule="auto"/>
        <w:ind w:left="0" w:firstLine="0"/>
        <w:jc w:val="both"/>
        <w:rPr>
          <w:rFonts w:hint="eastAsia" w:ascii="仿宋" w:hAnsi="仿宋" w:eastAsia="仿宋" w:cs="仿宋"/>
          <w:color w:val="auto"/>
          <w:sz w:val="21"/>
          <w:szCs w:val="21"/>
          <w:shd w:val="clear" w:color="auto" w:fill="FFFFFF"/>
        </w:rPr>
      </w:pPr>
      <w:r>
        <w:rPr>
          <w:rFonts w:hint="eastAsia" w:ascii="仿宋" w:hAnsi="仿宋" w:eastAsia="仿宋" w:cs="仿宋"/>
          <w:color w:val="auto"/>
          <w:sz w:val="21"/>
          <w:szCs w:val="21"/>
          <w:shd w:val="clear" w:color="auto" w:fill="FFFFFF"/>
        </w:rPr>
        <w:t>【2】学术科研成果的第一署名单位必须是“中南大学”的内部单位，学生的署名单位必须是“中南大学邓迪国际学院”，否则不予计算加分。</w:t>
      </w:r>
    </w:p>
    <w:p w14:paraId="09322A10">
      <w:pPr>
        <w:widowControl w:val="0"/>
        <w:spacing w:line="360" w:lineRule="auto"/>
        <w:ind w:left="0" w:firstLine="0"/>
        <w:jc w:val="both"/>
        <w:rPr>
          <w:rFonts w:hint="eastAsia" w:ascii="仿宋" w:hAnsi="仿宋" w:eastAsia="仿宋" w:cs="仿宋"/>
          <w:color w:val="auto"/>
          <w:sz w:val="21"/>
          <w:szCs w:val="21"/>
          <w:shd w:val="clear" w:color="auto" w:fill="FFFFFF"/>
        </w:rPr>
      </w:pPr>
      <w:r>
        <w:rPr>
          <w:rFonts w:hint="eastAsia" w:ascii="仿宋" w:hAnsi="仿宋" w:eastAsia="仿宋" w:cs="仿宋"/>
          <w:color w:val="auto"/>
          <w:sz w:val="21"/>
          <w:szCs w:val="21"/>
          <w:shd w:val="clear" w:color="auto" w:fill="FFFFFF"/>
        </w:rPr>
        <w:t>【3】对于已正式发表的论文，五年之内列入预警期刊的论文不认定，证明材料须提供刊物的封面、版权页、目录、收录证明材料以及全文的复印件；只有录用通知单的将不予进行加分。</w:t>
      </w:r>
    </w:p>
    <w:p w14:paraId="648451EC">
      <w:pPr>
        <w:widowControl w:val="0"/>
        <w:spacing w:line="360" w:lineRule="auto"/>
        <w:ind w:left="0" w:firstLine="0"/>
        <w:jc w:val="both"/>
        <w:rPr>
          <w:rFonts w:hint="eastAsia" w:ascii="仿宋" w:hAnsi="仿宋" w:eastAsia="仿宋" w:cs="仿宋"/>
          <w:color w:val="auto"/>
          <w:sz w:val="21"/>
          <w:szCs w:val="21"/>
          <w:shd w:val="clear" w:color="auto" w:fill="FFFFFF"/>
        </w:rPr>
      </w:pPr>
      <w:r>
        <w:rPr>
          <w:rFonts w:hint="eastAsia" w:ascii="仿宋" w:hAnsi="仿宋" w:eastAsia="仿宋" w:cs="仿宋"/>
          <w:color w:val="auto"/>
          <w:sz w:val="21"/>
          <w:szCs w:val="21"/>
          <w:shd w:val="clear" w:color="auto" w:fill="FFFFFF"/>
        </w:rPr>
        <w:t>【4】根据数学学科特点，按照国际惯例，学术论文作者以姓氏拼音排序，加分按照论文作者中所有学院学生平分贡献值，即每人平均分配加分；若相关学生协商一致，则学生本人提出并出具相关所有学生知情同意书，按照协商结果分配加分。</w:t>
      </w:r>
    </w:p>
    <w:p w14:paraId="2EFA27A5">
      <w:pPr>
        <w:widowControl w:val="0"/>
        <w:shd w:val="clear" w:color="auto" w:fill="FFFFFF"/>
        <w:spacing w:beforeAutospacing="0" w:afterAutospacing="0" w:line="360" w:lineRule="auto"/>
        <w:ind w:left="0" w:firstLine="562" w:firstLineChars="200"/>
        <w:jc w:val="both"/>
        <w:rPr>
          <w:rFonts w:hint="eastAsia" w:ascii="仿宋" w:hAnsi="仿宋" w:eastAsia="仿宋" w:cs="方正仿宋_GBK"/>
          <w:b/>
          <w:bCs/>
          <w:color w:val="auto"/>
          <w:kern w:val="2"/>
          <w:sz w:val="28"/>
          <w:szCs w:val="28"/>
          <w:lang w:val="en-US" w:eastAsia="zh-CN" w:bidi="ar-SA"/>
        </w:rPr>
      </w:pPr>
      <w:r>
        <w:rPr>
          <w:rFonts w:hint="eastAsia" w:ascii="仿宋" w:hAnsi="仿宋" w:eastAsia="仿宋" w:cs="方正仿宋_GBK"/>
          <w:b/>
          <w:bCs/>
          <w:color w:val="auto"/>
          <w:kern w:val="2"/>
          <w:sz w:val="28"/>
          <w:szCs w:val="28"/>
          <w:lang w:val="en-US" w:eastAsia="zh-CN" w:bidi="ar-SA"/>
        </w:rPr>
        <w:t>（三）荣誉称号加分</w:t>
      </w:r>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DDD"/>
        <w:tblLayout w:type="autofit"/>
        <w:tblCellMar>
          <w:top w:w="0" w:type="dxa"/>
          <w:left w:w="51" w:type="dxa"/>
          <w:bottom w:w="0" w:type="dxa"/>
          <w:right w:w="51" w:type="dxa"/>
        </w:tblCellMar>
      </w:tblPr>
      <w:tblGrid>
        <w:gridCol w:w="2094"/>
        <w:gridCol w:w="4923"/>
        <w:gridCol w:w="1691"/>
      </w:tblGrid>
      <w:tr w14:paraId="533C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DDD"/>
          <w:tblCellMar>
            <w:top w:w="0" w:type="dxa"/>
            <w:left w:w="51" w:type="dxa"/>
            <w:bottom w:w="0" w:type="dxa"/>
            <w:right w:w="51" w:type="dxa"/>
          </w:tblCellMar>
        </w:tblPrEx>
        <w:trPr>
          <w:trHeight w:val="158" w:hRule="atLeast"/>
          <w:jc w:val="center"/>
        </w:trPr>
        <w:tc>
          <w:tcPr>
            <w:tcW w:w="1202" w:type="pct"/>
            <w:shd w:val="clear" w:color="auto" w:fill="FFFFFF"/>
            <w:vAlign w:val="center"/>
          </w:tcPr>
          <w:p w14:paraId="4DCFAAB3">
            <w:pPr>
              <w:widowControl w:val="0"/>
              <w:spacing w:before="15" w:beforeAutospacing="0" w:after="75" w:afterAutospacing="0" w:line="360" w:lineRule="auto"/>
              <w:ind w:left="0" w:hanging="10"/>
              <w:jc w:val="center"/>
              <w:rPr>
                <w:rFonts w:hint="eastAsia" w:ascii="仿宋" w:hAnsi="仿宋" w:eastAsia="宋体" w:cs="Times New Roman"/>
                <w:b/>
                <w:color w:val="auto"/>
                <w:kern w:val="0"/>
                <w:sz w:val="24"/>
                <w:szCs w:val="22"/>
                <w:lang w:val="en-US" w:eastAsia="zh-CN" w:bidi="ar-SA"/>
              </w:rPr>
            </w:pPr>
            <w:r>
              <w:rPr>
                <w:rFonts w:hint="eastAsia" w:ascii="仿宋" w:hAnsi="仿宋" w:eastAsia="宋体" w:cs="Times New Roman"/>
                <w:b/>
                <w:color w:val="auto"/>
                <w:kern w:val="0"/>
                <w:sz w:val="24"/>
                <w:szCs w:val="22"/>
                <w:lang w:val="en-US" w:eastAsia="zh-CN" w:bidi="ar-SA"/>
              </w:rPr>
              <w:t>加分项目</w:t>
            </w:r>
          </w:p>
        </w:tc>
        <w:tc>
          <w:tcPr>
            <w:tcW w:w="2826" w:type="pct"/>
            <w:shd w:val="clear" w:color="auto" w:fill="FFFFFF"/>
            <w:vAlign w:val="center"/>
          </w:tcPr>
          <w:p w14:paraId="32D472FD">
            <w:pPr>
              <w:widowControl w:val="0"/>
              <w:spacing w:before="15" w:beforeAutospacing="0" w:after="75" w:afterAutospacing="0" w:line="360" w:lineRule="auto"/>
              <w:ind w:left="0" w:hanging="10"/>
              <w:jc w:val="center"/>
              <w:rPr>
                <w:rFonts w:hint="eastAsia" w:ascii="仿宋" w:hAnsi="仿宋" w:eastAsia="宋体" w:cs="Times New Roman"/>
                <w:b/>
                <w:color w:val="auto"/>
                <w:kern w:val="0"/>
                <w:sz w:val="24"/>
                <w:szCs w:val="22"/>
                <w:lang w:val="en-US" w:eastAsia="zh-CN" w:bidi="ar-SA"/>
              </w:rPr>
            </w:pPr>
            <w:r>
              <w:rPr>
                <w:rFonts w:hint="eastAsia" w:ascii="仿宋" w:hAnsi="仿宋" w:eastAsia="宋体" w:cs="Times New Roman"/>
                <w:b/>
                <w:color w:val="auto"/>
                <w:kern w:val="0"/>
                <w:sz w:val="24"/>
                <w:szCs w:val="22"/>
                <w:lang w:val="en-US" w:eastAsia="zh-CN" w:bidi="ar-SA"/>
              </w:rPr>
              <w:t>获奖等级</w:t>
            </w:r>
          </w:p>
        </w:tc>
        <w:tc>
          <w:tcPr>
            <w:tcW w:w="970" w:type="pct"/>
            <w:shd w:val="clear" w:color="auto" w:fill="FFFFFF"/>
            <w:vAlign w:val="center"/>
          </w:tcPr>
          <w:p w14:paraId="1B4C2536">
            <w:pPr>
              <w:widowControl w:val="0"/>
              <w:spacing w:before="15" w:beforeAutospacing="0" w:after="75" w:afterAutospacing="0" w:line="360" w:lineRule="auto"/>
              <w:ind w:left="0" w:hanging="10"/>
              <w:jc w:val="center"/>
              <w:rPr>
                <w:rFonts w:hint="eastAsia" w:ascii="仿宋" w:hAnsi="仿宋" w:eastAsia="宋体" w:cs="Times New Roman"/>
                <w:b/>
                <w:color w:val="auto"/>
                <w:kern w:val="0"/>
                <w:sz w:val="24"/>
                <w:szCs w:val="22"/>
                <w:lang w:val="en-US" w:eastAsia="zh-CN" w:bidi="ar-SA"/>
              </w:rPr>
            </w:pPr>
            <w:r>
              <w:rPr>
                <w:rFonts w:hint="eastAsia" w:ascii="仿宋" w:hAnsi="仿宋" w:eastAsia="宋体" w:cs="Times New Roman"/>
                <w:b/>
                <w:color w:val="auto"/>
                <w:kern w:val="0"/>
                <w:sz w:val="24"/>
                <w:szCs w:val="22"/>
                <w:lang w:val="en-US" w:eastAsia="zh-CN" w:bidi="ar-SA"/>
              </w:rPr>
              <w:t>加分标准</w:t>
            </w:r>
          </w:p>
        </w:tc>
      </w:tr>
      <w:tr w14:paraId="2F71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89" w:hRule="atLeast"/>
          <w:jc w:val="center"/>
        </w:trPr>
        <w:tc>
          <w:tcPr>
            <w:tcW w:w="1202" w:type="pct"/>
            <w:shd w:val="clear" w:color="auto" w:fill="FFFFFF"/>
            <w:vAlign w:val="center"/>
          </w:tcPr>
          <w:p w14:paraId="49501117">
            <w:pPr>
              <w:widowControl w:val="0"/>
              <w:spacing w:before="15" w:beforeAutospacing="0" w:after="75" w:afterAutospacing="0" w:line="288" w:lineRule="auto"/>
              <w:ind w:left="0" w:hanging="10"/>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国家级荣誉称号</w:t>
            </w:r>
          </w:p>
        </w:tc>
        <w:tc>
          <w:tcPr>
            <w:tcW w:w="2826" w:type="pct"/>
            <w:shd w:val="clear" w:color="auto" w:fill="FFFFFF"/>
            <w:vAlign w:val="center"/>
          </w:tcPr>
          <w:p w14:paraId="1FAC693D">
            <w:pPr>
              <w:widowControl w:val="0"/>
              <w:spacing w:beforeAutospacing="0" w:afterAutospacing="0" w:line="288" w:lineRule="auto"/>
              <w:ind w:left="11" w:hanging="11"/>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中国大学生年度人物、全国道德模范、全国优秀共产党员、全国优秀共青团员、全国优秀共青团干部、中国大学生自强之星、中国青年志愿者优秀个人奖、最美大学生</w:t>
            </w:r>
          </w:p>
        </w:tc>
        <w:tc>
          <w:tcPr>
            <w:tcW w:w="970" w:type="pct"/>
            <w:shd w:val="clear" w:color="auto" w:fill="FFFFFF"/>
            <w:vAlign w:val="center"/>
          </w:tcPr>
          <w:p w14:paraId="344E0062">
            <w:pPr>
              <w:widowControl w:val="0"/>
              <w:spacing w:before="15" w:beforeAutospacing="0" w:after="75" w:afterAutospacing="0" w:line="288" w:lineRule="auto"/>
              <w:ind w:left="0" w:hanging="10"/>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加</w:t>
            </w:r>
            <w:r>
              <w:rPr>
                <w:rFonts w:hint="eastAsia" w:ascii="仿宋" w:hAnsi="仿宋" w:eastAsia="宋体" w:cs="Times New Roman"/>
                <w:color w:val="auto"/>
                <w:kern w:val="0"/>
                <w:sz w:val="24"/>
                <w:szCs w:val="22"/>
                <w:lang w:val="en-US" w:eastAsia="zh-CN" w:bidi="ar-SA"/>
              </w:rPr>
              <w:t>2.5</w:t>
            </w:r>
            <w:r>
              <w:rPr>
                <w:rFonts w:hint="eastAsia" w:ascii="仿宋" w:hAnsi="仿宋" w:eastAsia="仿宋" w:cs="方正仿宋_GBK"/>
                <w:color w:val="auto"/>
                <w:kern w:val="0"/>
                <w:sz w:val="24"/>
                <w:szCs w:val="24"/>
                <w:lang w:val="en-US" w:eastAsia="zh-CN" w:bidi="ar-SA"/>
              </w:rPr>
              <w:t>分</w:t>
            </w:r>
          </w:p>
        </w:tc>
      </w:tr>
      <w:tr w14:paraId="4CD9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8" w:hRule="atLeast"/>
          <w:jc w:val="center"/>
        </w:trPr>
        <w:tc>
          <w:tcPr>
            <w:tcW w:w="1202" w:type="pct"/>
            <w:shd w:val="clear" w:color="auto" w:fill="FFFFFF"/>
            <w:vAlign w:val="center"/>
          </w:tcPr>
          <w:p w14:paraId="30F1EE64">
            <w:pPr>
              <w:widowControl w:val="0"/>
              <w:spacing w:before="15" w:beforeAutospacing="0" w:after="75" w:afterAutospacing="0" w:line="288" w:lineRule="auto"/>
              <w:ind w:left="0" w:hanging="10"/>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省部级荣誉称号</w:t>
            </w:r>
          </w:p>
        </w:tc>
        <w:tc>
          <w:tcPr>
            <w:tcW w:w="2826" w:type="pct"/>
            <w:shd w:val="clear" w:color="auto" w:fill="FFFFFF"/>
            <w:vAlign w:val="center"/>
          </w:tcPr>
          <w:p w14:paraId="4C532CEC">
            <w:pPr>
              <w:widowControl w:val="0"/>
              <w:spacing w:beforeAutospacing="0" w:afterAutospacing="0" w:line="288" w:lineRule="auto"/>
              <w:ind w:left="11" w:hanging="11"/>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
              </w:rPr>
              <w:t>省大学生年度人物、省道德模范、省优秀共青团员、省优秀共青团干部、省优秀大学生社会实践个人、省百佳大学生党员</w:t>
            </w:r>
          </w:p>
        </w:tc>
        <w:tc>
          <w:tcPr>
            <w:tcW w:w="970" w:type="pct"/>
            <w:shd w:val="clear" w:color="auto" w:fill="FFFFFF"/>
            <w:vAlign w:val="center"/>
          </w:tcPr>
          <w:p w14:paraId="2DEF3539">
            <w:pPr>
              <w:widowControl w:val="0"/>
              <w:spacing w:before="15" w:beforeAutospacing="0" w:after="75" w:afterAutospacing="0" w:line="288" w:lineRule="auto"/>
              <w:ind w:left="0" w:hanging="10"/>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加0.5分</w:t>
            </w:r>
          </w:p>
        </w:tc>
      </w:tr>
      <w:tr w14:paraId="2762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8" w:hRule="atLeast"/>
          <w:jc w:val="center"/>
        </w:trPr>
        <w:tc>
          <w:tcPr>
            <w:tcW w:w="1202" w:type="pct"/>
            <w:shd w:val="clear" w:color="auto" w:fill="FFFFFF"/>
            <w:vAlign w:val="center"/>
          </w:tcPr>
          <w:p w14:paraId="5371ABE3">
            <w:pPr>
              <w:widowControl w:val="0"/>
              <w:spacing w:before="15" w:beforeAutospacing="0" w:after="75" w:afterAutospacing="0" w:line="288" w:lineRule="auto"/>
              <w:ind w:left="0" w:hanging="10"/>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校级荣誉称号</w:t>
            </w:r>
          </w:p>
        </w:tc>
        <w:tc>
          <w:tcPr>
            <w:tcW w:w="2826" w:type="pct"/>
            <w:shd w:val="clear" w:color="auto" w:fill="FFFFFF"/>
            <w:vAlign w:val="center"/>
          </w:tcPr>
          <w:p w14:paraId="4ADBF9EF">
            <w:pPr>
              <w:widowControl w:val="0"/>
              <w:spacing w:beforeAutospacing="0" w:afterAutospacing="0" w:line="288" w:lineRule="auto"/>
              <w:ind w:left="11" w:hanging="11"/>
              <w:rPr>
                <w:rFonts w:hint="eastAsia" w:ascii="仿宋" w:hAnsi="仿宋" w:eastAsia="仿宋" w:cs="方正仿宋_GBK"/>
                <w:color w:val="auto"/>
                <w:kern w:val="0"/>
                <w:sz w:val="24"/>
                <w:szCs w:val="24"/>
                <w:lang w:val="en-US" w:eastAsia="zh-CN" w:bidi="ar"/>
              </w:rPr>
            </w:pPr>
            <w:r>
              <w:rPr>
                <w:rFonts w:hint="eastAsia" w:ascii="仿宋" w:hAnsi="仿宋" w:eastAsia="仿宋" w:cs="方正仿宋_GBK"/>
                <w:color w:val="auto"/>
                <w:kern w:val="0"/>
                <w:sz w:val="24"/>
                <w:szCs w:val="24"/>
                <w:lang w:val="en-US" w:eastAsia="zh-CN" w:bidi="ar"/>
              </w:rPr>
              <w:t>大学生年度人物，优秀学生标兵、优秀学生干部标兵，十佳大学生，优秀团干标兵</w:t>
            </w:r>
          </w:p>
        </w:tc>
        <w:tc>
          <w:tcPr>
            <w:tcW w:w="970" w:type="pct"/>
            <w:shd w:val="clear" w:color="auto" w:fill="FFFFFF"/>
            <w:vAlign w:val="center"/>
          </w:tcPr>
          <w:p w14:paraId="741010D3">
            <w:pPr>
              <w:widowControl w:val="0"/>
              <w:spacing w:before="15" w:beforeAutospacing="0" w:after="75" w:afterAutospacing="0" w:line="288" w:lineRule="auto"/>
              <w:ind w:left="0" w:hanging="10"/>
              <w:jc w:val="center"/>
              <w:rPr>
                <w:rFonts w:hint="eastAsia" w:ascii="仿宋" w:hAnsi="仿宋" w:eastAsia="仿宋" w:cs="方正仿宋_GBK"/>
                <w:color w:val="auto"/>
                <w:kern w:val="0"/>
                <w:sz w:val="24"/>
                <w:szCs w:val="24"/>
                <w:lang w:val="en-US" w:eastAsia="zh-CN" w:bidi="ar-SA"/>
              </w:rPr>
            </w:pPr>
            <w:r>
              <w:rPr>
                <w:rFonts w:hint="eastAsia" w:ascii="仿宋" w:hAnsi="仿宋" w:eastAsia="仿宋" w:cs="方正仿宋_GBK"/>
                <w:color w:val="auto"/>
                <w:kern w:val="0"/>
                <w:sz w:val="24"/>
                <w:szCs w:val="24"/>
                <w:lang w:val="en-US" w:eastAsia="zh-CN" w:bidi="ar-SA"/>
              </w:rPr>
              <w:t>加0.2分</w:t>
            </w:r>
          </w:p>
        </w:tc>
      </w:tr>
    </w:tbl>
    <w:p w14:paraId="053E0501">
      <w:pPr>
        <w:widowControl w:val="0"/>
        <w:shd w:val="clear" w:color="auto" w:fill="FFFFFF"/>
        <w:spacing w:beforeAutospacing="0" w:afterAutospacing="0" w:line="360" w:lineRule="auto"/>
        <w:ind w:left="0" w:firstLine="560" w:firstLineChars="200"/>
        <w:jc w:val="both"/>
        <w:rPr>
          <w:rFonts w:hint="eastAsia" w:ascii="仿宋" w:hAnsi="仿宋" w:eastAsia="仿宋" w:cs="方正仿宋_GBK"/>
          <w:color w:val="auto"/>
          <w:kern w:val="2"/>
          <w:sz w:val="28"/>
          <w:szCs w:val="28"/>
          <w:lang w:val="en-US" w:eastAsia="zh-CN" w:bidi="ar-SA"/>
        </w:rPr>
      </w:pPr>
    </w:p>
    <w:p w14:paraId="10F5332F">
      <w:bookmarkStart w:id="0" w:name="_GoBack"/>
      <w:bookmarkEnd w:id="0"/>
    </w:p>
    <w:sectPr>
      <w:footerReference r:id="rId3" w:type="default"/>
      <w:pgSz w:w="11906" w:h="16838"/>
      <w:pgMar w:top="1417" w:right="1656" w:bottom="1417" w:left="164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FCF9B378-BD68-435D-A6C5-58908148DE1B}"/>
  </w:font>
  <w:font w:name="方正小标宋简体">
    <w:panose1 w:val="02000000000000000000"/>
    <w:charset w:val="86"/>
    <w:family w:val="script"/>
    <w:pitch w:val="default"/>
    <w:sig w:usb0="00000001" w:usb1="08000000" w:usb2="00000000" w:usb3="00000000" w:csb0="00040000" w:csb1="00000000"/>
    <w:embedRegular r:id="rId2" w:fontKey="{6EF6406B-2524-462C-9F6F-45840BA7F668}"/>
  </w:font>
  <w:font w:name="方正仿宋_GBK">
    <w:panose1 w:val="03000509000000000000"/>
    <w:charset w:val="86"/>
    <w:family w:val="script"/>
    <w:pitch w:val="default"/>
    <w:sig w:usb0="00000001" w:usb1="080E0000" w:usb2="00000000" w:usb3="00000000" w:csb0="00040000" w:csb1="00000000"/>
    <w:embedRegular r:id="rId3" w:fontKey="{48B024B4-80A8-4243-91C9-E4B23998139A}"/>
  </w:font>
  <w:font w:name="仿宋">
    <w:panose1 w:val="02010609060101010101"/>
    <w:charset w:val="86"/>
    <w:family w:val="modern"/>
    <w:pitch w:val="default"/>
    <w:sig w:usb0="800002BF" w:usb1="38CF7CFA" w:usb2="00000016" w:usb3="00000000" w:csb0="00040001" w:csb1="00000000"/>
    <w:embedRegular r:id="rId4" w:fontKey="{DFA20296-4114-47CF-B9A7-6042E6FC5B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86048">
    <w:pPr>
      <w:tabs>
        <w:tab w:val="center" w:pos="4153"/>
        <w:tab w:val="right" w:pos="8306"/>
      </w:tabs>
      <w:snapToGrid w:val="0"/>
      <w:spacing w:line="240" w:lineRule="auto"/>
      <w:ind w:left="0" w:firstLine="0"/>
      <w:rPr>
        <w:rFonts w:hint="eastAsia" w:ascii="宋体" w:hAnsi="宋体" w:eastAsia="宋体" w:cs="宋体"/>
        <w:color w:val="333333"/>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7A347E"/>
    <w:rsid w:val="4A7A3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2026-09-09T08:40:00Z</dcterms:created>
  <dc:creator>张姗姗</dc:creator>
  <cp:lastModifiedBy>张姗姗</cp:lastModifiedBy>
  <dcterms:modified xsi:type="dcterms:W3CDTF">2026-09-09T08:40:30Z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B66C60B8678C40A689BBC91CCA06B0DF_11</vt:lpwstr>
  </property>
  <property fmtid="{D5CDD505-2E9C-101B-9397-08002B2CF9AE}" pid="4" name="KSOTemplateDocerSaveRecord">
    <vt:lpwstr>eyJoZGlkIjoiNDk3MTU5ZjZjNzEwNWUxYjM2YmU1YzU3ZDAyOGYyMDEiLCJ1c2VySWQiOiIxNTg1MzMyNDg5In0=</vt:lpwstr>
  </property>
</Properties>
</file>