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5"/>
        <w:ind w:right="1636"/>
      </w:pPr>
      <w:bookmarkStart w:id="0" w:name="楚才学院推荐2023届优秀本科毕业生免试攻读研究生工作方案"/>
      <w:bookmarkEnd w:id="0"/>
      <w:r>
        <w:t>楚才学院推</w:t>
      </w:r>
      <w:r>
        <w:rPr>
          <w:highlight w:val="none"/>
        </w:rPr>
        <w:t>荐</w:t>
      </w:r>
      <w:bookmarkStart w:id="1" w:name="OLE_LINK1"/>
      <w:r>
        <w:rPr>
          <w:rFonts w:ascii="Times New Roman" w:eastAsia="Times New Roman"/>
          <w:highlight w:val="none"/>
        </w:rPr>
        <w:t>2</w:t>
      </w:r>
      <w:r>
        <w:rPr>
          <w:rFonts w:ascii="Times New Roman" w:eastAsia="Times New Roman"/>
        </w:rPr>
        <w:t>02</w:t>
      </w:r>
      <w:bookmarkEnd w:id="1"/>
      <w:r>
        <w:rPr>
          <w:rFonts w:hint="eastAsia" w:ascii="Times New Roman"/>
          <w:lang w:val="en-US" w:eastAsia="zh-CN"/>
        </w:rPr>
        <w:t>5</w:t>
      </w:r>
      <w:r>
        <w:t>届优秀本科毕业生免试攻读研究生工作方案</w:t>
      </w:r>
    </w:p>
    <w:p>
      <w:pPr>
        <w:pStyle w:val="4"/>
        <w:rPr>
          <w:b/>
          <w:sz w:val="30"/>
        </w:rPr>
      </w:pPr>
    </w:p>
    <w:p>
      <w:pPr>
        <w:pStyle w:val="4"/>
        <w:spacing w:before="2"/>
        <w:rPr>
          <w:b/>
          <w:sz w:val="27"/>
        </w:rPr>
      </w:pPr>
    </w:p>
    <w:p>
      <w:pPr>
        <w:tabs>
          <w:tab w:val="left" w:pos="4759"/>
        </w:tabs>
        <w:spacing w:before="0" w:after="44"/>
        <w:ind w:left="1400" w:right="0" w:firstLine="0"/>
        <w:jc w:val="left"/>
        <w:rPr>
          <w:sz w:val="24"/>
        </w:rPr>
      </w:pPr>
      <w:r>
        <w:rPr>
          <w:sz w:val="24"/>
        </w:rPr>
        <w:t>学院签章：</w:t>
      </w:r>
      <w:r>
        <w:rPr>
          <w:sz w:val="24"/>
        </w:rPr>
        <w:tab/>
      </w:r>
      <w:r>
        <w:rPr>
          <w:sz w:val="24"/>
        </w:rPr>
        <w:t>学院推免生遴选工作小组组长签字：</w:t>
      </w:r>
    </w:p>
    <w:tbl>
      <w:tblPr>
        <w:tblStyle w:val="8"/>
        <w:tblW w:w="0" w:type="auto"/>
        <w:tblInd w:w="6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2873"/>
        <w:gridCol w:w="63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528" w:type="dxa"/>
            <w:gridSpan w:val="2"/>
          </w:tcPr>
          <w:p>
            <w:pPr>
              <w:pStyle w:val="13"/>
              <w:spacing w:before="6"/>
              <w:rPr>
                <w:sz w:val="19"/>
              </w:rPr>
            </w:pPr>
          </w:p>
          <w:p>
            <w:pPr>
              <w:pStyle w:val="13"/>
              <w:spacing w:before="1"/>
              <w:ind w:left="443"/>
              <w:rPr>
                <w:sz w:val="24"/>
              </w:rPr>
            </w:pPr>
            <w:r>
              <w:rPr>
                <w:sz w:val="24"/>
              </w:rPr>
              <w:t>推免生遴选工作小组组长</w:t>
            </w:r>
          </w:p>
        </w:tc>
        <w:tc>
          <w:tcPr>
            <w:tcW w:w="6372" w:type="dxa"/>
          </w:tcPr>
          <w:p>
            <w:pPr>
              <w:pStyle w:val="13"/>
              <w:spacing w:before="6"/>
              <w:rPr>
                <w:sz w:val="19"/>
              </w:rPr>
            </w:pPr>
          </w:p>
          <w:p>
            <w:pPr>
              <w:pStyle w:val="13"/>
              <w:spacing w:before="1"/>
              <w:ind w:left="1064" w:right="1057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sz w:val="24"/>
              </w:rPr>
              <w:t>组长：朱小梅；副组长：万虹、</w:t>
            </w:r>
            <w:r>
              <w:rPr>
                <w:rFonts w:hint="eastAsia"/>
                <w:sz w:val="24"/>
                <w:lang w:val="en-US" w:eastAsia="zh-CN"/>
              </w:rPr>
              <w:t>肖勇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3528" w:type="dxa"/>
            <w:gridSpan w:val="2"/>
          </w:tcPr>
          <w:p>
            <w:pPr>
              <w:pStyle w:val="13"/>
              <w:spacing w:before="3"/>
              <w:rPr>
                <w:sz w:val="21"/>
              </w:rPr>
            </w:pPr>
          </w:p>
          <w:p>
            <w:pPr>
              <w:pStyle w:val="13"/>
              <w:ind w:left="443"/>
              <w:rPr>
                <w:sz w:val="24"/>
              </w:rPr>
            </w:pPr>
            <w:r>
              <w:rPr>
                <w:sz w:val="24"/>
              </w:rPr>
              <w:t>推免生遴选工作小组成员</w:t>
            </w:r>
          </w:p>
        </w:tc>
        <w:tc>
          <w:tcPr>
            <w:tcW w:w="6372" w:type="dxa"/>
          </w:tcPr>
          <w:p>
            <w:pPr>
              <w:pStyle w:val="13"/>
              <w:spacing w:before="3"/>
              <w:rPr>
                <w:sz w:val="21"/>
              </w:rPr>
            </w:pPr>
          </w:p>
          <w:p>
            <w:pPr>
              <w:pStyle w:val="13"/>
              <w:ind w:left="1064" w:right="1057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>符琳、李恒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樊丽敏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5" w:hRule="atLeast"/>
        </w:trPr>
        <w:tc>
          <w:tcPr>
            <w:tcW w:w="655" w:type="dxa"/>
          </w:tcPr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spacing w:before="192" w:line="280" w:lineRule="auto"/>
              <w:ind w:left="206" w:right="196"/>
              <w:jc w:val="both"/>
              <w:rPr>
                <w:sz w:val="24"/>
              </w:rPr>
            </w:pPr>
            <w:r>
              <w:rPr>
                <w:sz w:val="24"/>
              </w:rPr>
              <w:t>本院推免生申请资格条件</w:t>
            </w:r>
          </w:p>
        </w:tc>
        <w:tc>
          <w:tcPr>
            <w:tcW w:w="9245" w:type="dxa"/>
            <w:gridSpan w:val="2"/>
          </w:tcPr>
          <w:p>
            <w:pPr>
              <w:pStyle w:val="13"/>
              <w:spacing w:before="192"/>
              <w:ind w:left="588"/>
              <w:jc w:val="both"/>
              <w:rPr>
                <w:sz w:val="24"/>
              </w:rPr>
            </w:pPr>
            <w:r>
              <w:rPr>
                <w:sz w:val="24"/>
              </w:rPr>
              <w:t>申请</w:t>
            </w:r>
            <w:r>
              <w:rPr>
                <w:rFonts w:hint="eastAsia"/>
                <w:sz w:val="24"/>
                <w:lang w:eastAsia="zh-CN"/>
              </w:rPr>
              <w:t>A</w:t>
            </w:r>
            <w:r>
              <w:rPr>
                <w:sz w:val="24"/>
              </w:rPr>
              <w:t>类、</w:t>
            </w:r>
            <w:r>
              <w:rPr>
                <w:rFonts w:ascii="Times New Roman" w:eastAsia="Times New Roman"/>
                <w:sz w:val="24"/>
              </w:rPr>
              <w:t>C</w:t>
            </w:r>
            <w:r>
              <w:rPr>
                <w:sz w:val="24"/>
              </w:rPr>
              <w:t>类免试攻读硕士研究生者，应符合以下基本条件：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889"/>
                <w:tab w:val="left" w:pos="90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33" w:after="0" w:line="423" w:lineRule="auto"/>
              <w:ind w:left="108" w:right="170" w:rightChars="0" w:firstLine="482"/>
              <w:jc w:val="both"/>
              <w:textAlignment w:val="auto"/>
              <w:rPr>
                <w:rFonts w:ascii="Times New Roman" w:eastAsia="Times New Roman"/>
                <w:sz w:val="24"/>
              </w:rPr>
            </w:pPr>
            <w:r>
              <w:rPr>
                <w:rFonts w:hint="eastAsia"/>
                <w:spacing w:val="-3"/>
                <w:sz w:val="24"/>
                <w:lang w:val="en-US" w:eastAsia="zh-CN"/>
              </w:rPr>
              <w:t>楚才学院全日制在籍优秀本科毕业生，</w:t>
            </w:r>
            <w:r>
              <w:rPr>
                <w:spacing w:val="-3"/>
                <w:sz w:val="24"/>
              </w:rPr>
              <w:t>具有高尚的爱国主义情操和集体主义精神，社会主义信念坚定，社会责任感强，</w:t>
            </w:r>
            <w:r>
              <w:rPr>
                <w:sz w:val="24"/>
              </w:rPr>
              <w:t>积极向上，身心健康，思想品德考核合格，无违纪违规行为和处分记录；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88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3" w:lineRule="auto"/>
              <w:ind w:left="108" w:right="170" w:firstLine="482"/>
              <w:jc w:val="both"/>
              <w:textAlignment w:val="auto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勤奋学习，刻苦钻研，基础扎实，专业志向远大，有较强的创新意</w:t>
            </w:r>
            <w:r>
              <w:rPr>
                <w:spacing w:val="-8"/>
                <w:sz w:val="24"/>
              </w:rPr>
              <w:t>识和创新能力，修</w:t>
            </w:r>
            <w:r>
              <w:rPr>
                <w:rFonts w:hint="eastAsia"/>
                <w:spacing w:val="-8"/>
                <w:sz w:val="24"/>
                <w:lang w:val="en-US" w:eastAsia="zh-CN"/>
              </w:rPr>
              <w:t>完</w:t>
            </w:r>
            <w:r>
              <w:rPr>
                <w:spacing w:val="-8"/>
                <w:sz w:val="24"/>
              </w:rPr>
              <w:t>个人培养方案规定的</w:t>
            </w:r>
            <w:r>
              <w:rPr>
                <w:rFonts w:hint="eastAsia"/>
                <w:spacing w:val="-8"/>
                <w:sz w:val="24"/>
                <w:lang w:val="en-US" w:eastAsia="zh-CN"/>
              </w:rPr>
              <w:t>相应</w:t>
            </w:r>
            <w:r>
              <w:rPr>
                <w:spacing w:val="-8"/>
                <w:sz w:val="24"/>
              </w:rPr>
              <w:t>课程</w:t>
            </w:r>
            <w:r>
              <w:rPr>
                <w:spacing w:val="-2"/>
                <w:sz w:val="24"/>
              </w:rPr>
              <w:t>；</w:t>
            </w:r>
            <w:r>
              <w:rPr>
                <w:rFonts w:hint="eastAsia"/>
                <w:spacing w:val="-2"/>
                <w:sz w:val="24"/>
              </w:rPr>
              <w:t>专业年级前三学年学业成绩加权平均分排名或楚才班级</w:t>
            </w:r>
            <w:r>
              <w:rPr>
                <w:rFonts w:hint="eastAsia"/>
                <w:spacing w:val="-2"/>
                <w:sz w:val="24"/>
                <w:lang w:val="en-US" w:eastAsia="zh-CN"/>
              </w:rPr>
              <w:t>前</w:t>
            </w:r>
            <w:r>
              <w:rPr>
                <w:rFonts w:hint="eastAsia"/>
                <w:spacing w:val="-2"/>
                <w:sz w:val="24"/>
              </w:rPr>
              <w:t>三学年学业成绩位次分排名不低于前50%；</w:t>
            </w:r>
          </w:p>
          <w:p>
            <w:pPr>
              <w:pStyle w:val="13"/>
              <w:numPr>
                <w:ilvl w:val="0"/>
                <w:numId w:val="1"/>
              </w:numPr>
              <w:tabs>
                <w:tab w:val="left" w:pos="850"/>
              </w:tabs>
              <w:spacing w:before="0" w:after="0" w:line="305" w:lineRule="exact"/>
              <w:ind w:left="849" w:right="0" w:hanging="262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z w:val="24"/>
              </w:rPr>
              <w:t>C</w:t>
            </w:r>
            <w:r>
              <w:rPr>
                <w:sz w:val="24"/>
              </w:rPr>
              <w:t>类申请及推荐按照学校</w:t>
            </w:r>
            <w:r>
              <w:rPr>
                <w:rFonts w:hint="eastAsia"/>
                <w:sz w:val="24"/>
                <w:lang w:val="en-US" w:eastAsia="zh-CN"/>
              </w:rPr>
              <w:t>及楚才学院</w:t>
            </w:r>
            <w:r>
              <w:rPr>
                <w:sz w:val="24"/>
              </w:rPr>
              <w:t>有关通知执行。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9" w:hRule="atLeast"/>
        </w:trPr>
        <w:tc>
          <w:tcPr>
            <w:tcW w:w="655" w:type="dxa"/>
          </w:tcPr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spacing w:before="4"/>
              <w:jc w:val="both"/>
              <w:rPr>
                <w:sz w:val="34"/>
              </w:rPr>
            </w:pPr>
          </w:p>
          <w:p>
            <w:pPr>
              <w:pStyle w:val="13"/>
              <w:spacing w:line="280" w:lineRule="auto"/>
              <w:ind w:left="206" w:right="196"/>
              <w:jc w:val="both"/>
              <w:rPr>
                <w:sz w:val="24"/>
              </w:rPr>
            </w:pPr>
            <w:r>
              <w:rPr>
                <w:sz w:val="24"/>
              </w:rPr>
              <w:t>推荐原则</w:t>
            </w:r>
          </w:p>
        </w:tc>
        <w:tc>
          <w:tcPr>
            <w:tcW w:w="9245" w:type="dxa"/>
            <w:gridSpan w:val="2"/>
          </w:tcPr>
          <w:p>
            <w:pPr>
              <w:pStyle w:val="13"/>
              <w:spacing w:before="6"/>
              <w:jc w:val="both"/>
              <w:rPr>
                <w:sz w:val="28"/>
              </w:rPr>
            </w:pPr>
          </w:p>
          <w:p>
            <w:pPr>
              <w:pStyle w:val="13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一、学业成绩核算规则</w:t>
            </w:r>
          </w:p>
          <w:p>
            <w:pPr>
              <w:pStyle w:val="13"/>
              <w:spacing w:before="10"/>
              <w:jc w:val="both"/>
              <w:rPr>
                <w:sz w:val="31"/>
              </w:rPr>
            </w:pPr>
          </w:p>
          <w:p>
            <w:pPr>
              <w:pStyle w:val="13"/>
              <w:ind w:left="588"/>
              <w:jc w:val="both"/>
              <w:rPr>
                <w:sz w:val="24"/>
              </w:rPr>
            </w:pPr>
            <w:r>
              <w:rPr>
                <w:sz w:val="24"/>
              </w:rPr>
              <w:t>学业成绩由学生在楚才计划班和专业年级的排位成绩计算得出：</w:t>
            </w:r>
          </w:p>
          <w:p>
            <w:pPr>
              <w:pStyle w:val="13"/>
              <w:spacing w:before="11"/>
              <w:jc w:val="both"/>
              <w:rPr>
                <w:sz w:val="19"/>
              </w:rPr>
            </w:pPr>
          </w:p>
          <w:p>
            <w:pPr>
              <w:pStyle w:val="13"/>
              <w:ind w:left="588"/>
              <w:jc w:val="both"/>
              <w:rPr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>1.</w:t>
            </w:r>
            <w:r>
              <w:rPr>
                <w:spacing w:val="-12"/>
                <w:sz w:val="24"/>
              </w:rPr>
              <w:t>学业成绩</w:t>
            </w:r>
            <w:r>
              <w:rPr>
                <w:rFonts w:ascii="Times New Roman" w:hAnsi="Times New Roman" w:eastAsia="Times New Roman"/>
                <w:sz w:val="24"/>
              </w:rPr>
              <w:t>W</w:t>
            </w:r>
            <w:r>
              <w:rPr>
                <w:rFonts w:ascii="Times New Roman" w:hAnsi="Times New Roman" w:eastAsia="Times New Roman"/>
                <w:spacing w:val="-2"/>
                <w:sz w:val="24"/>
              </w:rPr>
              <w:t>=</w:t>
            </w:r>
            <w:r>
              <w:rPr>
                <w:rFonts w:ascii="Times New Roman" w:hAnsi="Times New Roman" w:eastAsia="Times New Roman"/>
                <w:sz w:val="24"/>
              </w:rPr>
              <w:t>Q</w:t>
            </w:r>
            <w:r>
              <w:rPr>
                <w:rFonts w:ascii="Arial" w:hAnsi="Arial" w:eastAsia="Arial"/>
                <w:spacing w:val="-1"/>
                <w:sz w:val="24"/>
              </w:rPr>
              <w:t>×</w:t>
            </w:r>
            <w:r>
              <w:rPr>
                <w:rFonts w:ascii="Times New Roman" w:hAnsi="Times New Roman" w:eastAsia="Times New Roman"/>
                <w:sz w:val="24"/>
              </w:rPr>
              <w:t>40%</w:t>
            </w:r>
            <w:r>
              <w:rPr>
                <w:sz w:val="24"/>
              </w:rPr>
              <w:t>＋</w:t>
            </w:r>
            <w:r>
              <w:rPr>
                <w:rFonts w:ascii="Times New Roman" w:hAnsi="Times New Roman" w:eastAsia="Times New Roman"/>
                <w:sz w:val="24"/>
              </w:rPr>
              <w:t>P</w:t>
            </w:r>
            <w:r>
              <w:rPr>
                <w:rFonts w:ascii="Arial" w:hAnsi="Arial" w:eastAsia="Arial"/>
                <w:sz w:val="24"/>
              </w:rPr>
              <w:t>×</w:t>
            </w:r>
            <w:r>
              <w:rPr>
                <w:rFonts w:ascii="Times New Roman" w:hAnsi="Times New Roman" w:eastAsia="Times New Roman"/>
                <w:sz w:val="24"/>
              </w:rPr>
              <w:t>60%</w:t>
            </w:r>
            <w:r>
              <w:rPr>
                <w:sz w:val="24"/>
              </w:rPr>
              <w:t>；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numPr>
                <w:ilvl w:val="0"/>
                <w:numId w:val="2"/>
              </w:numPr>
              <w:tabs>
                <w:tab w:val="left" w:pos="889"/>
              </w:tabs>
              <w:spacing w:before="0" w:after="0" w:line="240" w:lineRule="auto"/>
              <w:ind w:left="888" w:right="0" w:hanging="301"/>
              <w:jc w:val="both"/>
              <w:rPr>
                <w:rFonts w:ascii="Times New Roman" w:eastAsia="Times New Roman"/>
                <w:sz w:val="24"/>
              </w:rPr>
            </w:pPr>
            <w:r>
              <w:rPr>
                <w:spacing w:val="-9"/>
                <w:sz w:val="24"/>
              </w:rPr>
              <w:t>楚才排位成绩</w:t>
            </w:r>
            <w:r>
              <w:rPr>
                <w:rFonts w:ascii="Times New Roman" w:eastAsia="Times New Roman"/>
                <w:spacing w:val="-15"/>
                <w:sz w:val="24"/>
              </w:rPr>
              <w:t>Q</w:t>
            </w:r>
            <w:r>
              <w:rPr>
                <w:spacing w:val="-9"/>
                <w:sz w:val="24"/>
              </w:rPr>
              <w:t>：将加权平均成绩在楚才学院排名，按照等差分布，第一名</w:t>
            </w:r>
            <w:r>
              <w:rPr>
                <w:rFonts w:ascii="Times New Roman" w:eastAsia="Times New Roman"/>
                <w:sz w:val="24"/>
              </w:rPr>
              <w:t>100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spacing w:before="1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分，极差为</w:t>
            </w:r>
            <w:r>
              <w:rPr>
                <w:rFonts w:ascii="Times New Roman" w:eastAsia="Times New Roman"/>
                <w:sz w:val="24"/>
              </w:rPr>
              <w:t>1</w:t>
            </w:r>
            <w:r>
              <w:rPr>
                <w:sz w:val="24"/>
              </w:rPr>
              <w:t>，即</w:t>
            </w:r>
            <w:r>
              <w:rPr>
                <w:rFonts w:ascii="Times New Roman" w:eastAsia="Times New Roman"/>
                <w:sz w:val="24"/>
              </w:rPr>
              <w:t>Q=101</w:t>
            </w:r>
            <w:r>
              <w:rPr>
                <w:sz w:val="24"/>
              </w:rPr>
              <w:t>－</w:t>
            </w:r>
            <w:r>
              <w:rPr>
                <w:rFonts w:ascii="Times New Roman" w:eastAsia="Times New Roman"/>
                <w:sz w:val="24"/>
              </w:rPr>
              <w:t>M</w:t>
            </w:r>
            <w:r>
              <w:rPr>
                <w:sz w:val="24"/>
              </w:rPr>
              <w:t>（</w:t>
            </w:r>
            <w:r>
              <w:rPr>
                <w:rFonts w:ascii="Times New Roman" w:eastAsia="Times New Roman"/>
                <w:sz w:val="24"/>
              </w:rPr>
              <w:t>M</w:t>
            </w:r>
            <w:r>
              <w:rPr>
                <w:sz w:val="24"/>
              </w:rPr>
              <w:t>：楚才加权平均分排名）；</w:t>
            </w:r>
          </w:p>
          <w:p>
            <w:pPr>
              <w:pStyle w:val="13"/>
              <w:spacing w:before="10"/>
              <w:jc w:val="both"/>
              <w:rPr>
                <w:sz w:val="19"/>
              </w:rPr>
            </w:pPr>
          </w:p>
          <w:p>
            <w:pPr>
              <w:pStyle w:val="13"/>
              <w:numPr>
                <w:ilvl w:val="0"/>
                <w:numId w:val="2"/>
              </w:numPr>
              <w:tabs>
                <w:tab w:val="left" w:pos="889"/>
              </w:tabs>
              <w:spacing w:before="0" w:after="0" w:line="436" w:lineRule="auto"/>
              <w:ind w:left="108" w:right="4" w:firstLine="480"/>
              <w:jc w:val="both"/>
              <w:rPr>
                <w:sz w:val="24"/>
              </w:rPr>
            </w:pPr>
            <w:r>
              <w:rPr>
                <w:spacing w:val="-9"/>
                <w:sz w:val="24"/>
              </w:rPr>
              <w:t>专业排位成绩</w:t>
            </w:r>
            <w:r>
              <w:rPr>
                <w:rFonts w:ascii="Times New Roman" w:hAnsi="Times New Roman" w:eastAsia="Times New Roman"/>
                <w:sz w:val="24"/>
              </w:rPr>
              <w:t>P</w:t>
            </w:r>
            <w:r>
              <w:rPr>
                <w:spacing w:val="-5"/>
                <w:sz w:val="24"/>
              </w:rPr>
              <w:t>：将专业排名和总人数计入，即</w:t>
            </w:r>
            <w:r>
              <w:rPr>
                <w:rFonts w:ascii="Times New Roman" w:hAnsi="Times New Roman" w:eastAsia="Times New Roman"/>
                <w:sz w:val="24"/>
              </w:rPr>
              <w:t>P</w:t>
            </w:r>
            <w:r>
              <w:rPr>
                <w:rFonts w:ascii="Times New Roman" w:hAnsi="Times New Roman" w:eastAsia="Times New Roman"/>
                <w:spacing w:val="-5"/>
                <w:sz w:val="24"/>
              </w:rPr>
              <w:t>=</w:t>
            </w:r>
            <w:r>
              <w:rPr>
                <w:sz w:val="24"/>
              </w:rPr>
              <w:t>（</w:t>
            </w:r>
            <w:r>
              <w:rPr>
                <w:rFonts w:ascii="Times New Roman" w:hAnsi="Times New Roman" w:eastAsia="Times New Roman"/>
                <w:sz w:val="24"/>
              </w:rPr>
              <w:t>R</w:t>
            </w:r>
            <w:r>
              <w:rPr>
                <w:sz w:val="24"/>
              </w:rPr>
              <w:t>＋</w:t>
            </w:r>
            <w:r>
              <w:rPr>
                <w:rFonts w:ascii="Times New Roman" w:hAnsi="Times New Roman" w:eastAsia="Times New Roman"/>
                <w:sz w:val="24"/>
              </w:rPr>
              <w:t>1</w:t>
            </w:r>
            <w:r>
              <w:rPr>
                <w:sz w:val="24"/>
              </w:rPr>
              <w:t>－</w:t>
            </w:r>
            <w:r>
              <w:rPr>
                <w:rFonts w:ascii="Times New Roman" w:hAnsi="Times New Roman" w:eastAsia="Times New Roman"/>
                <w:sz w:val="24"/>
              </w:rPr>
              <w:t>N</w:t>
            </w:r>
            <w:r>
              <w:rPr>
                <w:sz w:val="24"/>
              </w:rPr>
              <w:t>）</w:t>
            </w:r>
            <w:r>
              <w:rPr>
                <w:rFonts w:ascii="Arial" w:hAnsi="Arial" w:eastAsia="Arial"/>
                <w:sz w:val="24"/>
              </w:rPr>
              <w:t>×</w:t>
            </w:r>
            <w:r>
              <w:rPr>
                <w:rFonts w:ascii="Times New Roman" w:hAnsi="Times New Roman" w:eastAsia="Times New Roman"/>
                <w:sz w:val="24"/>
              </w:rPr>
              <w:t>100/</w:t>
            </w:r>
            <w:r>
              <w:rPr>
                <w:rFonts w:ascii="Times New Roman" w:hAnsi="Times New Roman" w:eastAsia="Times New Roman"/>
                <w:spacing w:val="-3"/>
                <w:sz w:val="24"/>
              </w:rPr>
              <w:t>R</w:t>
            </w:r>
            <w:r>
              <w:rPr>
                <w:spacing w:val="-3"/>
                <w:sz w:val="24"/>
              </w:rPr>
              <w:t>（</w:t>
            </w:r>
            <w:r>
              <w:rPr>
                <w:rFonts w:ascii="Times New Roman" w:hAnsi="Times New Roman" w:eastAsia="Times New Roman"/>
                <w:spacing w:val="-3"/>
                <w:sz w:val="24"/>
              </w:rPr>
              <w:t>R</w:t>
            </w:r>
            <w:r>
              <w:rPr>
                <w:spacing w:val="-3"/>
                <w:sz w:val="24"/>
              </w:rPr>
              <w:t>：</w:t>
            </w:r>
            <w:r>
              <w:rPr>
                <w:sz w:val="24"/>
              </w:rPr>
              <w:t>专业总人数，</w:t>
            </w:r>
            <w:r>
              <w:rPr>
                <w:rFonts w:ascii="Times New Roman" w:hAnsi="Times New Roman" w:eastAsia="Times New Roman"/>
                <w:sz w:val="24"/>
              </w:rPr>
              <w:t>N</w:t>
            </w:r>
            <w:r>
              <w:rPr>
                <w:sz w:val="24"/>
              </w:rPr>
              <w:t>：专业排名）；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88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37" w:lineRule="auto"/>
              <w:ind w:left="108" w:right="170" w:firstLine="482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加权平均成绩的计算方法：加权平均成绩只计算必修、专业选修课程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含楚才计划荣誉课程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sz w:val="24"/>
              </w:rPr>
              <w:t>平均成绩，其计算方法为：加权平均成绩</w:t>
            </w:r>
            <w:r>
              <w:rPr>
                <w:rFonts w:ascii="Times New Roman" w:hAnsi="Times New Roman" w:eastAsia="Times New Roman"/>
                <w:sz w:val="24"/>
              </w:rPr>
              <w:t>=</w:t>
            </w:r>
            <w:r>
              <w:rPr>
                <w:sz w:val="24"/>
              </w:rPr>
              <w:t>∑（某门课程成绩×课程学分）／∑课程学分</w:t>
            </w:r>
          </w:p>
        </w:tc>
      </w:tr>
    </w:tbl>
    <w:p>
      <w:pPr>
        <w:spacing w:after="0" w:line="560" w:lineRule="atLeast"/>
        <w:jc w:val="both"/>
        <w:rPr>
          <w:sz w:val="24"/>
        </w:rPr>
        <w:sectPr>
          <w:footerReference r:id="rId5" w:type="default"/>
          <w:type w:val="continuous"/>
          <w:pgSz w:w="11910" w:h="16840"/>
          <w:pgMar w:top="1400" w:right="400" w:bottom="1300" w:left="400" w:header="720" w:footer="1120" w:gutter="0"/>
          <w:pgNumType w:start="1"/>
          <w:cols w:space="720" w:num="1"/>
        </w:sectPr>
      </w:pPr>
    </w:p>
    <w:tbl>
      <w:tblPr>
        <w:tblStyle w:val="8"/>
        <w:tblW w:w="0" w:type="auto"/>
        <w:tblInd w:w="6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92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4" w:hRule="atLeast"/>
        </w:trPr>
        <w:tc>
          <w:tcPr>
            <w:tcW w:w="655" w:type="dxa"/>
          </w:tcPr>
          <w:p>
            <w:pPr>
              <w:pStyle w:val="13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9245" w:type="dxa"/>
          </w:tcPr>
          <w:p>
            <w:pPr>
              <w:pStyle w:val="13"/>
              <w:spacing w:before="2"/>
              <w:jc w:val="both"/>
              <w:rPr>
                <w:sz w:val="28"/>
              </w:rPr>
            </w:pPr>
          </w:p>
          <w:p>
            <w:pPr>
              <w:pStyle w:val="13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二、素质成绩评议</w:t>
            </w:r>
            <w:r>
              <w:rPr>
                <w:rFonts w:hint="eastAsia"/>
                <w:b/>
                <w:sz w:val="24"/>
                <w:lang w:val="en-US" w:eastAsia="zh-CN"/>
              </w:rPr>
              <w:t>规</w:t>
            </w:r>
            <w:r>
              <w:rPr>
                <w:b/>
                <w:sz w:val="24"/>
              </w:rPr>
              <w:t>则</w:t>
            </w:r>
          </w:p>
          <w:p>
            <w:pPr>
              <w:pStyle w:val="13"/>
              <w:jc w:val="both"/>
              <w:rPr>
                <w:sz w:val="32"/>
              </w:rPr>
            </w:pPr>
          </w:p>
          <w:p>
            <w:pPr>
              <w:pStyle w:val="13"/>
              <w:ind w:left="588" w:right="-29"/>
              <w:jc w:val="both"/>
              <w:rPr>
                <w:sz w:val="24"/>
              </w:rPr>
            </w:pPr>
            <w:r>
              <w:rPr>
                <w:sz w:val="24"/>
              </w:rPr>
              <w:t>（一</w:t>
            </w:r>
            <w:r>
              <w:rPr>
                <w:spacing w:val="-72"/>
                <w:sz w:val="24"/>
              </w:rPr>
              <w:t>）</w:t>
            </w:r>
            <w:r>
              <w:rPr>
                <w:spacing w:val="-9"/>
                <w:sz w:val="24"/>
              </w:rPr>
              <w:t>素质成绩认定范围包括科研创新、综合荣誉和社会服务三部分，具体内容为：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numPr>
                <w:ilvl w:val="0"/>
                <w:numId w:val="3"/>
              </w:numPr>
              <w:tabs>
                <w:tab w:val="left" w:pos="889"/>
              </w:tabs>
              <w:spacing w:before="1" w:after="0" w:line="240" w:lineRule="auto"/>
              <w:ind w:left="888" w:right="0" w:hanging="301"/>
              <w:jc w:val="both"/>
              <w:rPr>
                <w:sz w:val="24"/>
              </w:rPr>
            </w:pPr>
            <w:r>
              <w:rPr>
                <w:sz w:val="24"/>
              </w:rPr>
              <w:t>科研创新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37" w:lineRule="auto"/>
              <w:ind w:left="108" w:right="170" w:firstLine="482"/>
              <w:jc w:val="both"/>
              <w:textAlignment w:val="auto"/>
              <w:rPr>
                <w:sz w:val="24"/>
              </w:rPr>
            </w:pPr>
            <w:r>
              <w:rPr>
                <w:spacing w:val="-8"/>
                <w:sz w:val="24"/>
              </w:rPr>
              <w:t>主要</w:t>
            </w:r>
            <w:r>
              <w:rPr>
                <w:rFonts w:hint="eastAsia"/>
                <w:spacing w:val="-8"/>
                <w:sz w:val="24"/>
                <w:lang w:val="en-US" w:eastAsia="zh-CN"/>
              </w:rPr>
              <w:t>包括</w:t>
            </w:r>
            <w:r>
              <w:rPr>
                <w:spacing w:val="-8"/>
                <w:sz w:val="24"/>
              </w:rPr>
              <w:t>学术论文、专利及软著、科创项目和竞赛获奖四部分。学术论文主要指发</w:t>
            </w:r>
            <w:r>
              <w:rPr>
                <w:spacing w:val="-7"/>
                <w:sz w:val="24"/>
              </w:rPr>
              <w:t>表在学术期刊上的论文；专利及软著包括发明专利、实用新型专利及软件著作</w:t>
            </w:r>
            <w:r>
              <w:rPr>
                <w:spacing w:val="-10"/>
                <w:sz w:val="24"/>
              </w:rPr>
              <w:t>权等；科创项目包括主持或参与</w:t>
            </w:r>
            <w:r>
              <w:rPr>
                <w:rFonts w:hint="eastAsia"/>
                <w:spacing w:val="-10"/>
                <w:sz w:val="24"/>
                <w:lang w:eastAsia="zh-CN"/>
              </w:rPr>
              <w:t>的</w:t>
            </w:r>
            <w:r>
              <w:rPr>
                <w:spacing w:val="-10"/>
                <w:sz w:val="24"/>
              </w:rPr>
              <w:t>大学生创新创业项目、其他科研项目等；竞赛获奖</w:t>
            </w:r>
            <w:r>
              <w:rPr>
                <w:rFonts w:hint="eastAsia"/>
                <w:spacing w:val="-10"/>
                <w:sz w:val="24"/>
                <w:lang w:val="en-US" w:eastAsia="zh-CN"/>
              </w:rPr>
              <w:t>指</w:t>
            </w:r>
            <w:r>
              <w:rPr>
                <w:spacing w:val="-7"/>
                <w:sz w:val="24"/>
              </w:rPr>
              <w:t>湖北大学认定的</w:t>
            </w:r>
            <w:r>
              <w:rPr>
                <w:rFonts w:ascii="Times New Roman" w:eastAsia="Times New Roman"/>
                <w:sz w:val="24"/>
              </w:rPr>
              <w:t>A</w:t>
            </w:r>
            <w:r>
              <w:rPr>
                <w:spacing w:val="-20"/>
                <w:sz w:val="24"/>
              </w:rPr>
              <w:t>类和</w:t>
            </w:r>
            <w:r>
              <w:rPr>
                <w:rFonts w:ascii="Times New Roman" w:eastAsia="Times New Roman"/>
                <w:sz w:val="24"/>
              </w:rPr>
              <w:t>B</w:t>
            </w:r>
            <w:r>
              <w:rPr>
                <w:spacing w:val="-6"/>
                <w:sz w:val="24"/>
              </w:rPr>
              <w:t>类竞赛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奖励</w:t>
            </w:r>
            <w:r>
              <w:rPr>
                <w:spacing w:val="-6"/>
                <w:sz w:val="24"/>
              </w:rPr>
              <w:t>。上限为</w:t>
            </w:r>
            <w:r>
              <w:rPr>
                <w:rFonts w:ascii="Times New Roman" w:eastAsia="Times New Roman"/>
                <w:sz w:val="24"/>
              </w:rPr>
              <w:t>70</w:t>
            </w:r>
            <w:r>
              <w:rPr>
                <w:sz w:val="24"/>
              </w:rPr>
              <w:t>分。</w:t>
            </w:r>
          </w:p>
          <w:p>
            <w:pPr>
              <w:pStyle w:val="13"/>
              <w:numPr>
                <w:ilvl w:val="0"/>
                <w:numId w:val="3"/>
              </w:numPr>
              <w:tabs>
                <w:tab w:val="left" w:pos="889"/>
              </w:tabs>
              <w:spacing w:before="3" w:after="0" w:line="240" w:lineRule="auto"/>
              <w:ind w:left="888" w:right="0" w:hanging="301"/>
              <w:jc w:val="both"/>
              <w:rPr>
                <w:sz w:val="24"/>
              </w:rPr>
            </w:pPr>
            <w:r>
              <w:rPr>
                <w:sz w:val="24"/>
              </w:rPr>
              <w:t>综合荣誉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ind w:left="588"/>
              <w:jc w:val="both"/>
              <w:rPr>
                <w:sz w:val="24"/>
              </w:rPr>
            </w:pPr>
            <w:r>
              <w:rPr>
                <w:sz w:val="24"/>
              </w:rPr>
              <w:t>主要指学生所获综合类团队荣誉和个人荣誉。上限为</w:t>
            </w:r>
            <w:r>
              <w:rPr>
                <w:rFonts w:ascii="Times New Roman" w:eastAsia="Times New Roman"/>
                <w:sz w:val="24"/>
              </w:rPr>
              <w:t>15</w:t>
            </w:r>
            <w:r>
              <w:rPr>
                <w:sz w:val="24"/>
              </w:rPr>
              <w:t>分。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numPr>
                <w:ilvl w:val="0"/>
                <w:numId w:val="3"/>
              </w:numPr>
              <w:tabs>
                <w:tab w:val="left" w:pos="889"/>
              </w:tabs>
              <w:spacing w:before="0" w:after="0" w:line="240" w:lineRule="auto"/>
              <w:ind w:left="888" w:right="0" w:hanging="301"/>
              <w:jc w:val="both"/>
              <w:rPr>
                <w:sz w:val="24"/>
              </w:rPr>
            </w:pPr>
            <w:r>
              <w:rPr>
                <w:sz w:val="24"/>
              </w:rPr>
              <w:t>社会服务</w:t>
            </w:r>
          </w:p>
          <w:p>
            <w:pPr>
              <w:pStyle w:val="13"/>
              <w:spacing w:before="11"/>
              <w:jc w:val="both"/>
              <w:rPr>
                <w:sz w:val="19"/>
              </w:rPr>
            </w:pPr>
          </w:p>
          <w:p>
            <w:pPr>
              <w:pStyle w:val="13"/>
              <w:ind w:left="588" w:right="-29"/>
              <w:jc w:val="both"/>
              <w:rPr>
                <w:sz w:val="24"/>
              </w:rPr>
            </w:pPr>
            <w:r>
              <w:rPr>
                <w:spacing w:val="-9"/>
                <w:sz w:val="24"/>
              </w:rPr>
              <w:t>主要包括参军入伍、国际组织实习、参加志愿服务和担任学生干部等。上限</w:t>
            </w:r>
            <w:r>
              <w:rPr>
                <w:rFonts w:hint="eastAsia"/>
                <w:spacing w:val="-9"/>
                <w:sz w:val="24"/>
                <w:lang w:val="en-US" w:eastAsia="zh-CN"/>
              </w:rPr>
              <w:t>为</w:t>
            </w:r>
            <w:r>
              <w:rPr>
                <w:rFonts w:ascii="Times New Roman" w:eastAsia="Times New Roman"/>
                <w:sz w:val="24"/>
              </w:rPr>
              <w:t>15</w:t>
            </w:r>
            <w:r>
              <w:rPr>
                <w:spacing w:val="-6"/>
                <w:sz w:val="24"/>
              </w:rPr>
              <w:t>分。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8"/>
              <w:ind w:right="170"/>
              <w:jc w:val="both"/>
              <w:textAlignment w:val="auto"/>
              <w:rPr>
                <w:sz w:val="19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36" w:lineRule="auto"/>
              <w:ind w:left="108" w:right="170" w:firstLine="480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（二</w:t>
            </w:r>
            <w:r>
              <w:rPr>
                <w:spacing w:val="-20"/>
                <w:sz w:val="24"/>
              </w:rPr>
              <w:t>）</w:t>
            </w:r>
            <w:r>
              <w:rPr>
                <w:spacing w:val="-9"/>
                <w:sz w:val="24"/>
              </w:rPr>
              <w:t>学术论文、专利及软著、科创项目、竞赛获奖和综合荣誉等类别，</w:t>
            </w:r>
            <w:r>
              <w:rPr>
                <w:rFonts w:hint="eastAsia"/>
                <w:spacing w:val="-9"/>
                <w:sz w:val="24"/>
                <w:lang w:val="en-US" w:eastAsia="zh-CN"/>
              </w:rPr>
              <w:t>每类限</w:t>
            </w:r>
            <w:r>
              <w:rPr>
                <w:sz w:val="24"/>
              </w:rPr>
              <w:t>报两项。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" w:line="436" w:lineRule="auto"/>
              <w:ind w:left="108" w:right="170" w:firstLine="480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（三）</w:t>
            </w:r>
            <w:r>
              <w:rPr>
                <w:spacing w:val="-4"/>
                <w:sz w:val="24"/>
              </w:rPr>
              <w:t>具体详见附件《楚才学院推荐</w:t>
            </w:r>
            <w:r>
              <w:rPr>
                <w:rFonts w:ascii="Times New Roman" w:eastAsia="Times New Roman"/>
                <w:sz w:val="24"/>
              </w:rPr>
              <w:t>202</w:t>
            </w:r>
            <w:r>
              <w:rPr>
                <w:rFonts w:hint="eastAsia" w:ascii="Times New Roman"/>
                <w:sz w:val="24"/>
                <w:lang w:val="en-US" w:eastAsia="zh-CN"/>
              </w:rPr>
              <w:t>5</w:t>
            </w:r>
            <w:r>
              <w:rPr>
                <w:sz w:val="24"/>
              </w:rPr>
              <w:t>届优秀本科毕业生免试攻读研究生素质</w:t>
            </w:r>
            <w:r>
              <w:rPr>
                <w:spacing w:val="-15"/>
                <w:sz w:val="24"/>
              </w:rPr>
              <w:t>成绩计算一览表》；表中所列条款未提及的项目，由学院推免生遴选工作小组另行认定。</w:t>
            </w:r>
          </w:p>
          <w:p>
            <w:pPr>
              <w:pStyle w:val="13"/>
              <w:spacing w:before="155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三、排名方式及依据</w:t>
            </w:r>
          </w:p>
          <w:p>
            <w:pPr>
              <w:pStyle w:val="13"/>
              <w:jc w:val="both"/>
              <w:rPr>
                <w:sz w:val="32"/>
              </w:rPr>
            </w:pPr>
          </w:p>
          <w:p>
            <w:pPr>
              <w:pStyle w:val="13"/>
              <w:ind w:left="588"/>
              <w:jc w:val="both"/>
              <w:rPr>
                <w:rFonts w:ascii="Times New Roman" w:hAnsi="Times New Roman" w:eastAsia="Times New Roman"/>
                <w:sz w:val="24"/>
              </w:rPr>
            </w:pPr>
            <w:r>
              <w:rPr>
                <w:sz w:val="24"/>
              </w:rPr>
              <w:t>按综合成绩排名。计算方式：综合成绩</w:t>
            </w:r>
            <w:r>
              <w:rPr>
                <w:rFonts w:ascii="Times New Roman" w:hAnsi="Times New Roman" w:eastAsia="Times New Roman"/>
                <w:sz w:val="24"/>
              </w:rPr>
              <w:t>=</w:t>
            </w:r>
            <w:r>
              <w:rPr>
                <w:sz w:val="24"/>
              </w:rPr>
              <w:t>学业成绩</w:t>
            </w:r>
            <w:r>
              <w:rPr>
                <w:rFonts w:ascii="Arial" w:hAnsi="Arial" w:eastAsia="Arial"/>
                <w:sz w:val="24"/>
              </w:rPr>
              <w:t>×</w:t>
            </w:r>
            <w:r>
              <w:rPr>
                <w:rFonts w:ascii="Times New Roman" w:hAnsi="Times New Roman" w:eastAsia="Times New Roman"/>
                <w:sz w:val="24"/>
              </w:rPr>
              <w:t>70%+</w:t>
            </w:r>
            <w:r>
              <w:rPr>
                <w:sz w:val="24"/>
              </w:rPr>
              <w:t>素质成绩</w:t>
            </w:r>
            <w:r>
              <w:rPr>
                <w:rFonts w:ascii="Arial" w:hAnsi="Arial" w:eastAsia="Arial"/>
                <w:sz w:val="24"/>
              </w:rPr>
              <w:t>×</w:t>
            </w:r>
            <w:r>
              <w:rPr>
                <w:rFonts w:ascii="Times New Roman" w:hAnsi="Times New Roman" w:eastAsia="Times New Roman"/>
                <w:sz w:val="24"/>
              </w:rPr>
              <w:t>30%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0" w:hRule="atLeast"/>
        </w:trPr>
        <w:tc>
          <w:tcPr>
            <w:tcW w:w="655" w:type="dxa"/>
          </w:tcPr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jc w:val="both"/>
              <w:rPr>
                <w:sz w:val="24"/>
              </w:rPr>
            </w:pPr>
          </w:p>
          <w:p>
            <w:pPr>
              <w:pStyle w:val="13"/>
              <w:spacing w:before="4"/>
              <w:jc w:val="both"/>
              <w:rPr>
                <w:sz w:val="20"/>
              </w:rPr>
            </w:pPr>
          </w:p>
          <w:p>
            <w:pPr>
              <w:pStyle w:val="13"/>
              <w:spacing w:before="1" w:line="280" w:lineRule="auto"/>
              <w:ind w:left="206" w:right="196"/>
              <w:jc w:val="both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9245" w:type="dxa"/>
          </w:tcPr>
          <w:p>
            <w:pPr>
              <w:pStyle w:val="13"/>
              <w:numPr>
                <w:ilvl w:val="0"/>
                <w:numId w:val="0"/>
              </w:numPr>
              <w:tabs>
                <w:tab w:val="left" w:pos="889"/>
              </w:tabs>
              <w:spacing w:before="207" w:after="0" w:line="240" w:lineRule="auto"/>
              <w:ind w:right="0" w:rightChars="0" w:firstLine="464" w:firstLineChars="200"/>
              <w:jc w:val="both"/>
              <w:rPr>
                <w:rFonts w:ascii="Times New Roman" w:eastAsia="Times New Roman"/>
                <w:sz w:val="24"/>
              </w:rPr>
            </w:pPr>
            <w:r>
              <w:rPr>
                <w:rFonts w:hint="eastAsia"/>
                <w:spacing w:val="-4"/>
                <w:sz w:val="24"/>
                <w:lang w:val="en-US" w:eastAsia="zh-CN"/>
              </w:rPr>
              <w:t>1.</w:t>
            </w:r>
            <w:r>
              <w:rPr>
                <w:spacing w:val="-4"/>
                <w:sz w:val="24"/>
              </w:rPr>
              <w:t>所有推免材料和核准项目截止时间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>为</w:t>
            </w:r>
            <w:r>
              <w:rPr>
                <w:rFonts w:hint="eastAsia"/>
                <w:spacing w:val="-4"/>
                <w:sz w:val="24"/>
              </w:rPr>
              <w:t>2024年9月10日</w:t>
            </w:r>
            <w:r>
              <w:rPr>
                <w:sz w:val="24"/>
              </w:rPr>
              <w:t>。</w:t>
            </w:r>
          </w:p>
          <w:p>
            <w:pPr>
              <w:pStyle w:val="13"/>
              <w:spacing w:before="8"/>
              <w:jc w:val="both"/>
              <w:rPr>
                <w:sz w:val="19"/>
              </w:rPr>
            </w:pPr>
          </w:p>
          <w:p>
            <w:pPr>
              <w:pStyle w:val="13"/>
              <w:numPr>
                <w:ilvl w:val="0"/>
                <w:numId w:val="0"/>
              </w:numPr>
              <w:tabs>
                <w:tab w:val="left" w:pos="889"/>
              </w:tabs>
              <w:spacing w:before="0" w:after="0" w:line="240" w:lineRule="auto"/>
              <w:ind w:right="0" w:rightChars="0" w:firstLine="480" w:firstLineChars="200"/>
              <w:jc w:val="both"/>
              <w:rPr>
                <w:rFonts w:ascii="Times New Roman" w:eastAsia="Times New Roman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2.</w:t>
            </w:r>
            <w:r>
              <w:rPr>
                <w:sz w:val="24"/>
              </w:rPr>
              <w:t>已获得重点高校</w:t>
            </w:r>
            <w:r>
              <w:rPr>
                <w:rFonts w:hint="eastAsia"/>
                <w:sz w:val="24"/>
                <w:lang w:eastAsia="zh-CN"/>
              </w:rPr>
              <w:t>“</w:t>
            </w:r>
            <w:r>
              <w:rPr>
                <w:sz w:val="24"/>
              </w:rPr>
              <w:t>夏令营优秀营员</w:t>
            </w:r>
            <w:r>
              <w:rPr>
                <w:rFonts w:hint="eastAsia"/>
                <w:sz w:val="24"/>
                <w:lang w:eastAsia="zh-CN"/>
              </w:rPr>
              <w:t>”</w:t>
            </w:r>
            <w:r>
              <w:rPr>
                <w:rFonts w:hint="eastAsia"/>
                <w:sz w:val="24"/>
                <w:lang w:val="en-US" w:eastAsia="zh-CN"/>
              </w:rPr>
              <w:t>或优先录取资格</w:t>
            </w:r>
            <w:r>
              <w:rPr>
                <w:sz w:val="24"/>
              </w:rPr>
              <w:t>的</w:t>
            </w:r>
            <w:r>
              <w:rPr>
                <w:rFonts w:hint="eastAsia"/>
                <w:sz w:val="24"/>
                <w:lang w:val="en-US" w:eastAsia="zh-CN"/>
              </w:rPr>
              <w:t>同学</w:t>
            </w:r>
            <w:r>
              <w:rPr>
                <w:sz w:val="24"/>
              </w:rPr>
              <w:t>优先推荐。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3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30" w:after="0" w:line="425" w:lineRule="auto"/>
              <w:ind w:right="170" w:rightChars="0" w:firstLine="480" w:firstLineChars="200"/>
              <w:jc w:val="both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3.</w:t>
            </w:r>
            <w:r>
              <w:rPr>
                <w:sz w:val="24"/>
              </w:rPr>
              <w:t>对在推免过程中弄虚作假，有论文（文章）</w:t>
            </w:r>
            <w:r>
              <w:rPr>
                <w:spacing w:val="-1"/>
                <w:sz w:val="24"/>
              </w:rPr>
              <w:t>抄袭、虚报获奖或科研成果等学术</w:t>
            </w:r>
            <w:r>
              <w:rPr>
                <w:spacing w:val="-10"/>
                <w:sz w:val="24"/>
              </w:rPr>
              <w:t>不端行为的学生，一经查实，取消推免生资格，并报省级教育招生考试机构按规定记入</w:t>
            </w:r>
            <w:r>
              <w:rPr>
                <w:spacing w:val="-2"/>
                <w:sz w:val="24"/>
              </w:rPr>
              <w:t>《国家教育考试考生诚信档案》，视情节暂停参加全国硕士研究生招生考试</w:t>
            </w:r>
            <w:r>
              <w:rPr>
                <w:rFonts w:ascii="Times New Roman" w:eastAsia="Times New Roman"/>
                <w:sz w:val="24"/>
              </w:rPr>
              <w:t>1</w:t>
            </w:r>
            <w:r>
              <w:rPr>
                <w:spacing w:val="-30"/>
                <w:sz w:val="24"/>
              </w:rPr>
              <w:t>至</w:t>
            </w:r>
            <w:r>
              <w:rPr>
                <w:rFonts w:ascii="Times New Roman" w:eastAsia="Times New Roman"/>
                <w:sz w:val="24"/>
              </w:rPr>
              <w:t>3</w:t>
            </w:r>
            <w:r>
              <w:rPr>
                <w:spacing w:val="-8"/>
                <w:sz w:val="24"/>
              </w:rPr>
              <w:t>年，</w:t>
            </w:r>
            <w:r>
              <w:rPr>
                <w:sz w:val="24"/>
              </w:rPr>
              <w:t>并按学生管理规定严肃处理。</w:t>
            </w:r>
          </w:p>
        </w:tc>
      </w:tr>
    </w:tbl>
    <w:p>
      <w:pPr>
        <w:spacing w:after="0" w:line="436" w:lineRule="auto"/>
        <w:rPr>
          <w:sz w:val="24"/>
        </w:rPr>
        <w:sectPr>
          <w:pgSz w:w="11910" w:h="16840"/>
          <w:pgMar w:top="920" w:right="400" w:bottom="1300" w:left="400" w:header="0" w:footer="1120" w:gutter="0"/>
          <w:cols w:space="720" w:num="1"/>
        </w:sectPr>
      </w:pPr>
    </w:p>
    <w:p>
      <w:pPr>
        <w:jc w:val="center"/>
        <w:rPr>
          <w:b/>
          <w:bCs/>
          <w:i w:val="0"/>
          <w:iCs w:val="0"/>
          <w:color w:val="auto"/>
          <w:kern w:val="0"/>
          <w:sz w:val="36"/>
          <w:szCs w:val="36"/>
          <w:u w:val="none"/>
        </w:rPr>
      </w:pPr>
      <w:r>
        <w:rPr>
          <w:rFonts w:hint="eastAsia"/>
          <w:b/>
          <w:bCs/>
          <w:i w:val="0"/>
          <w:iCs w:val="0"/>
          <w:color w:val="auto"/>
          <w:kern w:val="0"/>
          <w:sz w:val="36"/>
          <w:szCs w:val="36"/>
          <w:u w:val="none"/>
        </w:rPr>
        <w:t>楚才学院推荐</w:t>
      </w:r>
      <w:r>
        <w:rPr>
          <w:b/>
          <w:bCs/>
          <w:i w:val="0"/>
          <w:iCs w:val="0"/>
          <w:color w:val="auto"/>
          <w:kern w:val="0"/>
          <w:sz w:val="36"/>
          <w:szCs w:val="36"/>
          <w:u w:val="none"/>
        </w:rPr>
        <w:t>202</w:t>
      </w:r>
      <w:r>
        <w:rPr>
          <w:rFonts w:hint="eastAsia"/>
          <w:b/>
          <w:bCs/>
          <w:i w:val="0"/>
          <w:iCs w:val="0"/>
          <w:color w:val="auto"/>
          <w:kern w:val="0"/>
          <w:sz w:val="36"/>
          <w:szCs w:val="36"/>
          <w:u w:val="none"/>
          <w:lang w:val="en-US" w:eastAsia="zh-CN"/>
        </w:rPr>
        <w:t>5</w:t>
      </w:r>
      <w:r>
        <w:rPr>
          <w:rFonts w:hint="eastAsia"/>
          <w:b/>
          <w:bCs/>
          <w:i w:val="0"/>
          <w:iCs w:val="0"/>
          <w:color w:val="auto"/>
          <w:kern w:val="0"/>
          <w:sz w:val="36"/>
          <w:szCs w:val="36"/>
          <w:u w:val="none"/>
        </w:rPr>
        <w:t>届优秀本科毕业生免试攻读研究生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eastAsia="宋体"/>
          <w:b/>
          <w:bCs/>
          <w:i w:val="0"/>
          <w:iCs w:val="0"/>
          <w:color w:val="auto"/>
          <w:kern w:val="0"/>
          <w:sz w:val="36"/>
          <w:szCs w:val="36"/>
          <w:u w:val="none"/>
          <w:lang w:eastAsia="zh-CN"/>
        </w:rPr>
      </w:pPr>
      <w:r>
        <w:rPr>
          <w:rFonts w:hint="eastAsia"/>
          <w:b/>
          <w:bCs/>
          <w:i w:val="0"/>
          <w:iCs w:val="0"/>
          <w:color w:val="auto"/>
          <w:kern w:val="0"/>
          <w:sz w:val="36"/>
          <w:szCs w:val="36"/>
          <w:u w:val="none"/>
        </w:rPr>
        <w:t>素质成绩计算一览表</w:t>
      </w:r>
    </w:p>
    <w:tbl>
      <w:tblPr>
        <w:tblStyle w:val="8"/>
        <w:tblW w:w="10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798"/>
        <w:gridCol w:w="1223"/>
        <w:gridCol w:w="818"/>
        <w:gridCol w:w="1280"/>
        <w:gridCol w:w="1941"/>
        <w:gridCol w:w="3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C00000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一、科研创新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满分70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一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学术论文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vertAlign w:val="superscript"/>
              </w:rPr>
              <w:footnoteReference w:id="0"/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上限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343" w:leftChars="-156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计分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自然科学类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一类高水平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合著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取前四名（不含导师）；计分比例：两人为7：3；三人为7：2：1；四人为7：1：1：1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提交期刊原件；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SCI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SSCI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期刊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论文提交检索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报告原件</w:t>
            </w: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第一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署名单位须为湖北大学；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知网或万方收录；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不含增刊、论文集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会议收录论文参照学校相关文件执行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二类高水平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三类高水平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四类高水平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一般学术期刊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4分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人文社会科学类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一类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重要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二类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重要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三类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重要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12分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6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一般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学术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期刊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5分</w:t>
            </w: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（二）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专利及软著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上限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计分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国际发明专利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8分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证书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原件或相关证明</w:t>
            </w: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每类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限报1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且为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排名第一（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老师排名第一，学生排名第二，则计分减半）；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若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湖北大学为唯一著作权人，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须由指导老师提供证明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已公开但未授权的国际发明专利和国家发明专利，分别计3分和2分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国家发明专利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实用新型专利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外观设计专利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软件著作权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科创项目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上限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343" w:leftChars="-156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计分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4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大学生创新创业训练计划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项目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国家级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提交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结项证书原件或证明</w:t>
            </w: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须为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项目组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初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始成员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通过中期检查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但未结项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分减半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仅立项，计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再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减半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团队项目，排名第一的学生计分占50%，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其余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50%由其他学生均分；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重点项目计分上浮20%，结项优秀项目计分上浮10%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省级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2" w:firstLineChars="200"/>
              <w:jc w:val="both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校级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2" w:firstLineChars="200"/>
              <w:jc w:val="both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4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科研项目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国家级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省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厅局级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校级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院级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竞赛获奖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vertAlign w:val="superscript"/>
              </w:rPr>
              <w:footnoteReference w:id="1"/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上限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计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4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A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类竞赛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国家级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特等奖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获奖证书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原件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/>
              </w:rPr>
            </w:pP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四类竞赛对应的省赛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=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现有分值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6（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B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2省赛除外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一项目参赛或同一类型赛事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获不同等级奖项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取最高等级计分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排名第一的学生计分占50%，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其余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50%由其他学生均分（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国创赛、原“互联网+”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和“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挑战杯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”第一、第二负责人视为排名第一，分别占30%、20%）；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排名并列者均分应占比得分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一等奖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二等奖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三等奖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优胜及单项奖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6分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A2、B1、B2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类竞赛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A1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0.8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B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A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7；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B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0.6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EEECE1" w:themeColor="background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bg2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二、综合荣誉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上限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计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个人荣誉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国家级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荣誉证书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原件</w:t>
            </w: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包括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三好学生、优秀党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团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员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优秀学生干部、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模范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团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干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、优秀志愿者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校十佳大学生、琴园风云学子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计分上浮20%（提名奖上浮10%）；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同类荣誉取最高等级计分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省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厅局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校级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院级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团队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荣誉及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个人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其他荣誉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国家级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同一项目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获不同等级奖项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取最高等级计分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团队项目，排名第一的学生计分占50%，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其余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50%由其他学生均分；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排名并列者均分应占比得分；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各等级奖项中不同等次的系数从高到低依次为：1、0.9、0.8、0.7…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省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厅局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校级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院级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0827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三、社会服务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上限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分</w:t>
            </w: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类别</w:t>
            </w:r>
          </w:p>
        </w:tc>
        <w:tc>
          <w:tcPr>
            <w:tcW w:w="332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计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</w:t>
            </w:r>
          </w:p>
        </w:tc>
        <w:tc>
          <w:tcPr>
            <w:tcW w:w="19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核验方式</w:t>
            </w:r>
          </w:p>
        </w:tc>
        <w:tc>
          <w:tcPr>
            <w:tcW w:w="31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志愿服务</w:t>
            </w:r>
          </w:p>
        </w:tc>
        <w:tc>
          <w:tcPr>
            <w:tcW w:w="2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服务时长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达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36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小时</w:t>
            </w:r>
          </w:p>
        </w:tc>
        <w:tc>
          <w:tcPr>
            <w:tcW w:w="12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“志愿汇”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“到梦空间”记录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等相关证明</w:t>
            </w:r>
          </w:p>
        </w:tc>
        <w:tc>
          <w:tcPr>
            <w:tcW w:w="315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各类服务活动不重复计分（献血一次可计为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小时）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另服务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时长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达36小时</w:t>
            </w:r>
          </w:p>
        </w:tc>
        <w:tc>
          <w:tcPr>
            <w:tcW w:w="12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服务校级以上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大型活动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1次及以上</w:t>
            </w:r>
          </w:p>
        </w:tc>
        <w:tc>
          <w:tcPr>
            <w:tcW w:w="12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沉基层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3次及以上</w:t>
            </w:r>
          </w:p>
        </w:tc>
        <w:tc>
          <w:tcPr>
            <w:tcW w:w="12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40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担任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学生干部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校级及以上一级负责人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5分</w:t>
            </w:r>
          </w:p>
        </w:tc>
        <w:tc>
          <w:tcPr>
            <w:tcW w:w="19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聘任证书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原件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或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证明</w:t>
            </w:r>
          </w:p>
        </w:tc>
        <w:tc>
          <w:tcPr>
            <w:tcW w:w="315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包括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党支部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负责人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兼职辅导员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党员先锋岗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学工助理、兴趣组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负责人、特约通讯员等；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同级负责人不分正副；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任职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须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满1届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上限6分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院级一级负责人、校级二级负责人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4分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班级（社团）一级负责人、院级二级负责人及同级负责人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4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班委及同级负责人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1分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4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参军入伍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入伍服役满两年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3分</w:t>
            </w:r>
          </w:p>
        </w:tc>
        <w:tc>
          <w:tcPr>
            <w:tcW w:w="19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提交相关证明</w:t>
            </w:r>
          </w:p>
        </w:tc>
        <w:tc>
          <w:tcPr>
            <w:tcW w:w="31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报名参军并参加体检，计1分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4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国际组织实习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在国际组织实习半个月及以上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</w:p>
        </w:tc>
        <w:tc>
          <w:tcPr>
            <w:tcW w:w="19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提交证明原件</w:t>
            </w:r>
          </w:p>
        </w:tc>
        <w:tc>
          <w:tcPr>
            <w:tcW w:w="31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国际组织名录以相关官方网站为准</w:t>
            </w:r>
          </w:p>
        </w:tc>
      </w:tr>
    </w:tbl>
    <w:p>
      <w:pPr>
        <w:rPr>
          <w:i w:val="0"/>
          <w:iCs w:val="0"/>
          <w:color w:val="auto"/>
          <w:u w:val="none"/>
        </w:rPr>
      </w:pPr>
    </w:p>
    <w:p/>
    <w:p>
      <w:r>
        <w:br w:type="page"/>
      </w:r>
    </w:p>
    <w:tbl>
      <w:tblPr>
        <w:tblStyle w:val="8"/>
        <w:tblW w:w="9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3"/>
        <w:gridCol w:w="2077"/>
        <w:gridCol w:w="3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sz w:val="32"/>
                <w:szCs w:val="32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楚才</w:t>
            </w:r>
            <w:r>
              <w:rPr>
                <w:rStyle w:val="15"/>
                <w:sz w:val="32"/>
                <w:szCs w:val="32"/>
                <w:lang w:val="en-US" w:eastAsia="zh-CN" w:bidi="ar"/>
              </w:rPr>
              <w:t>学院推免工作完成时间节点表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eastAsia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制定推免工作方案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9月9日前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朱小梅、万虹、</w:t>
            </w:r>
            <w:bookmarkStart w:id="2" w:name="OLE_LINK2"/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肖勇</w:t>
            </w:r>
            <w:bookmarkEnd w:id="2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公示推免工作方案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9月10日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李恒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审核和评议申请学生材料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9月15日前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朱小梅、万虹、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肖勇、符琳、李恒、樊丽敏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推免生学术专长面试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——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————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学院推免生名单公示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9月16日-9月19日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符琳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4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学院推免生名单报送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9月20日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李恒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4"/>
        <w:spacing w:line="417" w:lineRule="auto"/>
        <w:ind w:left="1959" w:right="1863" w:hanging="560"/>
        <w:jc w:val="both"/>
        <w:rPr>
          <w:b/>
          <w:bCs/>
        </w:rPr>
      </w:pPr>
    </w:p>
    <w:sectPr>
      <w:pgSz w:w="11910" w:h="16840"/>
      <w:pgMar w:top="1000" w:right="400" w:bottom="1300" w:left="400" w:header="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9790430</wp:posOffset>
              </wp:positionV>
              <wp:extent cx="1079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4pt;margin-top:770.9pt;height:12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k83/nZAAAADQEAAA8AAAAAAAAAAQAgAAAAIgAAAGRycy9kb3ducmV2LnhtbFBLAQIU&#10;ABQAAAAIAIdO4kCsOuTr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</w:pPr>
      <w:r>
        <w:separator/>
      </w:r>
    </w:p>
  </w:footnote>
  <w:footnote w:type="continuationSeparator" w:id="5">
    <w:p>
      <w:pPr>
        <w:spacing w:before="0" w:after="0" w:line="240" w:lineRule="auto"/>
      </w:pPr>
      <w:r>
        <w:continuationSeparator/>
      </w:r>
    </w:p>
  </w:footnote>
  <w:footnote w:id="0">
    <w:p>
      <w:pPr>
        <w:pStyle w:val="6"/>
        <w:rPr>
          <w:rFonts w:hint="eastAsia"/>
          <w:color w:val="auto"/>
          <w:lang w:val="en-US"/>
        </w:rPr>
      </w:pPr>
      <w:r>
        <w:rPr>
          <w:rStyle w:val="10"/>
        </w:rPr>
        <w:footnoteRef/>
      </w:r>
      <w:r>
        <w:rPr>
          <w:rFonts w:hint="eastAsia"/>
          <w:lang w:val="en-US"/>
        </w:rPr>
        <w:t>成果认定</w:t>
      </w:r>
      <w:r>
        <w:rPr>
          <w:rFonts w:hint="eastAsia"/>
        </w:rPr>
        <w:t>以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</w:rPr>
        <w:t>《湖北大学自然科学高水平期刊目录》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  <w:lang w:eastAsia="zh-CN"/>
        </w:rPr>
        <w:t>（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</w:rPr>
        <w:t>校科发字〔2022〕1号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  <w:lang w:eastAsia="zh-CN"/>
        </w:rPr>
        <w:t>）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  <w:lang w:val="en-US" w:eastAsia="zh-CN"/>
        </w:rPr>
        <w:t>和《湖北大学人文社会科学高水平期刊目录》（校社科字〔2022〕2号）</w:t>
      </w:r>
      <w:r>
        <w:rPr>
          <w:rFonts w:hint="eastAsia"/>
          <w:color w:val="auto"/>
          <w:lang w:val="en-US"/>
        </w:rPr>
        <w:t>为准。</w:t>
      </w:r>
    </w:p>
  </w:footnote>
  <w:footnote w:id="1">
    <w:p>
      <w:pPr>
        <w:pStyle w:val="6"/>
        <w:rPr>
          <w:rFonts w:hint="default" w:eastAsia="宋体"/>
          <w:lang w:val="en-US" w:eastAsia="zh-CN"/>
        </w:rPr>
      </w:pPr>
      <w:r>
        <w:rPr>
          <w:rStyle w:val="10"/>
        </w:rPr>
        <w:footnoteRef/>
      </w:r>
      <w:r>
        <w:rPr>
          <w:rFonts w:hint="eastAsia"/>
          <w:lang w:val="en-US" w:eastAsia="zh-CN"/>
        </w:rPr>
        <w:t>竞赛</w:t>
      </w:r>
      <w:r>
        <w:rPr>
          <w:rFonts w:hint="eastAsia"/>
          <w:lang w:val="en-US"/>
        </w:rPr>
        <w:t>认定</w:t>
      </w:r>
      <w:r>
        <w:rPr>
          <w:rFonts w:hint="eastAsia"/>
          <w:highlight w:val="none"/>
        </w:rPr>
        <w:t>以</w:t>
      </w:r>
      <w:r>
        <w:rPr>
          <w:rFonts w:hint="eastAsia"/>
          <w:b w:val="0"/>
          <w:bCs w:val="0"/>
          <w:i w:val="0"/>
          <w:iCs w:val="0"/>
          <w:color w:val="auto"/>
          <w:highlight w:val="none"/>
          <w:u w:val="none"/>
        </w:rPr>
        <w:t>《湖北大学全日制普通本科生学科竞赛管理办法（暂行）》（校教字[2021]23号）</w:t>
      </w:r>
      <w:r>
        <w:rPr>
          <w:rFonts w:hint="eastAsia"/>
          <w:lang w:val="en-US"/>
        </w:rPr>
        <w:t>为准</w:t>
      </w:r>
      <w:r>
        <w:rPr>
          <w:rFonts w:hint="eastAsia"/>
          <w:lang w:val="en-US" w:eastAsia="zh-CN"/>
        </w:rPr>
        <w:t>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888" w:hanging="300"/>
        <w:jc w:val="left"/>
      </w:pPr>
      <w:rPr>
        <w:rFonts w:hint="default" w:ascii="Times New Roman" w:hAnsi="Times New Roman" w:eastAsia="Times New Roman" w:cs="Times New Roman"/>
        <w:spacing w:val="-60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715" w:hanging="3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551" w:hanging="3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86" w:hanging="3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22" w:hanging="3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57" w:hanging="3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93" w:hanging="3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28" w:hanging="3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64" w:hanging="300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8" w:hanging="300"/>
        <w:jc w:val="left"/>
      </w:pPr>
      <w:rPr>
        <w:rFonts w:hint="default"/>
        <w:spacing w:val="-17"/>
        <w:w w:val="10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3" w:hanging="3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27" w:hanging="3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40" w:hanging="3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54" w:hanging="3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67" w:hanging="3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81" w:hanging="3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4" w:hanging="3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08" w:hanging="300"/>
      </w:pPr>
      <w:rPr>
        <w:rFonts w:hint="default"/>
        <w:lang w:val="zh-CN" w:eastAsia="zh-CN" w:bidi="zh-CN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888" w:hanging="30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715" w:hanging="3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551" w:hanging="3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86" w:hanging="3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22" w:hanging="3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57" w:hanging="3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93" w:hanging="3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28" w:hanging="3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64" w:hanging="300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NzE4MGNlMDYzNjZmM2JhNmUwZDgyYWQ5ZTIzMDgifQ=="/>
  </w:docVars>
  <w:rsids>
    <w:rsidRoot w:val="00000000"/>
    <w:rsid w:val="04922E80"/>
    <w:rsid w:val="0E5B7CAC"/>
    <w:rsid w:val="12627A46"/>
    <w:rsid w:val="14324D11"/>
    <w:rsid w:val="1B720CB0"/>
    <w:rsid w:val="26C10089"/>
    <w:rsid w:val="330A25C5"/>
    <w:rsid w:val="3C91106D"/>
    <w:rsid w:val="40EA0454"/>
    <w:rsid w:val="45095840"/>
    <w:rsid w:val="48841D1C"/>
    <w:rsid w:val="491670BD"/>
    <w:rsid w:val="4AC35003"/>
    <w:rsid w:val="55590816"/>
    <w:rsid w:val="58F41349"/>
    <w:rsid w:val="5F8321CF"/>
    <w:rsid w:val="63BA0368"/>
    <w:rsid w:val="6467393B"/>
    <w:rsid w:val="770470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9"/>
      <w:ind w:left="1634" w:right="1635"/>
      <w:jc w:val="center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footnote text"/>
    <w:basedOn w:val="1"/>
    <w:unhideWhenUsed/>
    <w:qFormat/>
    <w:uiPriority w:val="0"/>
    <w:pPr>
      <w:snapToGrid w:val="0"/>
      <w:jc w:val="left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footnote reference"/>
    <w:unhideWhenUsed/>
    <w:qFormat/>
    <w:uiPriority w:val="0"/>
    <w:rPr>
      <w:vertAlign w:val="superscript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1400" w:firstLine="559"/>
      <w:jc w:val="both"/>
    </w:pPr>
    <w:rPr>
      <w:rFonts w:ascii="宋体" w:hAnsi="宋体" w:eastAsia="宋体" w:cs="宋体"/>
      <w:lang w:val="zh-CN" w:eastAsia="zh-CN" w:bidi="zh-CN"/>
    </w:rPr>
  </w:style>
  <w:style w:type="paragraph" w:customStyle="1" w:styleId="13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4">
    <w:name w:val="font31"/>
    <w:basedOn w:val="9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2759</Words>
  <Characters>2910</Characters>
  <TotalTime>60</TotalTime>
  <ScaleCrop>false</ScaleCrop>
  <LinksUpToDate>false</LinksUpToDate>
  <CharactersWithSpaces>2911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2022-10-04T07:26:00Z</dcterms:created>
  <dc:creator>段炜</dc:creator>
  <cp:lastModifiedBy>米悠</cp:lastModifiedBy>
  <cp:lastPrinted>2024-09-09T02:44:00Z</cp:lastPrinted>
  <dcterms:modified xsi:type="dcterms:W3CDTF">2024-09-10T14:13:47Z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2022-10-04T00:00:00Z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9A1801DC08854F538692E8AA376D559A_13</vt:lpwstr>
  </property>
</Properties>
</file>