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jc w:val="center"/>
        <w:rPr>
          <w:b w:val="1"/>
        </w:rPr>
      </w:pPr>
      <w:r>
        <w:rPr>
          <w:b w:val="1"/>
          <w:i w:val="0"/>
          <w:strike w:val="0"/>
          <w:spacing w:val="0"/>
          <w:u w:val="none"/>
        </w:rPr>
        <w:t>武汉轻工大学2026年推免研究生工作实施方案</w:t>
      </w:r>
    </w:p>
    <w:p>
      <w:pPr>
        <w:snapToGrid w:val="1"/>
        <w:spacing w:line="240"/>
        <w:ind/>
        <w:jc w:val="center"/>
        <w:rPr>
          <w:b w:val="1"/>
        </w:rPr>
      </w:pPr>
      <w:r>
        <w:rPr>
          <w:b w:val="1"/>
          <w:i w:val="0"/>
          <w:strike w:val="0"/>
          <w:spacing w:val="0"/>
          <w:u w:val="none"/>
        </w:rPr>
        <w:t>2025-09-12 来源：武汉轻工大学</w:t>
      </w:r>
    </w:p>
    <w:p>
      <w:pPr>
        <w:snapToGrid w:val="1"/>
        <w:spacing w:line="240"/>
        <w:ind/>
        <w:rPr/>
      </w:pPr>
      <w:r>
        <w:rPr>
          <w:i w:val="0"/>
          <w:strike w:val="0"/>
          <w:spacing w:val="0"/>
          <w:u w:val="none"/>
        </w:rPr>
        <w:t>根据《教育部办公厅关于进一步规范和加强推荐优秀应届本科毕业生免试攻读研究生工作的通知》（教学厅〔2020〕12号）等相关文件精神，结合《武汉轻工大学推荐优秀应届本科毕业生免试攻读硕士学位研究生工作管理办法（暂行）》，以及2026年推免工作的时间安排，制定本工作实施方案。</w:t>
      </w:r>
    </w:p>
    <w:p>
      <w:pPr>
        <w:snapToGrid w:val="1"/>
        <w:spacing w:line="240"/>
        <w:ind/>
        <w:rPr/>
      </w:pPr>
      <w:r>
        <w:rPr>
          <w:i w:val="0"/>
          <w:strike w:val="0"/>
          <w:spacing w:val="0"/>
          <w:u w:val="none"/>
        </w:rPr>
        <w:t>一、资格条件</w:t>
      </w:r>
    </w:p>
    <w:p>
      <w:pPr>
        <w:snapToGrid w:val="1"/>
        <w:spacing w:line="240"/>
        <w:ind/>
        <w:rPr/>
      </w:pPr>
      <w:r>
        <w:rPr>
          <w:i w:val="0"/>
          <w:strike w:val="0"/>
          <w:spacing w:val="0"/>
          <w:u w:val="none"/>
        </w:rPr>
        <w:t>学校推免生工作坚持以德为先，德智体美劳全面发展，择优选拔。所有推免生应满足以下基本条件：</w:t>
      </w:r>
    </w:p>
    <w:p>
      <w:pPr>
        <w:snapToGrid w:val="1"/>
        <w:spacing w:line="240"/>
        <w:ind/>
        <w:rPr/>
      </w:pPr>
      <w:r>
        <w:rPr>
          <w:i w:val="0"/>
          <w:strike w:val="0"/>
          <w:spacing w:val="0"/>
          <w:u w:val="none"/>
        </w:rPr>
        <w:t>1.为我校普通全日制本科招生计划录取的应届本科毕业生（不含专科起点本科学生、第二学士学位本科学生）。</w:t>
      </w:r>
    </w:p>
    <w:p>
      <w:pPr>
        <w:snapToGrid w:val="1"/>
        <w:spacing w:line="240"/>
        <w:ind/>
        <w:rPr/>
      </w:pPr>
      <w:r>
        <w:rPr>
          <w:i w:val="0"/>
          <w:strike w:val="0"/>
          <w:spacing w:val="0"/>
          <w:u w:val="none"/>
        </w:rPr>
        <w:t>2.爱国敬业，遵纪守法，有社会责任感，积极向上，身心健康。在校期间未受过任何纪律处分，无考试违纪和作弊，无学术不端行为。</w:t>
      </w:r>
    </w:p>
    <w:p>
      <w:pPr>
        <w:snapToGrid w:val="1"/>
        <w:spacing w:line="240"/>
        <w:ind/>
        <w:rPr/>
      </w:pPr>
      <w:r>
        <w:rPr>
          <w:i w:val="0"/>
          <w:strike w:val="0"/>
          <w:spacing w:val="0"/>
          <w:u w:val="none"/>
        </w:rPr>
        <w:t>3.勤奋学习，刻苦钻研，成绩优秀，平均学分绩点（GPA）居本专业排名的前20%（只计初始成绩），在校期间无补考、重修记录。学术研究兴趣浓厚，有较强的创新意识、创新能力和专业水平。</w:t>
      </w:r>
    </w:p>
    <w:p>
      <w:pPr>
        <w:snapToGrid w:val="1"/>
        <w:spacing w:line="240"/>
        <w:ind/>
        <w:rPr/>
      </w:pPr>
      <w:r>
        <w:rPr>
          <w:i w:val="0"/>
          <w:strike w:val="0"/>
          <w:spacing w:val="0"/>
          <w:u w:val="none"/>
        </w:rPr>
        <w:t>4.非英语专业学生全国大学英语四级考试成绩达到学校规定的要求（710分制达到480分）或通过全国大学英语六级考试（证书或710分制达到425分）；小语种的要求参照非英语专业学生的成绩标准执行；英语专业学生专业英语考试四级达到学校规定的要求（100分制达到68分）或通过专业英语考试八级（证书或100分制达到60分）。艺术类专业此要求可适当放宽，由所在学院（部）制定具体要求和标准。</w:t>
      </w:r>
    </w:p>
    <w:p>
      <w:pPr>
        <w:snapToGrid w:val="1"/>
        <w:spacing w:line="240"/>
        <w:ind/>
        <w:rPr/>
      </w:pPr>
      <w:r>
        <w:rPr>
          <w:i w:val="0"/>
          <w:strike w:val="0"/>
          <w:spacing w:val="0"/>
          <w:u w:val="none"/>
        </w:rPr>
        <w:t>5.入伍本科学生在同等条件下，优先推荐。</w:t>
      </w:r>
    </w:p>
    <w:p>
      <w:pPr>
        <w:snapToGrid w:val="1"/>
        <w:spacing w:line="240"/>
        <w:ind/>
        <w:rPr/>
      </w:pPr>
      <w:r>
        <w:rPr>
          <w:i w:val="0"/>
          <w:strike w:val="0"/>
          <w:spacing w:val="0"/>
          <w:u w:val="none"/>
        </w:rPr>
        <w:t>二、推荐名额</w:t>
      </w:r>
    </w:p>
    <w:p>
      <w:pPr>
        <w:pBdr>
          <w:bottom/>
        </w:pBdr>
        <w:snapToGrid w:val="1"/>
        <w:spacing w:line="240"/>
        <w:ind/>
        <w:rPr/>
      </w:pPr>
      <w:r>
        <w:rPr>
          <w:i w:val="0"/>
          <w:strike w:val="0"/>
          <w:spacing w:val="0"/>
          <w:u w:val="none"/>
        </w:rPr>
        <w:t>根据当年度教育部下达给学校的推免生名额，由学校推免生遴选工作领导小组进行统筹分配，设置一定数量的专项推免名额，向优势特色学科倾斜。剩余推免名额按照当年毕业生人数进行分配。同时综合考虑各学院（部）应届普通全日制本科毕业生升学率、专业建设水平等相关因素。制定全校推免名额分配方案，下达到各学院（部）。2026年具体推免名额见下表：</w:t>
      </w:r>
    </w:p>
    <w:tbl>
      <w:tblPr>
        <w:tblStyle w:val="000015"/>
        <w:tblLayout w:type="fixed"/>
      </w:tblPr>
      <w:tblGrid>
        <w:gridCol w:w="1185"/>
        <w:gridCol w:w="1185"/>
        <w:gridCol w:w="1185"/>
        <w:gridCol w:w="1185"/>
        <w:gridCol w:w="1185"/>
        <w:gridCol w:w="1185"/>
        <w:gridCol w:w="1185"/>
      </w:tblGrid>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序号</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相关专业毕业生人数</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大类比例</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学院比例</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名额</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名额（取整）</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食品科学与工程学院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363</w:t>
            </w:r>
          </w:p>
        </w:tc>
        <w:tc>
          <w:tcPr>
            <w:tcW w:w="118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24.00%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21.84</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22</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动物科学与营养工程学院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237</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16.00%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14.56</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15</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3</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数学与计算机学院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281</w:t>
            </w:r>
          </w:p>
        </w:tc>
        <w:tc>
          <w:tcPr>
            <w:tcW w:w="118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8.50%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7.735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8</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生命科学与技术学院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246</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7.50%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6.825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机械工程学院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239</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7.50%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6.825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电气与电子工程学院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237</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7.50%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6.825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7</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土木工程与建筑学院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190</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5.46</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8</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化学与环境工程学院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188</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5.46</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9</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医学与健康学院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50</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1.82</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管理学院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333</w:t>
            </w:r>
          </w:p>
        </w:tc>
        <w:tc>
          <w:tcPr>
            <w:tcW w:w="118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15%</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6.60%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6.006</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6</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11</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艺术设计学院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220</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4.40%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4.004</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12</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经济学院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86</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1.82</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w:t>
            </w:r>
          </w:p>
        </w:tc>
      </w:tr>
      <w:tr>
        <w:trPr/>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13</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外国语学院</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44</w:t>
            </w:r>
          </w:p>
        </w:tc>
        <w:tc>
          <w:tcPr>
            <w:tcW w:w="118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2.00%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1.82</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w:t>
            </w:r>
          </w:p>
        </w:tc>
      </w:tr>
      <w:tr>
        <w:trPr/>
        <w:tc>
          <w:tcPr>
            <w:tcW w:w="3555"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 w:hAnsi="仿宋" w:eastAsia="仿宋" w:cs="仿宋"/>
                <w:i w:val="0"/>
                <w:strike w:val="0"/>
                <w:color w:val="000000"/>
                <w:spacing w:val="0"/>
                <w:sz w:val="24"/>
                <w:u w:val="none"/>
              </w:rPr>
              <w:t>合计</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100%</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91</w:t>
            </w:r>
          </w:p>
        </w:tc>
        <w:tc>
          <w:tcPr>
            <w:tcW w:w="118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4"/>
                <w:u w:val="none"/>
              </w:rPr>
              <w:t>91</w:t>
            </w:r>
          </w:p>
        </w:tc>
      </w:tr>
    </w:tbl>
    <w:p>
      <w:pPr>
        <w:pBdr>
          <w:bottom/>
        </w:pBdr>
        <w:snapToGrid w:val="1"/>
        <w:spacing w:line="240"/>
        <w:ind/>
        <w:rPr/>
      </w:pPr>
      <w:r>
        <w:rPr>
          <w:i w:val="0"/>
          <w:strike w:val="0"/>
          <w:spacing w:val="0"/>
          <w:u w:val="none"/>
        </w:rPr>
        <w:t xml:space="preserve"> 三、选拔程序</w:t>
      </w:r>
    </w:p>
    <w:p>
      <w:pPr>
        <w:snapToGrid w:val="1"/>
        <w:spacing w:line="240"/>
        <w:ind/>
        <w:rPr/>
      </w:pPr>
      <w:r>
        <w:rPr>
          <w:i w:val="0"/>
          <w:strike w:val="0"/>
          <w:spacing w:val="0"/>
          <w:u w:val="none"/>
        </w:rPr>
        <w:t>1.细则公布与宣传动员</w:t>
      </w:r>
    </w:p>
    <w:p>
      <w:pPr>
        <w:snapToGrid w:val="1"/>
        <w:spacing w:line="240"/>
        <w:ind/>
        <w:rPr/>
      </w:pPr>
      <w:r>
        <w:rPr>
          <w:i w:val="0"/>
          <w:strike w:val="0"/>
          <w:spacing w:val="0"/>
          <w:u w:val="none"/>
        </w:rPr>
        <w:t>各学院（部）应及时召开推免工作动员大会，向全体毕业生传达推免政策、推荐条件、工作流程、时间节点及本学院（部）具体工作实施细则等信息，确保学生充分了解相关内容。各学院（部）应于9月1日前将推免工作实施细则电子版及签字、盖学院（部）公章的纸质材料提交教务处备案。</w:t>
      </w:r>
    </w:p>
    <w:p>
      <w:pPr>
        <w:snapToGrid w:val="1"/>
        <w:spacing w:line="240"/>
        <w:ind/>
        <w:rPr/>
      </w:pPr>
      <w:r>
        <w:rPr>
          <w:i w:val="0"/>
          <w:strike w:val="0"/>
          <w:spacing w:val="0"/>
          <w:u w:val="none"/>
        </w:rPr>
        <w:t>2.学生报名与名单确定</w:t>
      </w:r>
    </w:p>
    <w:p>
      <w:pPr>
        <w:snapToGrid w:val="1"/>
        <w:spacing w:line="240"/>
        <w:ind/>
        <w:rPr/>
      </w:pPr>
      <w:r>
        <w:rPr>
          <w:i w:val="0"/>
          <w:strike w:val="0"/>
          <w:spacing w:val="0"/>
          <w:u w:val="none"/>
        </w:rPr>
        <w:t>符合申请条件的学生，填写《武汉轻工大学应届本科毕业生免试攻读硕士研究生申请表》，向所在学院（部）提交申请，并提交奖励证明等有关材料原件和复印件。</w:t>
      </w:r>
    </w:p>
    <w:p>
      <w:pPr>
        <w:snapToGrid w:val="1"/>
        <w:spacing w:line="240"/>
        <w:ind/>
        <w:rPr/>
      </w:pPr>
      <w:r>
        <w:rPr>
          <w:i w:val="0"/>
          <w:strike w:val="0"/>
          <w:spacing w:val="0"/>
          <w:u w:val="none"/>
        </w:rPr>
        <w:t>各学院（部）应会同相关部门对申请推免资格学生的竞赛获奖、科研创新成果、论文（文章）等进行审核鉴定，按照综合成绩排名由高至低排序，确定推免生初选名单，各学院（部）应于9月3日前完成初选名单的公示。对有异议的学生，各学院（部）查明情况并公布处理结果。</w:t>
      </w:r>
    </w:p>
    <w:p>
      <w:pPr>
        <w:snapToGrid w:val="1"/>
        <w:spacing w:line="240"/>
        <w:ind/>
        <w:rPr/>
      </w:pPr>
      <w:r>
        <w:rPr>
          <w:i w:val="0"/>
          <w:strike w:val="0"/>
          <w:spacing w:val="0"/>
          <w:u w:val="none"/>
        </w:rPr>
        <w:t>9月3日12：00前各学院（部）按推免生名额的1.2倍左右确定名单（包括拟推荐名单、候补推荐名单）上报教务处。教务处汇总各推荐单位的进行资格复核，按相关单位名额及推荐顺序等额确定候选人名单，报学校推免生遴选工作领导小组审定，推免工作情况要以适当的形式向学校党委和纪检监察部门汇报。最终审定名单在教务处网站予以公示10日。对有异议的学生，学校查明情况并公布处理结果，对取消资格人员由该学院（部）在初选名单中依次递补。</w:t>
      </w:r>
    </w:p>
    <w:p>
      <w:pPr>
        <w:snapToGrid w:val="1"/>
        <w:spacing w:line="240"/>
        <w:ind/>
        <w:rPr/>
      </w:pPr>
      <w:r>
        <w:rPr>
          <w:i w:val="0"/>
          <w:strike w:val="0"/>
          <w:spacing w:val="0"/>
          <w:u w:val="none"/>
        </w:rPr>
        <w:t>公示结束后，发文公布获得推免生资格的学生名单，在9月20日前上传推免服务系统。</w:t>
      </w:r>
    </w:p>
    <w:p>
      <w:pPr>
        <w:snapToGrid w:val="1"/>
        <w:spacing w:line="240"/>
        <w:ind/>
        <w:rPr/>
      </w:pPr>
      <w:r>
        <w:rPr>
          <w:i w:val="0"/>
          <w:strike w:val="0"/>
          <w:spacing w:val="0"/>
          <w:u w:val="none"/>
        </w:rPr>
        <w:t>四、考核办法</w:t>
      </w:r>
    </w:p>
    <w:p>
      <w:pPr>
        <w:snapToGrid w:val="1"/>
        <w:spacing w:line="240"/>
        <w:ind/>
        <w:rPr/>
      </w:pPr>
      <w:r>
        <w:rPr>
          <w:i w:val="0"/>
          <w:strike w:val="0"/>
          <w:spacing w:val="0"/>
          <w:u w:val="none"/>
        </w:rPr>
        <w:t>综合成绩由学生的学业成绩、奖励分成绩组成，计算公式为：综合成绩=学业成绩+奖励分成绩。</w:t>
      </w:r>
    </w:p>
    <w:p>
      <w:pPr>
        <w:snapToGrid w:val="1"/>
        <w:spacing w:line="240"/>
        <w:ind/>
        <w:rPr/>
      </w:pPr>
      <w:r>
        <w:rPr>
          <w:i w:val="0"/>
          <w:strike w:val="0"/>
          <w:spacing w:val="0"/>
          <w:u w:val="none"/>
        </w:rPr>
        <w:t>学业成绩由学生所在专业培养计划规定应修课程的平均学分绩点换算而成，换算公式为：学业成绩=50+平均学分绩点（GPA）×10，结果保留两位小数。</w:t>
      </w:r>
    </w:p>
    <w:p>
      <w:pPr>
        <w:snapToGrid w:val="1"/>
        <w:spacing w:line="240"/>
        <w:ind/>
        <w:rPr/>
      </w:pPr>
      <w:r>
        <w:rPr>
          <w:i w:val="0"/>
          <w:strike w:val="0"/>
          <w:spacing w:val="0"/>
          <w:u w:val="none"/>
        </w:rPr>
        <w:t>学校对学生参军入伍服兵役、参加志愿服务、到国际组织实习、科研成果和竞赛获奖（学科竞赛）等方面，按照一定的标准给予奖励分，奖励分成绩为各项奖励分之和，保留两位小数，10分封顶。而且学生在某一方面有多项加分情况时，原则上只取得分最高的1项。</w:t>
      </w:r>
    </w:p>
    <w:p>
      <w:pPr>
        <w:snapToGrid w:val="1"/>
        <w:spacing w:line="240"/>
        <w:ind/>
        <w:rPr/>
      </w:pPr>
      <w:r>
        <w:rPr>
          <w:i w:val="0"/>
          <w:strike w:val="0"/>
          <w:spacing w:val="0"/>
          <w:u w:val="none"/>
        </w:rPr>
        <w:t>奖励分为鼓励学生提升创新创业能力，开展科技创新和学术研究，向学术创新领域发展。计算范围必须为申请人自入学开始，截至申报当年8月31日所获得。</w:t>
      </w:r>
    </w:p>
    <w:p>
      <w:pPr>
        <w:snapToGrid w:val="1"/>
        <w:spacing w:line="240"/>
        <w:ind/>
        <w:rPr/>
      </w:pPr>
      <w:r>
        <w:rPr>
          <w:i w:val="0"/>
          <w:strike w:val="0"/>
          <w:spacing w:val="0"/>
          <w:u w:val="none"/>
        </w:rPr>
        <w:t>申请各类奖励分必须由学生本人根据学校当年公布的奖励标准提出申请，并提供相应的证书、文件或论文等证明材料，由各学院（部）推免生遴选专家审核小组进行审核认定。具体奖励分标准见下表：</w:t>
      </w:r>
    </w:p>
    <w:p>
      <w:pPr>
        <w:pBdr>
          <w:bottom/>
        </w:pBdr>
        <w:snapToGrid w:val="1"/>
        <w:spacing w:line="240"/>
        <w:ind/>
        <w:rPr/>
      </w:pPr>
      <w:r>
        <w:rPr>
          <w:i w:val="0"/>
          <w:strike w:val="0"/>
          <w:spacing w:val="0"/>
          <w:u w:val="none"/>
        </w:rPr>
        <w:t>学校推免生遴选奖励分标准一览表</w:t>
      </w:r>
    </w:p>
    <w:tbl>
      <w:tblPr>
        <w:tblStyle w:val="000015"/>
        <w:tblLayout w:type="fixed"/>
      </w:tblPr>
      <w:tblGrid>
        <w:gridCol w:w="1383"/>
        <w:gridCol w:w="1383"/>
        <w:gridCol w:w="1383"/>
        <w:gridCol w:w="1383"/>
        <w:gridCol w:w="1383"/>
        <w:gridCol w:w="1383"/>
      </w:tblGrid>
      <w:tr>
        <w:trPr/>
        <w:tc>
          <w:tcPr>
            <w:tcW w:w="4149"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b w:val="1"/>
                <w:i w:val="0"/>
                <w:strike w:val="0"/>
                <w:color w:val="000000"/>
                <w:spacing w:val="0"/>
                <w:sz w:val="24"/>
                <w:u w:val="none"/>
              </w:rPr>
              <w:t>类别</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b w:val="1"/>
                <w:i w:val="0"/>
                <w:strike w:val="0"/>
                <w:color w:val="000000"/>
                <w:spacing w:val="0"/>
                <w:sz w:val="24"/>
                <w:u w:val="none"/>
              </w:rPr>
              <w:t>单位</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b w:val="1"/>
                <w:i w:val="0"/>
                <w:strike w:val="0"/>
                <w:color w:val="000000"/>
                <w:spacing w:val="0"/>
                <w:sz w:val="24"/>
                <w:u w:val="none"/>
              </w:rPr>
              <w:t>分值</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i w:val="0"/>
                <w:strike w:val="0"/>
                <w:color w:val="000000"/>
                <w:spacing w:val="0"/>
                <w:sz w:val="24"/>
                <w:u w:val="none"/>
              </w:rPr>
              <w:t>参军入伍服兵役</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参军入伍服兵役</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3</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i w:val="0"/>
                <w:strike w:val="0"/>
                <w:color w:val="000000"/>
                <w:spacing w:val="0"/>
                <w:sz w:val="24"/>
                <w:u w:val="none"/>
              </w:rPr>
              <w:t>参加志愿服务</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全国社会实践先进个人、优秀青年志愿者</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3</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湖北省社会实践先进个人、优秀青年志愿者</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1.5</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i w:val="0"/>
                <w:strike w:val="0"/>
                <w:color w:val="000000"/>
                <w:spacing w:val="0"/>
                <w:sz w:val="24"/>
                <w:u w:val="none"/>
              </w:rPr>
              <w:t>科技成果</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A2</w:t>
            </w:r>
            <w:r>
              <w:rPr>
                <w:rFonts w:ascii="仿宋_GB2312" w:hAnsi="仿宋_GB2312" w:eastAsia="仿宋_GB2312" w:cs="仿宋_GB2312"/>
                <w:i w:val="0"/>
                <w:strike w:val="0"/>
                <w:color w:val="000000"/>
                <w:spacing w:val="0"/>
                <w:sz w:val="24"/>
                <w:u w:val="none"/>
              </w:rPr>
              <w:t>类及以上论文</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篇</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3</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A3</w:t>
            </w:r>
            <w:r>
              <w:rPr>
                <w:rFonts w:ascii="仿宋_GB2312" w:hAnsi="仿宋_GB2312" w:eastAsia="仿宋_GB2312" w:cs="仿宋_GB2312"/>
                <w:i w:val="0"/>
                <w:strike w:val="0"/>
                <w:color w:val="000000"/>
                <w:spacing w:val="0"/>
                <w:sz w:val="24"/>
                <w:u w:val="none"/>
              </w:rPr>
              <w:t>类论文</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篇</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2</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B1</w:t>
            </w:r>
            <w:r>
              <w:rPr>
                <w:rFonts w:ascii="仿宋_GB2312" w:hAnsi="仿宋_GB2312" w:eastAsia="仿宋_GB2312" w:cs="仿宋_GB2312"/>
                <w:i w:val="0"/>
                <w:strike w:val="0"/>
                <w:color w:val="000000"/>
                <w:spacing w:val="0"/>
                <w:sz w:val="24"/>
                <w:u w:val="none"/>
              </w:rPr>
              <w:t>、</w:t>
            </w:r>
            <w:r>
              <w:rPr>
                <w:rFonts w:ascii="Times New Roman" w:hAnsi="Times New Roman" w:cs="Times New Roman"/>
                <w:i w:val="0"/>
                <w:strike w:val="0"/>
                <w:color w:val="000000"/>
                <w:spacing w:val="0"/>
                <w:sz w:val="24"/>
                <w:u w:val="none"/>
              </w:rPr>
              <w:t>B2</w:t>
            </w:r>
            <w:r>
              <w:rPr>
                <w:rFonts w:ascii="仿宋_GB2312" w:hAnsi="仿宋_GB2312" w:eastAsia="仿宋_GB2312" w:cs="仿宋_GB2312"/>
                <w:i w:val="0"/>
                <w:strike w:val="0"/>
                <w:color w:val="000000"/>
                <w:spacing w:val="0"/>
                <w:sz w:val="24"/>
                <w:u w:val="none"/>
              </w:rPr>
              <w:t>类论文</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篇</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1</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C1</w:t>
            </w:r>
            <w:r>
              <w:rPr>
                <w:rFonts w:ascii="仿宋_GB2312" w:hAnsi="仿宋_GB2312" w:eastAsia="仿宋_GB2312" w:cs="仿宋_GB2312"/>
                <w:i w:val="0"/>
                <w:strike w:val="0"/>
                <w:color w:val="000000"/>
                <w:spacing w:val="0"/>
                <w:sz w:val="24"/>
                <w:u w:val="none"/>
              </w:rPr>
              <w:t>、</w:t>
            </w:r>
            <w:r>
              <w:rPr>
                <w:rFonts w:ascii="Times New Roman" w:hAnsi="Times New Roman" w:cs="Times New Roman"/>
                <w:i w:val="0"/>
                <w:strike w:val="0"/>
                <w:color w:val="000000"/>
                <w:spacing w:val="0"/>
                <w:sz w:val="24"/>
                <w:u w:val="none"/>
              </w:rPr>
              <w:t>C2</w:t>
            </w:r>
            <w:r>
              <w:rPr>
                <w:rFonts w:ascii="仿宋_GB2312" w:hAnsi="仿宋_GB2312" w:eastAsia="仿宋_GB2312" w:cs="仿宋_GB2312"/>
                <w:i w:val="0"/>
                <w:strike w:val="0"/>
                <w:color w:val="000000"/>
                <w:spacing w:val="0"/>
                <w:sz w:val="24"/>
                <w:u w:val="none"/>
              </w:rPr>
              <w:t>类论文</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篇</w:t>
            </w:r>
          </w:p>
        </w:tc>
        <w:tc>
          <w:tcPr>
            <w:tcW w:w="2766"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0.5</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竞赛获奖（学科竞赛）</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A</w:t>
            </w:r>
            <w:r>
              <w:rPr>
                <w:rFonts w:ascii="仿宋_GB2312" w:hAnsi="仿宋_GB2312" w:eastAsia="仿宋_GB2312" w:cs="仿宋_GB2312"/>
                <w:i w:val="0"/>
                <w:strike w:val="0"/>
                <w:color w:val="000000"/>
                <w:spacing w:val="0"/>
                <w:sz w:val="24"/>
                <w:u w:val="none"/>
              </w:rPr>
              <w:t>类国家级五星</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特等奖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一等奖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二等奖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三等奖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6/4/2.5/2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A</w:t>
            </w:r>
            <w:r>
              <w:rPr>
                <w:rFonts w:ascii="仿宋_GB2312" w:hAnsi="仿宋_GB2312" w:eastAsia="仿宋_GB2312" w:cs="仿宋_GB2312"/>
                <w:i w:val="0"/>
                <w:strike w:val="0"/>
                <w:color w:val="000000"/>
                <w:spacing w:val="0"/>
                <w:sz w:val="24"/>
                <w:u w:val="none"/>
              </w:rPr>
              <w:t>类国家级四星</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特等奖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一等奖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二等奖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三等奖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4/2.5/1.5/1</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A</w:t>
            </w:r>
            <w:r>
              <w:rPr>
                <w:rFonts w:ascii="仿宋_GB2312" w:hAnsi="仿宋_GB2312" w:eastAsia="仿宋_GB2312" w:cs="仿宋_GB2312"/>
                <w:i w:val="0"/>
                <w:strike w:val="0"/>
                <w:color w:val="000000"/>
                <w:spacing w:val="0"/>
                <w:sz w:val="24"/>
                <w:u w:val="none"/>
              </w:rPr>
              <w:t>类国家级三星</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特等奖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一等奖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二等奖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三等奖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2.5/1.5/1/0.5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A</w:t>
            </w:r>
            <w:r>
              <w:rPr>
                <w:rFonts w:ascii="仿宋_GB2312" w:hAnsi="仿宋_GB2312" w:eastAsia="仿宋_GB2312" w:cs="仿宋_GB2312"/>
                <w:i w:val="0"/>
                <w:strike w:val="0"/>
                <w:color w:val="000000"/>
                <w:spacing w:val="0"/>
                <w:sz w:val="24"/>
                <w:u w:val="none"/>
              </w:rPr>
              <w:t>类国家级二星</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特等奖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一等奖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二等奖</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三等奖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项</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1.5/1/0.5/0.2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仿宋_GB2312" w:hAnsi="仿宋_GB2312" w:eastAsia="仿宋_GB2312" w:cs="仿宋_GB2312"/>
                <w:i w:val="0"/>
                <w:strike w:val="0"/>
                <w:color w:val="000000"/>
                <w:spacing w:val="0"/>
                <w:sz w:val="24"/>
                <w:u w:val="none"/>
              </w:rPr>
              <w:t>到国际组织实习</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实习</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到国家认可的国际组织实习</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仿宋_GB2312" w:hAnsi="仿宋_GB2312" w:eastAsia="仿宋_GB2312" w:cs="仿宋_GB2312"/>
                <w:i w:val="0"/>
                <w:strike w:val="0"/>
                <w:color w:val="000000"/>
                <w:spacing w:val="0"/>
                <w:sz w:val="24"/>
                <w:u w:val="none"/>
              </w:rPr>
              <w:t>分</w:t>
            </w:r>
            <w:r>
              <w:rPr>
                <w:rFonts w:ascii="Times New Roman" w:hAnsi="Times New Roman" w:cs="Times New Roman"/>
                <w:i w:val="0"/>
                <w:strike w:val="0"/>
                <w:color w:val="000000"/>
                <w:spacing w:val="0"/>
                <w:sz w:val="24"/>
                <w:u w:val="none"/>
              </w:rPr>
              <w:t>/</w:t>
            </w:r>
            <w:r>
              <w:rPr>
                <w:rFonts w:ascii="仿宋_GB2312" w:hAnsi="仿宋_GB2312" w:eastAsia="仿宋_GB2312" w:cs="仿宋_GB2312"/>
                <w:i w:val="0"/>
                <w:strike w:val="0"/>
                <w:color w:val="000000"/>
                <w:spacing w:val="0"/>
                <w:sz w:val="24"/>
                <w:u w:val="none"/>
              </w:rPr>
              <w:t>年</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4"/>
                <w:u w:val="none"/>
              </w:rPr>
              <w:t>0.5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p>
        </w:tc>
      </w:tr>
    </w:tbl>
    <w:p>
      <w:pPr>
        <w:snapToGrid w:val="1"/>
        <w:spacing w:line="240"/>
        <w:ind/>
        <w:rPr/>
      </w:pPr>
      <w:r>
        <w:rPr>
          <w:i w:val="0"/>
          <w:strike w:val="0"/>
          <w:spacing w:val="0"/>
          <w:u w:val="none"/>
        </w:rPr>
        <w:t>说明：</w:t>
      </w:r>
    </w:p>
    <w:p>
      <w:pPr>
        <w:snapToGrid w:val="1"/>
        <w:spacing w:line="240"/>
        <w:ind/>
        <w:rPr/>
      </w:pPr>
      <w:r>
        <w:rPr>
          <w:i w:val="0"/>
          <w:strike w:val="0"/>
          <w:spacing w:val="0"/>
          <w:u w:val="none"/>
        </w:rPr>
        <w:t>1.论文原则上须为学生在本科阶段以独立作者或第一作者完成且与学业相关。</w:t>
      </w:r>
    </w:p>
    <w:p>
      <w:pPr>
        <w:snapToGrid w:val="1"/>
        <w:spacing w:line="240"/>
        <w:ind/>
        <w:rPr/>
      </w:pPr>
      <w:r>
        <w:rPr>
          <w:i w:val="0"/>
          <w:strike w:val="0"/>
          <w:spacing w:val="0"/>
          <w:u w:val="none"/>
        </w:rPr>
        <w:t>2.学科竞赛为国内权威科研竞赛（全国赛）并获得三等奖以上奖励，由学校认定学科竞赛清单。学科竞赛以团队参赛获奖的，排名第一、二、三、四、五的成员依次获得奖励分值的1/2、1/3、1/4、1/5、1/6；若不分排名，团队负责人所得分数占奖项分值的1/2，其余成员平分奖项分值的1/2；若未确定团队负责人，则团队全体平分奖项分值。学科竞赛以个人参赛获奖的，奖励分按该项赛事团队获奖相应等级的70%计算。</w:t>
      </w:r>
    </w:p>
    <w:p>
      <w:pPr>
        <w:snapToGrid w:val="1"/>
        <w:spacing w:line="240"/>
        <w:ind/>
        <w:rPr/>
      </w:pPr>
      <w:r>
        <w:rPr>
          <w:i w:val="0"/>
          <w:strike w:val="0"/>
          <w:spacing w:val="0"/>
          <w:u w:val="none"/>
        </w:rPr>
        <w:t>3.国际赛事的最高级别奖项等级等同于该类别国家级获奖等级。</w:t>
      </w:r>
    </w:p>
    <w:p>
      <w:pPr>
        <w:snapToGrid w:val="1"/>
        <w:spacing w:line="240"/>
        <w:ind/>
        <w:rPr/>
      </w:pPr>
      <w:r>
        <w:rPr>
          <w:i w:val="0"/>
          <w:strike w:val="0"/>
          <w:spacing w:val="0"/>
          <w:u w:val="none"/>
        </w:rPr>
        <w:t>4.竞赛设置最高奖项按特等奖计分，其他等次得分逐级依次递减。</w:t>
      </w:r>
    </w:p>
    <w:p>
      <w:pPr>
        <w:snapToGrid w:val="1"/>
        <w:spacing w:line="240"/>
        <w:ind/>
        <w:rPr/>
      </w:pPr>
      <w:r>
        <w:rPr>
          <w:i w:val="0"/>
          <w:strike w:val="0"/>
          <w:spacing w:val="0"/>
          <w:u w:val="none"/>
        </w:rPr>
        <w:t>5.全国大学生英语竞赛只计算特等奖。</w:t>
      </w:r>
    </w:p>
    <w:p>
      <w:pPr>
        <w:snapToGrid w:val="1"/>
        <w:spacing w:line="240"/>
        <w:ind/>
        <w:rPr/>
      </w:pPr>
      <w:r>
        <w:rPr>
          <w:i w:val="0"/>
          <w:strike w:val="0"/>
          <w:spacing w:val="0"/>
          <w:u w:val="none"/>
        </w:rPr>
        <w:t>6.上述所有成果，其第一完成人或成果归属第一单位必须是武汉轻工大学。</w:t>
      </w:r>
    </w:p>
    <w:p>
      <w:pPr>
        <w:snapToGrid w:val="1"/>
        <w:spacing w:line="240"/>
        <w:ind/>
        <w:rPr/>
      </w:pPr>
      <w:r>
        <w:rPr>
          <w:i w:val="0"/>
          <w:strike w:val="0"/>
          <w:spacing w:val="0"/>
          <w:u w:val="none"/>
        </w:rPr>
        <w:t>7.同一奖项或成果多次获奖以最高分计算，不累加计算；赛事类别按照参赛当年学校公布的学科竞赛指南进行认定，竞赛类奖励加分项目只统计与学生所属学科相关的项目。</w:t>
      </w:r>
    </w:p>
    <w:p>
      <w:pPr>
        <w:snapToGrid w:val="1"/>
        <w:spacing w:line="240"/>
        <w:ind/>
        <w:rPr/>
      </w:pPr>
      <w:r>
        <w:rPr>
          <w:i w:val="0"/>
          <w:strike w:val="0"/>
          <w:spacing w:val="0"/>
          <w:u w:val="none"/>
        </w:rPr>
        <w:t>8.论文为学生本科阶段在核心期刊上发表的与学业相关的科研论文，学术刊物等级以学校认定的刊物等级为准。</w:t>
      </w:r>
    </w:p>
    <w:p>
      <w:pPr>
        <w:snapToGrid w:val="1"/>
        <w:spacing w:line="240"/>
        <w:ind/>
        <w:rPr/>
      </w:pPr>
      <w:r>
        <w:rPr>
          <w:i w:val="0"/>
          <w:strike w:val="0"/>
          <w:spacing w:val="0"/>
          <w:u w:val="none"/>
        </w:rPr>
        <w:t>五、申诉与处理</w:t>
      </w:r>
    </w:p>
    <w:p>
      <w:pPr>
        <w:snapToGrid w:val="1"/>
        <w:spacing w:line="240"/>
        <w:ind/>
        <w:rPr/>
      </w:pPr>
      <w:r>
        <w:rPr>
          <w:i w:val="0"/>
          <w:strike w:val="0"/>
          <w:spacing w:val="0"/>
          <w:u w:val="none"/>
        </w:rPr>
        <w:t>有下列情况之一者，取消推免生资格：</w:t>
      </w:r>
    </w:p>
    <w:p>
      <w:pPr>
        <w:snapToGrid w:val="1"/>
        <w:spacing w:line="240"/>
        <w:ind/>
        <w:rPr/>
      </w:pPr>
      <w:r>
        <w:rPr>
          <w:i w:val="0"/>
          <w:strike w:val="0"/>
          <w:spacing w:val="0"/>
          <w:u w:val="none"/>
        </w:rPr>
        <w:t>1.在申请推免生过程中有弄虚作假行为者；</w:t>
      </w:r>
    </w:p>
    <w:p>
      <w:pPr>
        <w:snapToGrid w:val="1"/>
        <w:spacing w:line="240"/>
        <w:ind/>
        <w:rPr/>
      </w:pPr>
      <w:r>
        <w:rPr>
          <w:i w:val="0"/>
          <w:strike w:val="0"/>
          <w:spacing w:val="0"/>
          <w:u w:val="none"/>
        </w:rPr>
        <w:t>2.有论文抄袭、虚报获奖或科研成果等学术不端行为者；</w:t>
      </w:r>
    </w:p>
    <w:p>
      <w:pPr>
        <w:snapToGrid w:val="1"/>
        <w:spacing w:line="240"/>
        <w:ind/>
        <w:rPr/>
      </w:pPr>
      <w:r>
        <w:rPr>
          <w:i w:val="0"/>
          <w:strike w:val="0"/>
          <w:spacing w:val="0"/>
          <w:u w:val="none"/>
        </w:rPr>
        <w:t>3.其他违反教育部推免工作有关文件规定者。</w:t>
      </w:r>
    </w:p>
    <w:p>
      <w:pPr>
        <w:snapToGrid w:val="1"/>
        <w:spacing w:line="240"/>
        <w:ind/>
        <w:rPr/>
      </w:pPr>
      <w:r>
        <w:rPr>
          <w:i w:val="0"/>
          <w:strike w:val="0"/>
          <w:spacing w:val="0"/>
          <w:u w:val="none"/>
        </w:rPr>
        <w:t>学生在推免过程中对推免结果等有质疑的，可书面向学校推免生遴选工作领导小组办公室（教务处）提起申诉。根据学生申诉涉及的内容由相关职能部门审核及认定，并由办公室进行反馈。如仍有质疑，将由办公室再次核查，报学校推免生遴选工作领导小组最终仲裁。</w:t>
      </w:r>
    </w:p>
    <w:p>
      <w:pPr>
        <w:snapToGrid w:val="1"/>
        <w:spacing w:line="240"/>
        <w:ind/>
        <w:rPr/>
      </w:pPr>
      <w:r>
        <w:rPr>
          <w:i w:val="0"/>
          <w:strike w:val="0"/>
          <w:spacing w:val="0"/>
          <w:u w:val="none"/>
        </w:rPr>
        <w:t>六、附则</w:t>
      </w:r>
    </w:p>
    <w:p>
      <w:pPr>
        <w:snapToGrid w:val="1"/>
        <w:spacing w:line="240"/>
        <w:ind/>
        <w:rPr/>
      </w:pPr>
      <w:r>
        <w:rPr>
          <w:i w:val="0"/>
          <w:strike w:val="0"/>
          <w:spacing w:val="0"/>
          <w:u w:val="none"/>
        </w:rPr>
        <w:t>1.本方案未尽事宜，按照教育部及上级主管部门当年发布的推免工作相关文件执行。</w:t>
      </w:r>
    </w:p>
    <w:p>
      <w:pPr>
        <w:snapToGrid w:val="1"/>
        <w:spacing w:line="240"/>
        <w:ind/>
        <w:rPr/>
      </w:pPr>
      <w:r>
        <w:rPr>
          <w:i w:val="0"/>
          <w:strike w:val="0"/>
          <w:spacing w:val="0"/>
          <w:u w:val="none"/>
        </w:rPr>
        <w:t>2.各学院（部）应根据本方案，结合自身学科专业特点，制定具体的推免工作实施细则，并报学校推免工作领导小组备案后执行。</w:t>
      </w:r>
    </w:p>
    <w:p>
      <w:pPr>
        <w:snapToGrid w:val="1"/>
        <w:spacing w:line="240"/>
        <w:ind/>
        <w:rPr/>
      </w:pPr>
      <w:r>
        <w:rPr>
          <w:i w:val="0"/>
          <w:strike w:val="0"/>
          <w:spacing w:val="0"/>
          <w:u w:val="none"/>
        </w:rPr>
        <w:t>3.本方案由学校推免工作领导小组负责解释。如遇特殊情况，由学校推免工作领导小组集体研究决定。</w:t>
      </w:r>
    </w:p>
    <w:p>
      <w:pPr>
        <w:snapToGrid w:val="1"/>
        <w:spacing w:line="240"/>
        <w:ind/>
        <w:rPr/>
      </w:pPr>
      <w:r>
        <w:rPr>
          <w:i w:val="0"/>
          <w:strike w:val="0"/>
          <w:spacing w:val="0"/>
          <w:u w:val="none"/>
        </w:rPr>
        <w:t>4.本方案自发布之日起施行。</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教务处</w:t>
      </w:r>
    </w:p>
    <w:p>
      <w:pPr>
        <w:snapToGrid w:val="1"/>
        <w:spacing w:line="240"/>
        <w:ind/>
        <w:rPr/>
      </w:pPr>
      <w:r>
        <w:rPr>
          <w:i w:val="0"/>
          <w:strike w:val="0"/>
          <w:spacing w:val="0"/>
          <w:u w:val="none"/>
        </w:rPr>
        <w:t>2025年8月</w:t>
      </w:r>
    </w:p>
    <w:p>
      <w:pPr>
        <w:snapToGrid w:val="1"/>
        <w:spacing w:line="240"/>
        <w:ind/>
        <w:rPr/>
      </w:pPr>
    </w:p>
    <w:p>
      <w:pPr>
        <w:snapToGrid w:val="1"/>
        <w:spacing w:line="240"/>
        <w:ind/>
        <w:rPr/>
      </w:pPr>
      <w:r>
        <w:rPr>
          <w:i w:val="0"/>
          <w:strike w:val="0"/>
          <w:spacing w:val="0"/>
          <w:u w:val="none"/>
        </w:rPr>
        <w:t>申诉渠道</w:t>
      </w:r>
    </w:p>
    <w:p>
      <w:pPr>
        <w:snapToGrid w:val="1"/>
        <w:spacing w:line="240"/>
        <w:ind/>
        <w:rPr/>
      </w:pPr>
      <w:r>
        <w:rPr>
          <w:i w:val="0"/>
          <w:strike w:val="0"/>
          <w:spacing w:val="0"/>
          <w:u w:val="none"/>
        </w:rPr>
        <w:t>武汉轻工大学</w:t>
      </w:r>
    </w:p>
    <w:p>
      <w:pPr>
        <w:snapToGrid w:val="1"/>
        <w:spacing w:line="240"/>
        <w:ind/>
        <w:rPr/>
      </w:pPr>
      <w:r>
        <w:rPr>
          <w:i w:val="0"/>
          <w:strike w:val="0"/>
          <w:spacing w:val="0"/>
          <w:u w:val="none"/>
        </w:rPr>
        <w:t>地址：湖北省武汉市东西湖区常青花园学府南路68号</w:t>
      </w:r>
    </w:p>
    <w:p>
      <w:pPr>
        <w:snapToGrid w:val="1"/>
        <w:spacing w:line="240"/>
        <w:ind/>
        <w:rPr/>
      </w:pPr>
      <w:r>
        <w:rPr>
          <w:i w:val="0"/>
          <w:strike w:val="0"/>
          <w:spacing w:val="0"/>
          <w:u w:val="none"/>
        </w:rPr>
        <w:t>邮编：430023</w:t>
      </w:r>
    </w:p>
    <w:p>
      <w:pPr>
        <w:snapToGrid w:val="1"/>
        <w:spacing w:line="240"/>
        <w:ind/>
        <w:rPr/>
      </w:pPr>
      <w:r>
        <w:rPr>
          <w:i w:val="0"/>
          <w:strike w:val="0"/>
          <w:spacing w:val="0"/>
          <w:u w:val="none"/>
        </w:rPr>
        <w:t>邮箱：whpu_yjs@163.com</w:t>
      </w:r>
    </w:p>
    <w:p>
      <w:pPr>
        <w:snapToGrid w:val="1"/>
        <w:spacing w:line="240"/>
        <w:ind/>
        <w:rPr/>
      </w:pPr>
      <w:r>
        <w:rPr>
          <w:i w:val="0"/>
          <w:strike w:val="0"/>
          <w:spacing w:val="0"/>
          <w:u w:val="none"/>
        </w:rPr>
        <w:t>电话：027-83913149</w:t>
      </w:r>
    </w:p>
    <w:p>
      <w:pPr>
        <w:snapToGrid w:val="1"/>
        <w:spacing w:line="240"/>
        <w:ind/>
        <w:rPr/>
      </w:pPr>
      <w:r>
        <w:rPr>
          <w:i w:val="0"/>
          <w:strike w:val="0"/>
          <w:spacing w:val="0"/>
          <w:u w:val="none"/>
        </w:rPr>
        <w:t>传真：027-83913149</w:t>
      </w:r>
    </w:p>
    <w:p>
      <w:pPr>
        <w:snapToGrid w:val="1"/>
        <w:spacing w:line="240"/>
        <w:ind/>
        <w:rPr/>
      </w:pPr>
      <w:r>
        <w:rPr>
          <w:i w:val="0"/>
          <w:strike w:val="0"/>
          <w:spacing w:val="0"/>
          <w:u w:val="none"/>
        </w:rPr>
        <w:t>部门：研究生院</w:t>
      </w:r>
    </w:p>
    <w:p>
      <w:pPr>
        <w:snapToGrid w:val="1"/>
        <w:spacing w:line="240"/>
        <w:ind/>
        <w:rPr/>
      </w:pPr>
      <w:r>
        <w:rPr>
          <w:i w:val="0"/>
          <w:strike w:val="0"/>
          <w:spacing w:val="0"/>
          <w:u w:val="none"/>
        </w:rPr>
        <w:t>湖北省</w:t>
      </w:r>
    </w:p>
    <w:p>
      <w:pPr>
        <w:snapToGrid w:val="1"/>
        <w:spacing w:line="240"/>
        <w:ind/>
        <w:rPr/>
      </w:pPr>
      <w:r>
        <w:rPr>
          <w:i w:val="0"/>
          <w:strike w:val="0"/>
          <w:spacing w:val="0"/>
          <w:u w:val="none"/>
        </w:rPr>
        <w:t>地址：暂无</w:t>
      </w:r>
    </w:p>
    <w:p>
      <w:pPr>
        <w:snapToGrid w:val="1"/>
        <w:spacing w:line="240"/>
        <w:ind/>
        <w:rPr/>
      </w:pPr>
      <w:r>
        <w:rPr>
          <w:i w:val="0"/>
          <w:strike w:val="0"/>
          <w:spacing w:val="0"/>
          <w:u w:val="none"/>
        </w:rPr>
        <w:t>邮编：暂无</w:t>
      </w:r>
    </w:p>
    <w:p>
      <w:pPr>
        <w:snapToGrid w:val="1"/>
        <w:spacing w:line="240"/>
        <w:ind/>
        <w:rPr/>
      </w:pPr>
      <w:r>
        <w:rPr>
          <w:i w:val="0"/>
          <w:strike w:val="0"/>
          <w:spacing w:val="0"/>
          <w:u w:val="none"/>
        </w:rPr>
        <w:t>邮箱：暂无</w:t>
      </w:r>
    </w:p>
    <w:p>
      <w:pPr>
        <w:snapToGrid w:val="1"/>
        <w:spacing w:line="240"/>
        <w:ind/>
        <w:rPr/>
      </w:pPr>
      <w:r>
        <w:rPr>
          <w:i w:val="0"/>
          <w:strike w:val="0"/>
          <w:spacing w:val="0"/>
          <w:u w:val="none"/>
        </w:rPr>
        <w:t>电话：暂无</w:t>
      </w:r>
    </w:p>
    <w:p>
      <w:pPr>
        <w:snapToGrid w:val="1"/>
        <w:spacing w:line="240"/>
        <w:ind/>
        <w:rPr/>
      </w:pPr>
      <w:r>
        <w:rPr>
          <w:i w:val="0"/>
          <w:strike w:val="0"/>
          <w:spacing w:val="0"/>
          <w:u w:val="none"/>
        </w:rPr>
        <w:t>传真：暂无</w:t>
      </w:r>
    </w:p>
    <w:p>
      <w:pPr>
        <w:snapToGrid w:val="1"/>
        <w:spacing w:line="240"/>
        <w:ind/>
        <w:rPr/>
      </w:pPr>
      <w:r>
        <w:rPr>
          <w:i w:val="0"/>
          <w:strike w:val="0"/>
          <w:spacing w:val="0"/>
          <w:u w:val="none"/>
        </w:rPr>
        <w:t>部门：暂无</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20002A87" w:usb1="80000000" w:usb2="00000008" w:usb3="00000000" w:csb0="000001FF" w:csb1="00000000"/>
  </w:font>
  <w:font w:name="Arial">
    <w:panose1 w:val="020B0604020202020204"/>
    <w:charset w:val="00" w:characterSet="ISO-8859-1"/>
    <w:family w:val="swiss"/>
    <w:pitch w:val="variable"/>
    <w:sig w:usb0="E0000AFF" w:usb1="00007843" w:usb2="00000001" w:usb3="00000000" w:csb0="000001B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Calibri">
    <w:panose1 w:val="020F0502020204030204"/>
    <w:charset w:val="00" w:characterSet="ISO-8859-1"/>
    <w:family w:val="swiss"/>
    <w:pitch w:val="variable"/>
    <w:sig w:usb0="00000003" w:usb1="00000000" w:usb2="00000001" w:usb3="00000000" w:csb0="0000019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Setting w:name="doNotFlipMirrorIndents" w:uri="http://schemas.microsoft.com/office/word" w:val="1"/>
    <w:compatSetting w:name="useWord2013TrackBottomHyphenation" w:uri="http://schemas.microsoft.com/office/word" w:val="1"/>
    <w:compatSetting w:name="compatibilityMode" w:uri="http://schemas.microsoft.com/office/word" w:val="15"/>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Medium Grid 1 Accent 5" w:uiPriority="67"/>
    <w:lsdException w:name="Medium Grid 1 Accent 2" w:uiPriority="67"/>
    <w:lsdException w:name="Medium Grid 1 Accent 1" w:uiPriority="67"/>
    <w:lsdException w:name="Grid Table 5 Dark Accent 3" w:uiPriority="50"/>
    <w:lsdException w:name="Dark List Accent 2" w:uiPriority="70"/>
    <w:lsdException w:name="Table Columns 2" w:semiHidden="1" w:unhideWhenUsed="1"/>
    <w:lsdException w:name="Table Classic 2" w:semiHidden="1" w:unhideWhenUsed="1"/>
    <w:lsdException w:name="Colorful Shading Accent 2" w:uiPriority="71"/>
    <w:lsdException w:name="Colorful Grid Accent 5" w:uiPriority="73"/>
    <w:lsdException w:name="Table Grid 1" w:semiHidden="1" w:unhideWhenUsed="1"/>
    <w:lsdException w:name="toc 4" w:uiPriority="99"/>
    <w:lsdException w:name="Light Grid Accent 1" w:uiPriority="62"/>
    <w:lsdException w:name="HTML Sample" w:uiPriority="99"/>
    <w:lsdException w:name="Medium Grid 2 Accent 5" w:uiPriority="68"/>
    <w:lsdException w:name="List Paragraph" w:uiPriority="99"/>
    <w:lsdException w:name="Table Simple 3" w:semiHidden="1" w:unhideWhenUsed="1"/>
    <w:lsdException w:name="Colorful List Accent 1" w:uiPriority="72"/>
    <w:lsdException w:name="Grid Table 3" w:uiPriority="48"/>
    <w:lsdException w:name="List Table 2 Accent 6" w:uiPriority="47"/>
    <w:lsdException w:name="HTML Typewriter" w:uiPriority="99"/>
    <w:lsdException w:name="Grid Table 3 Accent 2" w:uiPriority="48"/>
    <w:lsdException w:name="HTML Acronym" w:uiPriority="99"/>
    <w:lsdException w:name="Colorful List Accent 6" w:uiPriority="72"/>
    <w:lsdException w:name="Colorful List" w:uiPriority="72"/>
    <w:lsdException w:name="Colorful Shading" w:uiPriority="71"/>
    <w:lsdException w:name="Medium Grid 2 Accent 3" w:uiPriority="68"/>
    <w:lsdException w:name="List Table 4 Accent 6" w:uiPriority="49"/>
    <w:lsdException w:name="Medium Shading 1 Accent 4" w:uiPriority="63"/>
    <w:lsdException w:name="Table Grid 5" w:semiHidden="1" w:unhideWhenUsed="1"/>
    <w:lsdException w:name="Medium Shading 1 Accent 1" w:uiPriority="63"/>
    <w:lsdException w:name="Medium List 2 Accent 6" w:uiPriority="66"/>
    <w:lsdException w:name="Medium List 2 Accent 1" w:uiPriority="66"/>
    <w:lsdException w:name="Table 3D effects 1" w:semiHidden="1" w:unhideWhenUsed="1"/>
    <w:lsdException w:name="Light Grid Accent 2" w:uiPriority="62"/>
    <w:lsdException w:name="List Table 2 Accent 2" w:uiPriority="47"/>
    <w:lsdException w:name="Grid Table 1 Light Accent 3" w:uiPriority="46"/>
    <w:lsdException w:name="HTML Address" w:uiPriority="99"/>
    <w:lsdException w:name="Grid Table 6 Colorful Accent 6" w:uiPriority="51"/>
    <w:lsdException w:name="Grid Table 7 Colorful Accent 5" w:uiPriority="52"/>
    <w:lsdException w:name="Light Shading Accent 6" w:uiPriority="60"/>
    <w:lsdException w:name="Medium Grid 3 Accent 4" w:uiPriority="69"/>
    <w:lsdException w:name="List Table 6 Colorful" w:uiPriority="51"/>
    <w:lsdException w:name="List Table 3 Accent 2" w:uiPriority="48"/>
    <w:lsdException w:name="Placeholder Text" w:uiPriority="99" w:semiHidden="1"/>
    <w:lsdException w:name="Light Grid Accent 5" w:uiPriority="62"/>
    <w:lsdException w:name="List Table 6 Colorful Accent 1" w:uiPriority="51"/>
    <w:lsdException w:name="Table Columns 3" w:semiHidden="1" w:unhideWhenUsed="1"/>
    <w:lsdException w:name="footnote text" w:uiPriority="99" w:semiHidden="1" w:unhideWhenUsed="1"/>
    <w:lsdException w:name="Table Grid 7" w:semiHidden="1" w:unhideWhenUsed="1"/>
    <w:lsdException w:name="List Table 7 Colorful Accent 4" w:uiPriority="52"/>
    <w:lsdException w:name="Colorful List Accent 4" w:uiPriority="72"/>
    <w:lsdException w:name="Dark List Accent 1" w:uiPriority="70"/>
    <w:lsdException w:name="Medium Grid 2 Accent 2" w:uiPriority="68"/>
    <w:lsdException w:name="List Table 3 Accent 5" w:uiPriority="48"/>
    <w:lsdException w:name="Grid Table 7 Colorful" w:uiPriority="52"/>
    <w:lsdException w:name="Normal" w:qFormat="1"/>
    <w:lsdException w:name="Medium Grid 1 Accent 3" w:uiPriority="67"/>
    <w:lsdException w:name="Grid Table 3 Accent 3" w:uiPriority="48"/>
    <w:lsdException w:name="List Table 2" w:uiPriority="47"/>
    <w:lsdException w:name="Medium List 1 Accent 5" w:uiPriority="65"/>
    <w:lsdException w:name="Table Simple 1" w:semiHidden="1" w:unhideWhenUsed="1"/>
    <w:lsdException w:name="Dark List Accent 4" w:uiPriority="70"/>
    <w:lsdException w:name="Table List 2" w:semiHidden="1" w:unhideWhenUsed="1"/>
    <w:lsdException w:name="Light List Accent 2" w:uiPriority="61"/>
    <w:lsdException w:name="Medium Grid 3 Accent 1" w:uiPriority="69"/>
    <w:lsdException w:name="Intense Reference" w:uiPriority="32" w:qFormat="1"/>
    <w:lsdException w:name="heading 5" w:qFormat="1"/>
    <w:lsdException w:name="toc 7" w:uiPriority="99"/>
    <w:lsdException w:name="Outline List 2" w:uiPriority="99" w:semiHidden="1" w:unhideWhenUsed="1"/>
    <w:lsdException w:name="Colorful List Accent 3" w:uiPriority="72"/>
    <w:lsdException w:name="Table List 8" w:semiHidden="1" w:unhideWhenUsed="1"/>
    <w:lsdException w:name="Medium List 1 Accent 6" w:uiPriority="65"/>
    <w:lsdException w:name="Light Grid Accent 3" w:uiPriority="62"/>
    <w:lsdException w:name="List Table 1 Light Accent 4" w:uiPriority="46"/>
    <w:lsdException w:name="HTML Cite" w:uiPriority="99"/>
    <w:lsdException w:name="Light Grid Accent 6" w:uiPriority="62"/>
    <w:lsdException w:name="Light Shading Accent 4" w:uiPriority="60"/>
    <w:lsdException w:name="List Table 4 Accent 2" w:uiPriority="49"/>
    <w:lsdException w:name="List Table 1 Light Accent 3" w:uiPriority="46"/>
    <w:lsdException w:name="List Table 3 Accent 6" w:uiPriority="48"/>
    <w:lsdException w:name="List Table 1 Light Accent 1" w:uiPriority="46"/>
    <w:lsdException w:name="List Table 6 Colorful Accent 6" w:uiPriority="51"/>
    <w:lsdException w:name="Table List 7" w:semiHidden="1" w:unhideWhenUsed="1"/>
    <w:lsdException w:name="Grid Table 3 Accent 6" w:uiPriority="48"/>
    <w:lsdException w:name="Colorful Shading Accent 3" w:uiPriority="71"/>
    <w:lsdException w:name="Hashtag" w:uiPriority="99" w:semiHidden="1" w:unhideWhenUsed="1"/>
    <w:lsdException w:name="Grid Table 7 Colorful Accent 3" w:uiPriority="52"/>
    <w:lsdException w:name="Light Grid" w:uiPriority="62"/>
    <w:lsdException w:name="Table Colorful 2" w:semiHidden="1" w:unhideWhenUsed="1"/>
    <w:lsdException w:name="Medium Grid 3" w:uiPriority="69"/>
    <w:lsdException w:name="Colorful Grid Accent 6" w:uiPriority="73"/>
    <w:lsdException w:name="Grid Table 7 Colorful Accent 1" w:uiPriority="52"/>
    <w:lsdException w:name="Grid Table 6 Colorful Accent 3" w:uiPriority="51"/>
    <w:lsdException w:name="Subtle Emphasis" w:uiPriority="19" w:qFormat="1"/>
    <w:lsdException w:name="Grid Table 6 Colorful Accent 5" w:uiPriority="51"/>
    <w:lsdException w:name="Light List Accent 4" w:uiPriority="61"/>
    <w:lsdException w:name="Table Classic 4" w:semiHidden="1" w:unhideWhenUsed="1"/>
    <w:lsdException w:name="Grid Table 6 Colorful Accent 1" w:uiPriority="51"/>
    <w:lsdException w:name="Table Grid 8" w:semiHidden="1" w:unhideWhenUsed="1"/>
    <w:lsdException w:name="Colorful List Accent 2" w:uiPriority="72"/>
    <w:lsdException w:name="Grid Table 4" w:uiPriority="49"/>
    <w:lsdException w:name="Table Professional" w:semiHidden="1" w:unhideWhenUsed="1"/>
    <w:lsdException w:name="Plain Table 4" w:uiPriority="44"/>
    <w:lsdException w:name="Default Paragraph Font" w:uiPriority="1" w:semiHidden="1" w:unhideWhenUsed="1"/>
    <w:lsdException w:name="Bibliography" w:uiPriority="37" w:semiHidden="1" w:unhideWhenUsed="1"/>
    <w:lsdException w:name="Light Shading Accent 5" w:uiPriority="60"/>
    <w:lsdException w:name="Grid Table 2 Accent 5" w:uiPriority="47"/>
    <w:lsdException w:name="Plain Table 1" w:uiPriority="41"/>
    <w:lsdException w:name="Table Classic 3" w:semiHidden="1" w:unhideWhenUsed="1"/>
    <w:lsdException w:name="Subtitle" w:qFormat="1"/>
    <w:lsdException w:name="Grid Table 6 Colorful Accent 2" w:uiPriority="51"/>
    <w:lsdException w:name="heading 9" w:unhideWhenUsed="1" w:qFormat="1"/>
    <w:lsdException w:name="Table Colorful 3" w:semiHidden="1" w:unhideWhenUsed="1"/>
    <w:lsdException w:name="List Table 6 Colorful Accent 4" w:uiPriority="51"/>
    <w:lsdException w:name="Light Shading Accent 2" w:uiPriority="60"/>
    <w:lsdException w:name="Grid Table 1 Light Accent 6" w:uiPriority="46"/>
    <w:lsdException w:name="Medium Grid 3 Accent 2" w:uiPriority="69"/>
    <w:lsdException w:name="Table Subtle 2" w:semiHidden="1" w:unhideWhenUsed="1"/>
    <w:lsdException w:name="Medium List 2 Accent 3" w:uiPriority="66"/>
    <w:lsdException w:name="Grid Table 1 Light Accent 2" w:uiPriority="46"/>
    <w:lsdException w:name="Medium Shading 2 Accent 4" w:uiPriority="64"/>
    <w:lsdException w:name="Light List Accent 6" w:uiPriority="61"/>
    <w:lsdException w:name="List Table 3 Accent 3" w:uiPriority="48"/>
    <w:lsdException w:name="Title" w:qFormat="1"/>
    <w:lsdException w:name="List Table 2 Accent 1" w:uiPriority="47"/>
    <w:lsdException w:name="Light Shading" w:uiPriority="60"/>
    <w:lsdException w:name="Medium Shading 1 Accent 2" w:uiPriority="63"/>
    <w:lsdException w:name="Outline List 1" w:uiPriority="99" w:semiHidden="1" w:unhideWhenUsed="1"/>
    <w:lsdException w:name="Smart Hyperlink" w:uiPriority="99" w:semiHidden="1" w:unhideWhenUsed="1"/>
    <w:lsdException w:name="heading 4" w:qFormat="1"/>
    <w:lsdException w:name="List Table 7 Colorful Accent 5" w:uiPriority="52"/>
    <w:lsdException w:name="Grid Table 3 Accent 1" w:uiPriority="48"/>
    <w:lsdException w:name="heading 3" w:qFormat="1"/>
    <w:lsdException w:name="No Spacing" w:uiPriority="99"/>
    <w:lsdException w:name="Grid Table 1 Light Accent 4" w:uiPriority="46"/>
    <w:lsdException w:name="Grid Table 6 Colorful Accent 4" w:uiPriority="51"/>
    <w:lsdException w:name="Table 3D effects 3" w:semiHidden="1" w:unhideWhenUsed="1"/>
    <w:lsdException w:name="List Table 5 Dark Accent 1" w:uiPriority="50"/>
    <w:lsdException w:name="Medium Shading 2 Accent 1" w:uiPriority="64"/>
    <w:lsdException w:name="Grid Table 4 Accent 3" w:uiPriority="49"/>
    <w:lsdException w:name="List Table 2 Accent 4" w:uiPriority="47"/>
    <w:lsdException w:name="Table List 4" w:semiHidden="1" w:unhideWhenUsed="1"/>
    <w:lsdException w:name="Table List 1" w:semiHidden="1" w:unhideWhenUsed="1"/>
    <w:lsdException w:name="Medium Shading 2 Accent 6" w:uiPriority="64"/>
    <w:lsdException w:name="Medium List 2 Accent 4" w:uiPriority="66"/>
    <w:lsdException w:name="List Table 4 Accent 4" w:uiPriority="49"/>
    <w:lsdException w:name="Subtle Reference" w:uiPriority="31" w:qFormat="1"/>
    <w:lsdException w:name="Light List Accent 5" w:uiPriority="61"/>
    <w:lsdException w:name="Grid Table 4 Accent 2" w:uiPriority="49"/>
    <w:lsdException w:name="List Table 1 Light Accent 6" w:uiPriority="46"/>
    <w:lsdException w:name="Medium List 1" w:uiPriority="65"/>
    <w:lsdException w:name="Medium Grid 2 Accent 1" w:uiPriority="68"/>
    <w:lsdException w:name="toc 6" w:uiPriority="99"/>
    <w:lsdException w:name="Strong" w:qFormat="1"/>
    <w:lsdException w:name="Medium Shading 1 Accent 5" w:uiPriority="63"/>
    <w:lsdException w:name="List Table 3 Accent 1" w:uiPriority="48"/>
    <w:lsdException w:name="List Table 7 Colorful Accent 3" w:uiPriority="52"/>
    <w:lsdException w:name="Table Contemporary" w:semiHidden="1" w:unhideWhenUsed="1"/>
    <w:lsdException w:name="List Table 4 Accent 3" w:uiPriority="49"/>
    <w:lsdException w:name="toc 9" w:uiPriority="99"/>
    <w:lsdException w:name="Plain Table 5" w:uiPriority="45"/>
    <w:lsdException w:name="Grid Table 4 Accent 6" w:uiPriority="49"/>
    <w:lsdException w:name="Light List Accent 1" w:uiPriority="61"/>
    <w:lsdException w:name="List Table 1 Light Accent 2" w:uiPriority="46"/>
    <w:lsdException w:name="Book Title" w:uiPriority="33" w:qFormat="1"/>
    <w:lsdException w:name="Medium Grid 1 Accent 6" w:uiPriority="67"/>
    <w:lsdException w:name="Grid Table 2 Accent 4" w:uiPriority="47"/>
    <w:lsdException w:name="Table Grid" w:qFormat="1"/>
    <w:lsdException w:name="List Table 4 Accent 1" w:uiPriority="49"/>
    <w:lsdException w:name="Medium List 1 Accent 1" w:uiPriority="65"/>
    <w:lsdException w:name="Table Subtle 1" w:semiHidden="1" w:unhideWhenUsed="1"/>
    <w:lsdException w:name="List Table 4 Accent 5" w:uiPriority="49"/>
    <w:lsdException w:name="Medium Shading 2 Accent 5" w:uiPriority="64"/>
    <w:lsdException w:name="Colorful Grid Accent 2" w:uiPriority="73"/>
    <w:lsdException w:name="Table Simple 2" w:semiHidden="1" w:unhideWhenUsed="1"/>
    <w:lsdException w:name="Dark List Accent 6" w:uiPriority="70"/>
    <w:lsdException w:name="HTML Top of Form" w:uiPriority="99" w:semiHidden="1" w:unhideWhenUsed="1"/>
    <w:lsdException w:name="Grid Table 5 Dark Accent 5" w:uiPriority="50"/>
    <w:lsdException w:name="toc 8" w:uiPriority="99"/>
    <w:lsdException w:name="List Table 5 Dark Accent 3" w:uiPriority="50"/>
    <w:lsdException w:name="Table Grid 3" w:semiHidden="1" w:unhideWhenUsed="1"/>
    <w:lsdException w:name="Dark List Accent 3" w:uiPriority="70"/>
    <w:lsdException w:name="Unresolved Mention" w:uiPriority="99" w:semiHidden="1" w:unhideWhenUsed="1"/>
    <w:lsdException w:name="Grid Table 4 Accent 4" w:uiPriority="49"/>
    <w:lsdException w:name="Colorful Grid Accent 1" w:uiPriority="73"/>
    <w:lsdException w:name="Grid Table 2 Accent 6" w:uiPriority="47"/>
    <w:lsdException w:name="Mention" w:uiPriority="99" w:semiHidden="1" w:unhideWhenUsed="1"/>
    <w:lsdException w:name="Light List" w:uiPriority="61"/>
    <w:lsdException w:name="Table Colorful 1" w:semiHidden="1" w:unhideWhenUsed="1"/>
    <w:lsdException w:name="Table Web 2" w:semiHidden="1" w:unhideWhenUsed="1"/>
    <w:lsdException w:name="List Table 1 Light" w:uiPriority="46"/>
    <w:lsdException w:name="Medium Shading 1 Accent 3" w:uiPriority="63"/>
    <w:lsdException w:name="Colorful Shading Accent 5" w:uiPriority="71"/>
    <w:lsdException w:name="List Table 5 Dark Accent 5" w:uiPriority="50"/>
    <w:lsdException w:name="Outline List 3" w:uiPriority="99" w:semiHidden="1" w:unhideWhenUsed="1"/>
    <w:lsdException w:name="Medium Shading 1" w:uiPriority="63"/>
    <w:lsdException w:name="Quote" w:uiPriority="99"/>
    <w:lsdException w:name="Grid Table 7 Colorful Accent 6" w:uiPriority="52"/>
    <w:lsdException w:name="Colorful Grid Accent 3" w:uiPriority="73"/>
    <w:lsdException w:name="Medium Grid 3 Accent 6" w:uiPriority="69"/>
    <w:lsdException w:name="Medium Shading 2" w:uiPriority="64"/>
    <w:lsdException w:name="Table Classic 1" w:semiHidden="1" w:unhideWhenUsed="1"/>
    <w:lsdException w:name="List Table 6 Colorful Accent 5" w:uiPriority="51"/>
    <w:lsdException w:name="Grid Table 2 Accent 3" w:uiPriority="47"/>
    <w:lsdException w:name="Medium List 1 Accent 2" w:uiPriority="65"/>
    <w:lsdException w:name="Medium Shading 2 Accent 2" w:uiPriority="64"/>
    <w:lsdException w:name="Light Shading Accent 3" w:uiPriority="60"/>
    <w:lsdException w:name="Grid Table 3 Accent 5" w:uiPriority="48"/>
    <w:lsdException w:name="Medium Grid 2 Accent 6" w:uiPriority="68"/>
    <w:lsdException w:name="heading 6" w:qFormat="1"/>
    <w:lsdException w:name="List Table 6 Colorful Accent 3" w:uiPriority="51"/>
    <w:lsdException w:name="List Table 2 Accent 3" w:uiPriority="47"/>
    <w:lsdException w:name="toc 3" w:uiPriority="99"/>
    <w:lsdException w:name="Revision" w:uiPriority="99" w:semiHidden="1"/>
    <w:lsdException w:name="Table List 6" w:semiHidden="1" w:unhideWhenUsed="1"/>
    <w:lsdException w:name="HTML Keyboard" w:uiPriority="99"/>
    <w:lsdException w:name="caption" w:semiHidden="1" w:unhideWhenUsed="1" w:qFormat="1"/>
    <w:lsdException w:name="Colorful Grid Accent 4" w:uiPriority="73"/>
    <w:lsdException w:name="Medium Grid 2" w:uiPriority="68"/>
    <w:lsdException w:name="Grid Table 4 Accent 5" w:uiPriority="49"/>
    <w:lsdException w:name="toc 2" w:uiPriority="99"/>
    <w:lsdException w:name="toc 5" w:uiPriority="99"/>
    <w:lsdException w:name="Table List 3" w:semiHidden="1" w:unhideWhenUsed="1"/>
    <w:lsdException w:name="Medium List 2 Accent 2" w:uiPriority="66"/>
    <w:lsdException w:name="HTML Code" w:uiPriority="99"/>
    <w:lsdException w:name="Table Columns 1" w:semiHidden="1" w:unhideWhenUsed="1"/>
    <w:lsdException w:name="HTML Preformatted" w:uiPriority="99"/>
    <w:lsdException w:name="Intense Emphasis" w:uiPriority="21" w:qFormat="1"/>
    <w:lsdException w:name="Colorful Shading Accent 4" w:uiPriority="71"/>
    <w:lsdException w:name="Medium Shading 1 Accent 6" w:uiPriority="63"/>
    <w:lsdException w:name="Light Grid Accent 4" w:uiPriority="62"/>
    <w:lsdException w:name="Medium Grid 1 Accent 4" w:uiPriority="67"/>
    <w:lsdException w:name="Medium Shading 2 Accent 3" w:uiPriority="64"/>
    <w:lsdException w:name="Colorful Grid" w:uiPriority="73"/>
    <w:lsdException w:name="Grid Table 7 Colorful Accent 2" w:uiPriority="52"/>
    <w:lsdException w:name="Medium Grid 1" w:uiPriority="67"/>
    <w:lsdException w:name="List Table 2 Accent 5" w:uiPriority="47"/>
    <w:lsdException w:name="Medium List 1 Accent 4" w:uiPriority="65"/>
    <w:lsdException w:name="Medium List 1 Accent 3" w:uiPriority="65"/>
    <w:lsdException w:name="Table Web 3" w:semiHidden="1" w:unhideWhenUsed="1"/>
    <w:lsdException w:name="Grid Table 5 Dark Accent 1" w:uiPriority="50"/>
    <w:lsdException w:name="Medium Grid 2 Accent 4" w:uiPriority="68"/>
    <w:lsdException w:name="List Table 4" w:uiPriority="49"/>
    <w:lsdException w:name="Plain Table 3" w:uiPriority="43"/>
    <w:lsdException w:name="Grid Table 2" w:uiPriority="47"/>
    <w:lsdException w:name="Smart Link" w:uiPriority="99" w:semiHidden="1" w:unhideWhenUsed="1"/>
    <w:lsdException w:name="List Table 3" w:uiPriority="48"/>
    <w:lsdException w:name="Colorful Shading Accent 1" w:uiPriority="71"/>
    <w:lsdException w:name="List Table 7 Colorful Accent 1" w:uiPriority="52"/>
    <w:lsdException w:name="TOC Heading" w:uiPriority="39" w:semiHidden="1" w:unhideWhenUsed="1" w:qFormat="1"/>
    <w:lsdException w:name="heading 1" w:qFormat="1"/>
    <w:lsdException w:name="List Table 5 Dark Accent 4" w:uiPriority="50"/>
    <w:lsdException w:name="Dark List" w:uiPriority="70"/>
    <w:lsdException w:name="Grid Table 3 Accent 4" w:uiPriority="48"/>
    <w:lsdException w:name="List Table 7 Colorful Accent 2" w:uiPriority="52"/>
    <w:lsdException w:name="Grid Table 2 Accent 1" w:uiPriority="47"/>
    <w:lsdException w:name="Grid Table 5 Dark Accent 6" w:uiPriority="50"/>
    <w:lsdException w:name="List Table 6 Colorful Accent 2" w:uiPriority="51"/>
    <w:lsdException w:name="List Table 7 Colorful" w:uiPriority="52"/>
    <w:lsdException w:name="Grid Table 6 Colorful" w:uiPriority="51"/>
    <w:lsdException w:name="List Table 5 Dark" w:uiPriority="50"/>
    <w:lsdException w:name="Table Theme" w:semiHidden="1" w:unhideWhenUsed="1"/>
    <w:lsdException w:name="Table List 5" w:semiHidden="1" w:unhideWhenUsed="1"/>
    <w:lsdException w:name="List Table 3 Accent 4" w:uiPriority="48"/>
    <w:lsdException w:name="footnote reference" w:uiPriority="99" w:semiHidden="1" w:unhideWhenUsed="1"/>
    <w:lsdException w:name="Grid Table 1 Light" w:uiPriority="46"/>
    <w:lsdException w:name="List Table 1 Light Accent 5" w:uiPriority="46"/>
    <w:lsdException w:name="Table Columns 4" w:semiHidden="1" w:unhideWhenUsed="1"/>
    <w:lsdException w:name="No List" w:uiPriority="99" w:semiHidden="1" w:unhideWhenUsed="1"/>
    <w:lsdException w:name="List Table 5 Dark Accent 2" w:uiPriority="50"/>
    <w:lsdException w:name="Medium List 2" w:uiPriority="66"/>
    <w:lsdException w:name="Light List Accent 3" w:uiPriority="61"/>
    <w:lsdException w:name="Grid Table 1 Light Accent 1" w:uiPriority="46"/>
    <w:lsdException w:name="heading 7" w:unhideWhenUsed="1" w:qFormat="1"/>
    <w:lsdException w:name="Medium Grid 3 Accent 3" w:uiPriority="69"/>
    <w:lsdException w:name="Medium List 2 Accent 5" w:uiPriority="66"/>
    <w:lsdException w:name="Grid Table 5 Dark" w:uiPriority="50"/>
    <w:lsdException w:name="Plain Table 2" w:uiPriority="42"/>
    <w:lsdException w:name="Grid Table 4 Accent 1" w:uiPriority="49"/>
    <w:lsdException w:name="heading 8" w:unhideWhenUsed="1" w:qFormat="1"/>
    <w:lsdException w:name="Table Grid 6" w:semiHidden="1" w:unhideWhenUsed="1"/>
    <w:lsdException w:name="List Table 7 Colorful Accent 6" w:uiPriority="52"/>
    <w:lsdException w:name="Grid Table 1 Light Accent 5" w:uiPriority="46"/>
    <w:lsdException w:name="List Table 5 Dark Accent 6" w:uiPriority="50"/>
    <w:lsdException w:name="Table Grid 4" w:semiHidden="1" w:unhideWhenUsed="1"/>
    <w:lsdException w:name="HTML Bottom of Form" w:uiPriority="99" w:semiHidden="1" w:unhideWhenUsed="1"/>
    <w:lsdException w:name="Grid Table 2 Accent 2" w:uiPriority="47"/>
    <w:lsdException w:name="Table Columns 5" w:semiHidden="1" w:unhideWhenUsed="1"/>
    <w:lsdException w:name="toc 1" w:uiPriority="99"/>
    <w:lsdException w:name="Grid Table Light" w:uiPriority="40"/>
    <w:lsdException w:name="Light Shading Accent 1" w:uiPriority="60"/>
    <w:lsdException w:name="Grid Table 7 Colorful Accent 4" w:uiPriority="52"/>
    <w:lsdException w:name="Colorful Shading Accent 6" w:uiPriority="71"/>
    <w:lsdException w:name="heading 2" w:qFormat="1"/>
    <w:lsdException w:name="Table Elegant" w:semiHidden="1" w:unhideWhenUsed="1"/>
    <w:lsdException w:name="Medium Grid 3 Accent 5" w:uiPriority="69"/>
    <w:lsdException w:name="Emphasis" w:qFormat="1"/>
    <w:lsdException w:name="HTML Definition" w:uiPriority="99"/>
    <w:lsdException w:name="Normal Table" w:uiPriority="99" w:semiHidden="1" w:unhideWhenUsed="1"/>
    <w:lsdException w:name="Grid Table 5 Dark Accent 2" w:uiPriority="50"/>
    <w:lsdException w:name="HTML Variable" w:uiPriority="99"/>
    <w:lsdException w:name="Table 3D effects 2" w:semiHidden="1" w:unhideWhenUsed="1"/>
    <w:lsdException w:name="Grid Table 5 Dark Accent 4" w:uiPriority="50"/>
    <w:lsdException w:name="Intense Quote" w:uiPriority="99"/>
    <w:lsdException w:name="Table Grid 2" w:semiHidden="1" w:unhideWhenUsed="1"/>
    <w:lsdException w:name="Dark List Accent 5" w:uiPriority="70"/>
    <w:lsdException w:name="Table Web 1" w:semiHidden="1" w:unhideWhenUsed="1"/>
    <w:lsdException w:name="Colorful List Accent 5" w:uiPriority="72"/>
  </w:latentStyles>
  <w:style w:type="paragraph" w:styleId="000005">
    <w:name w:val="heading 4"/>
    <w:basedOn w:val="000001"/>
    <w:next w:val="000001"/>
    <w:qFormat w:val="1"/>
    <w:pPr>
      <w:keepNext w:val="1"/>
      <w:keepLines w:val="1"/>
      <w:outlineLvl w:val="3"/>
    </w:pPr>
    <w:rPr>
      <w:b w:val="1"/>
      <w:sz w:val="24"/>
    </w:rPr>
  </w:style>
  <w:style w:type="character" w:styleId="00000b" w:default="1">
    <w:name w:val="Default Paragraph Font"/>
    <w:uiPriority w:val="1"/>
    <w:semiHidden w:val="1"/>
    <w:unhideWhenUsed w:val="1"/>
  </w:style>
  <w:style w:type="paragraph" w:styleId="000007">
    <w:name w:val="heading 6"/>
    <w:basedOn w:val="000001"/>
    <w:next w:val="000001"/>
    <w:qFormat w:val="1"/>
    <w:pPr>
      <w:keepNext w:val="1"/>
      <w:keepLines w:val="1"/>
      <w:spacing w:line="480" w:lineRule="auto"/>
      <w:outlineLvl w:val="5"/>
    </w:pPr>
    <w:rPr>
      <w:b w:val="1"/>
    </w:rPr>
  </w:style>
  <w:style w:type="paragraph" w:styleId="000006">
    <w:name w:val="heading 5"/>
    <w:basedOn w:val="000001"/>
    <w:next w:val="000001"/>
    <w:qFormat w:val="1"/>
    <w:pPr>
      <w:keepNext w:val="1"/>
      <w:keepLines w:val="1"/>
      <w:spacing w:line="480" w:lineRule="auto"/>
      <w:outlineLvl w:val="4"/>
    </w:pPr>
    <w:rPr>
      <w:b w:val="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e">
    <w:name w:val="toc 8"/>
    <w:basedOn w:val="000001"/>
    <w:next w:val="000001"/>
    <w:autoRedefine w:val="1"/>
    <w:uiPriority w:val="99"/>
    <w:pPr>
      <w:ind w:left="2940" w:leftChars="1400"/>
    </w:p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character" w:styleId="000017" w:customStyle="1">
    <w:name w:val="melo-codeblock-Base-theme-char"/>
    <w:uiPriority w:val="99"/>
    <w:rPr>
      <w:rFonts w:ascii="Monaco" w:hAnsi="Monaco" w:eastAsia="Monaco" w:cs="Monaco"/>
      <w:color w:val="000000"/>
      <w:sz w:val="21"/>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4">
    <w:name w:val="heading 3"/>
    <w:basedOn w:val="000001"/>
    <w:next w:val="000001"/>
    <w:qFormat w:val="1"/>
    <w:pPr>
      <w:keepNext w:val="1"/>
      <w:keepLines w:val="1"/>
      <w:outlineLvl w:val="2"/>
    </w:pPr>
    <w:rPr>
      <w:b w:val="1"/>
      <w:sz w:val="28"/>
    </w:rPr>
  </w:style>
  <w:style w:type="paragraph" w:styleId="000002">
    <w:name w:val="heading 1"/>
    <w:basedOn w:val="000001"/>
    <w:next w:val="000001"/>
    <w:qFormat w:val="1"/>
    <w:pPr>
      <w:keepNext w:val="1"/>
      <w:keepLines w:val="1"/>
      <w:outlineLvl w:val="0"/>
    </w:pPr>
    <w:rPr>
      <w:b w:val="1"/>
      <w:kern w:val="44"/>
      <w:sz w:val="36"/>
    </w:rPr>
  </w:style>
  <w:style w:type="paragraph" w:styleId="000001" w:default="1">
    <w:name w:val="Normal"/>
    <w:qFormat w:val="1"/>
    <w:pPr>
      <w:widowControl w:val="0"/>
      <w:spacing w:before="60" w:after="60"/>
      <w:jc w:val="both"/>
    </w:pPr>
    <w:rPr>
      <w:color w:val="333333"/>
      <w:kern w:val="2"/>
      <w:sz w:val="22"/>
      <w:szCs w:val="24"/>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a">
    <w:name w:val="heading 9"/>
    <w:basedOn w:val="000001"/>
    <w:next w:val="000001"/>
    <w:unhideWhenUsed w:val="1"/>
    <w:qFormat w:val="1"/>
    <w:pPr>
      <w:keepNext w:val="1"/>
      <w:keepLines w:val="1"/>
      <w:spacing w:line="480" w:lineRule="auto"/>
      <w:outlineLvl w:val="8"/>
    </w:pPr>
    <w:rPr>
      <w:b w:val="1"/>
    </w:rPr>
  </w:style>
  <w:style w:type="character" w:styleId="000016">
    <w:name w:val="Hyperlink"/>
    <w:basedOn w:val="00000b"/>
    <w:rPr>
      <w:color w:val="1E6FFF"/>
      <w:u w:val="single"/>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f">
    <w:name w:val="footer"/>
    <w:basedOn w:val="000001"/>
    <w:pPr>
      <w:tabs>
        <w:tab w:val="center" w:pos="4153"/>
        <w:tab w:val="right" w:pos="8306"/>
      </w:tabs>
      <w:snapToGrid w:val="0"/>
      <w:jc w:val="center"/>
    </w:pPr>
    <w:rPr>
      <w:sz w:val="18"/>
      <w:szCs w:val="18"/>
    </w:rPr>
  </w:style>
  <w:style w:type="paragraph" w:styleId="000003">
    <w:name w:val="heading 2"/>
    <w:basedOn w:val="000001"/>
    <w:next w:val="000001"/>
    <w:qFormat w:val="1"/>
    <w:pPr>
      <w:keepNext w:val="1"/>
      <w:keepLines w:val="1"/>
      <w:outlineLvl w:val="1"/>
    </w:pPr>
    <w:rPr>
      <w:b w:val="1"/>
      <w:sz w:val="32"/>
    </w:rPr>
  </w:style>
  <w:style w:type="paragraph" w:styleId="000013">
    <w:name w:val="Title"/>
    <w:basedOn w:val="000001"/>
    <w:next w:val="000001"/>
    <w:link w:val="000014"/>
    <w:qFormat w:val="1"/>
    <w:pPr>
      <w:jc w:val="center"/>
      <w:outlineLvl w:val="0"/>
    </w:pPr>
    <w:rPr>
      <w:rFonts w:cstheme="majorBidi"/>
      <w:b w:val="1"/>
      <w:bCs w:val="1"/>
      <w:sz w:val="48"/>
      <w:szCs w:val="32"/>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numbering" w:styleId="00000d" w:default="1">
    <w:name w:val="No List"/>
    <w:uiPriority w:val="99"/>
    <w:semiHidden w:val="1"/>
    <w:unhideWhenUsed w:val="1"/>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2026-03-20T15:35:24Z</dcterms:created>
  <dcterms:modified xsi:type="dcterms:W3CDTF">2026-03-20T15:35:24Z</dcterms:modified>
</cp:coreProperties>
</file>