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right="-315" w:rightChars="-150"/>
        <w:jc w:val="center"/>
        <w:outlineLvl w:val="0"/>
        <w:rPr>
          <w:rFonts w:ascii="黑体" w:hAnsi="黑体" w:eastAsia="黑体" w:cs="黑体"/>
          <w:b/>
          <w:bCs/>
          <w:sz w:val="32"/>
          <w:szCs w:val="32"/>
        </w:rPr>
      </w:pPr>
      <w:r>
        <w:rPr>
          <w:rFonts w:hint="eastAsia" w:ascii="黑体" w:hAnsi="黑体" w:eastAsia="黑体" w:cs="黑体"/>
          <w:b/>
          <w:bCs/>
          <w:sz w:val="32"/>
          <w:szCs w:val="32"/>
        </w:rPr>
        <w:t>数学与统计学院推荐优秀本科生</w:t>
      </w:r>
    </w:p>
    <w:p>
      <w:pPr>
        <w:ind w:right="-315" w:rightChars="-150"/>
        <w:jc w:val="center"/>
        <w:outlineLvl w:val="0"/>
        <w:rPr>
          <w:rFonts w:ascii="黑体" w:hAnsi="黑体" w:eastAsia="黑体" w:cs="黑体"/>
          <w:b/>
          <w:bCs/>
          <w:sz w:val="32"/>
          <w:szCs w:val="32"/>
        </w:rPr>
      </w:pPr>
      <w:r>
        <w:rPr>
          <w:rFonts w:hint="eastAsia" w:ascii="黑体" w:hAnsi="黑体" w:eastAsia="黑体" w:cs="黑体"/>
          <w:b/>
          <w:bCs/>
          <w:sz w:val="32"/>
          <w:szCs w:val="32"/>
        </w:rPr>
        <w:t>免试攻读硕士学位研究生评分细则</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根据《武汉大学推荐优秀应届本科毕业生免试攻读硕士学位研究生工作管理办法》（武大本字【2021】13号）和《武汉大学推荐优秀2024届本科毕业生免试攻读硕士学位研究生综合素质测评及活动加分指导意见》（武大本函【2022】207号）的相关精神和要求，制定数学与统计学院推荐免试攻读硕士学位研究生评分细则。</w:t>
      </w:r>
    </w:p>
    <w:p>
      <w:pPr>
        <w:spacing w:line="640" w:lineRule="exact"/>
        <w:ind w:firstLine="562" w:firstLineChars="200"/>
        <w:rPr>
          <w:rFonts w:ascii="仿宋" w:hAnsi="仿宋" w:eastAsia="仿宋" w:cs="仿宋"/>
          <w:b/>
          <w:sz w:val="28"/>
          <w:szCs w:val="28"/>
        </w:rPr>
      </w:pPr>
      <w:r>
        <w:rPr>
          <w:rFonts w:hint="eastAsia" w:ascii="仿宋" w:hAnsi="仿宋" w:eastAsia="仿宋" w:cs="仿宋"/>
          <w:b/>
          <w:sz w:val="28"/>
          <w:szCs w:val="28"/>
        </w:rPr>
        <w:t>一、综合素质测评</w:t>
      </w:r>
    </w:p>
    <w:p>
      <w:pPr>
        <w:pStyle w:val="11"/>
        <w:spacing w:afterLines="50" w:line="360" w:lineRule="auto"/>
        <w:ind w:firstLine="560"/>
        <w:rPr>
          <w:rFonts w:ascii="仿宋" w:hAnsi="仿宋" w:eastAsia="仿宋" w:cs="仿宋"/>
          <w:sz w:val="28"/>
          <w:szCs w:val="28"/>
        </w:rPr>
      </w:pPr>
      <w:r>
        <w:rPr>
          <w:rFonts w:hint="eastAsia" w:ascii="仿宋" w:hAnsi="仿宋" w:eastAsia="仿宋" w:cs="仿宋"/>
          <w:sz w:val="28"/>
          <w:szCs w:val="28"/>
        </w:rPr>
        <w:t>坚持德智体美劳全面衡量，以德为先，把学生思想品德考核作为推免生遴选的首要依据，思想品德考核依据《武汉大学推免综合素质评分表》进行评分，满分为</w:t>
      </w:r>
      <w:r>
        <w:rPr>
          <w:rFonts w:ascii="仿宋" w:hAnsi="仿宋" w:eastAsia="仿宋" w:cs="仿宋"/>
          <w:sz w:val="28"/>
          <w:szCs w:val="28"/>
        </w:rPr>
        <w:t>100</w:t>
      </w:r>
      <w:r>
        <w:rPr>
          <w:rFonts w:hint="eastAsia" w:ascii="仿宋" w:hAnsi="仿宋" w:eastAsia="仿宋" w:cs="仿宋"/>
          <w:sz w:val="28"/>
          <w:szCs w:val="28"/>
        </w:rPr>
        <w:t>分，得分之和低于</w:t>
      </w:r>
      <w:r>
        <w:rPr>
          <w:rFonts w:ascii="仿宋" w:hAnsi="仿宋" w:eastAsia="仿宋" w:cs="仿宋"/>
          <w:sz w:val="28"/>
          <w:szCs w:val="28"/>
        </w:rPr>
        <w:t>60</w:t>
      </w:r>
      <w:r>
        <w:rPr>
          <w:rFonts w:hint="eastAsia" w:ascii="仿宋" w:hAnsi="仿宋" w:eastAsia="仿宋" w:cs="仿宋"/>
          <w:sz w:val="28"/>
          <w:szCs w:val="28"/>
        </w:rPr>
        <w:t>分或单个计分项得分低于该项满分6</w:t>
      </w:r>
      <w:r>
        <w:rPr>
          <w:rFonts w:ascii="仿宋" w:hAnsi="仿宋" w:eastAsia="仿宋" w:cs="仿宋"/>
          <w:sz w:val="28"/>
          <w:szCs w:val="28"/>
        </w:rPr>
        <w:t>0</w:t>
      </w:r>
      <w:r>
        <w:rPr>
          <w:rFonts w:hint="eastAsia" w:ascii="仿宋" w:hAnsi="仿宋" w:eastAsia="仿宋" w:cs="仿宋"/>
          <w:sz w:val="28"/>
          <w:szCs w:val="28"/>
        </w:rPr>
        <w:t>%的学生不能获得推免资格。</w:t>
      </w:r>
    </w:p>
    <w:tbl>
      <w:tblPr>
        <w:tblStyle w:val="6"/>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6"/>
        <w:gridCol w:w="6475"/>
        <w:gridCol w:w="9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8500" w:type="dxa"/>
            <w:gridSpan w:val="3"/>
            <w:noWrap/>
            <w:vAlign w:val="center"/>
          </w:tcPr>
          <w:p>
            <w:pPr>
              <w:jc w:val="center"/>
              <w:rPr>
                <w:rFonts w:ascii="仿宋" w:hAnsi="仿宋" w:eastAsia="仿宋" w:cs="仿宋"/>
                <w:b/>
                <w:bCs/>
                <w:sz w:val="28"/>
                <w:szCs w:val="28"/>
              </w:rPr>
            </w:pPr>
            <w:r>
              <w:rPr>
                <w:rFonts w:hint="eastAsia" w:ascii="仿宋" w:hAnsi="仿宋" w:eastAsia="仿宋" w:cs="仿宋"/>
                <w:b/>
                <w:bCs/>
                <w:sz w:val="28"/>
                <w:szCs w:val="28"/>
              </w:rPr>
              <w:t>武汉大学推免综合素质评分表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66" w:type="dxa"/>
            <w:noWrap/>
            <w:vAlign w:val="center"/>
          </w:tcPr>
          <w:p>
            <w:pPr>
              <w:pStyle w:val="11"/>
              <w:ind w:firstLine="0" w:firstLineChars="0"/>
              <w:rPr>
                <w:rFonts w:ascii="仿宋" w:hAnsi="仿宋" w:eastAsia="仿宋" w:cs="仿宋"/>
                <w:b/>
                <w:bCs/>
                <w:sz w:val="28"/>
                <w:szCs w:val="28"/>
              </w:rPr>
            </w:pPr>
            <w:r>
              <w:rPr>
                <w:rFonts w:hint="eastAsia" w:ascii="仿宋" w:hAnsi="仿宋" w:eastAsia="仿宋" w:cs="仿宋"/>
                <w:b/>
                <w:bCs/>
                <w:sz w:val="28"/>
                <w:szCs w:val="28"/>
              </w:rPr>
              <w:t>计分项</w:t>
            </w:r>
          </w:p>
        </w:tc>
        <w:tc>
          <w:tcPr>
            <w:tcW w:w="6475" w:type="dxa"/>
            <w:noWrap/>
            <w:vAlign w:val="center"/>
          </w:tcPr>
          <w:p>
            <w:pPr>
              <w:jc w:val="center"/>
              <w:rPr>
                <w:rFonts w:ascii="仿宋" w:hAnsi="仿宋" w:eastAsia="仿宋" w:cs="仿宋"/>
                <w:b/>
                <w:bCs/>
                <w:sz w:val="28"/>
                <w:szCs w:val="28"/>
              </w:rPr>
            </w:pPr>
            <w:r>
              <w:rPr>
                <w:rFonts w:hint="eastAsia" w:ascii="仿宋" w:hAnsi="仿宋" w:eastAsia="仿宋" w:cs="仿宋"/>
                <w:b/>
                <w:bCs/>
                <w:sz w:val="28"/>
                <w:szCs w:val="28"/>
              </w:rPr>
              <w:t>内容</w:t>
            </w:r>
          </w:p>
        </w:tc>
        <w:tc>
          <w:tcPr>
            <w:tcW w:w="959" w:type="dxa"/>
            <w:noWrap/>
            <w:vAlign w:val="center"/>
          </w:tcPr>
          <w:p>
            <w:pPr>
              <w:pStyle w:val="11"/>
              <w:ind w:firstLine="0" w:firstLineChars="0"/>
              <w:rPr>
                <w:rFonts w:ascii="仿宋" w:hAnsi="仿宋" w:eastAsia="仿宋" w:cs="仿宋"/>
                <w:b/>
                <w:bCs/>
                <w:sz w:val="28"/>
                <w:szCs w:val="28"/>
              </w:rPr>
            </w:pPr>
            <w:r>
              <w:rPr>
                <w:rFonts w:hint="eastAsia" w:ascii="仿宋" w:hAnsi="仿宋" w:eastAsia="仿宋" w:cs="仿宋"/>
                <w:b/>
                <w:bCs/>
                <w:sz w:val="28"/>
                <w:szCs w:val="28"/>
              </w:rPr>
              <w:t>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8" w:hRule="atLeast"/>
          <w:jc w:val="center"/>
        </w:trPr>
        <w:tc>
          <w:tcPr>
            <w:tcW w:w="1066" w:type="dxa"/>
            <w:noWrap/>
            <w:vAlign w:val="center"/>
          </w:tcPr>
          <w:p>
            <w:pPr>
              <w:pStyle w:val="11"/>
              <w:ind w:firstLine="0" w:firstLineChars="0"/>
              <w:jc w:val="center"/>
              <w:rPr>
                <w:rFonts w:ascii="仿宋" w:hAnsi="仿宋" w:eastAsia="仿宋" w:cs="仿宋"/>
                <w:sz w:val="24"/>
                <w:szCs w:val="24"/>
              </w:rPr>
            </w:pPr>
            <w:r>
              <w:rPr>
                <w:rFonts w:hint="eastAsia" w:ascii="仿宋" w:hAnsi="仿宋" w:eastAsia="仿宋" w:cs="仿宋"/>
                <w:sz w:val="24"/>
                <w:szCs w:val="24"/>
              </w:rPr>
              <w:t>德</w:t>
            </w:r>
          </w:p>
        </w:tc>
        <w:tc>
          <w:tcPr>
            <w:tcW w:w="6475" w:type="dxa"/>
            <w:vAlign w:val="center"/>
          </w:tcPr>
          <w:p>
            <w:pPr>
              <w:pStyle w:val="11"/>
              <w:spacing w:line="460" w:lineRule="exact"/>
              <w:ind w:firstLine="560"/>
              <w:jc w:val="left"/>
              <w:rPr>
                <w:rFonts w:ascii="仿宋" w:hAnsi="仿宋" w:eastAsia="仿宋" w:cs="仿宋"/>
                <w:sz w:val="24"/>
                <w:szCs w:val="24"/>
              </w:rPr>
            </w:pPr>
            <w:r>
              <w:rPr>
                <w:rFonts w:hint="eastAsia" w:ascii="仿宋" w:hAnsi="仿宋" w:eastAsia="仿宋" w:cs="仿宋"/>
                <w:kern w:val="0"/>
                <w:sz w:val="28"/>
                <w:szCs w:val="28"/>
              </w:rPr>
              <w:t>拥护中国共产党领导，努力学习马克思列宁主义、毛泽东思想、中国特色社会主义理论体系，坚定中国特色社会主义道路自信、理论自信、制度自信、文化自信，积极参加各项政治理论学习和活动；有爱党爱国、爱好和平、勤劳勇敢、自强不息的精神和爱国主义思想；有良好的道德品质、行为习惯；有较强的法治观念，遵守宪法和法律、法规，遵守公民道德规范、学校章程和规章制度。</w:t>
            </w:r>
          </w:p>
        </w:tc>
        <w:tc>
          <w:tcPr>
            <w:tcW w:w="959" w:type="dxa"/>
            <w:noWrap/>
            <w:vAlign w:val="center"/>
          </w:tcPr>
          <w:p>
            <w:pPr>
              <w:pStyle w:val="11"/>
              <w:ind w:firstLine="0" w:firstLineChars="0"/>
              <w:jc w:val="center"/>
              <w:rPr>
                <w:rFonts w:ascii="仿宋" w:hAnsi="仿宋" w:eastAsia="仿宋" w:cs="仿宋"/>
                <w:sz w:val="24"/>
                <w:szCs w:val="24"/>
              </w:rPr>
            </w:pPr>
            <w:r>
              <w:rPr>
                <w:rFonts w:hint="eastAsia" w:ascii="仿宋" w:hAnsi="仿宋" w:eastAsia="仿宋" w:cs="仿宋"/>
                <w:sz w:val="24"/>
                <w:szCs w:val="24"/>
              </w:rPr>
              <w:t>40分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2" w:hRule="atLeast"/>
          <w:jc w:val="center"/>
        </w:trPr>
        <w:tc>
          <w:tcPr>
            <w:tcW w:w="1066" w:type="dxa"/>
            <w:noWrap/>
            <w:vAlign w:val="center"/>
          </w:tcPr>
          <w:p>
            <w:pPr>
              <w:pStyle w:val="11"/>
              <w:ind w:firstLine="0" w:firstLineChars="0"/>
              <w:jc w:val="center"/>
              <w:rPr>
                <w:rFonts w:ascii="仿宋" w:hAnsi="仿宋" w:eastAsia="仿宋" w:cs="仿宋"/>
                <w:sz w:val="24"/>
                <w:szCs w:val="24"/>
              </w:rPr>
            </w:pPr>
            <w:r>
              <w:rPr>
                <w:rFonts w:hint="eastAsia" w:ascii="仿宋" w:hAnsi="仿宋" w:eastAsia="仿宋" w:cs="仿宋"/>
                <w:sz w:val="24"/>
                <w:szCs w:val="24"/>
              </w:rPr>
              <w:t>智</w:t>
            </w:r>
          </w:p>
        </w:tc>
        <w:tc>
          <w:tcPr>
            <w:tcW w:w="6475" w:type="dxa"/>
            <w:vAlign w:val="center"/>
          </w:tcPr>
          <w:p>
            <w:pPr>
              <w:pStyle w:val="11"/>
              <w:spacing w:line="460" w:lineRule="exact"/>
              <w:ind w:firstLine="560"/>
              <w:jc w:val="left"/>
              <w:rPr>
                <w:rFonts w:ascii="仿宋" w:hAnsi="仿宋" w:eastAsia="仿宋" w:cs="仿宋"/>
                <w:sz w:val="24"/>
                <w:szCs w:val="24"/>
              </w:rPr>
            </w:pPr>
            <w:r>
              <w:rPr>
                <w:rFonts w:hint="eastAsia" w:ascii="仿宋" w:hAnsi="仿宋" w:eastAsia="仿宋" w:cs="仿宋"/>
                <w:kern w:val="0"/>
                <w:sz w:val="28"/>
                <w:szCs w:val="28"/>
              </w:rPr>
              <w:t>勤奋学习，积极向上，学风端正，学习目标明确，有科学的思想方法和严谨的治学精神；谦虚好学，刻苦认真；遵从学术规范，恪守学术道德，积极参加科研、学术竞赛活动。</w:t>
            </w:r>
          </w:p>
        </w:tc>
        <w:tc>
          <w:tcPr>
            <w:tcW w:w="959" w:type="dxa"/>
            <w:noWrap/>
            <w:vAlign w:val="center"/>
          </w:tcPr>
          <w:p>
            <w:pPr>
              <w:pStyle w:val="11"/>
              <w:ind w:firstLine="0" w:firstLineChars="0"/>
              <w:jc w:val="center"/>
              <w:rPr>
                <w:rFonts w:ascii="仿宋" w:hAnsi="仿宋" w:eastAsia="仿宋" w:cs="仿宋"/>
                <w:sz w:val="24"/>
                <w:szCs w:val="24"/>
              </w:rPr>
            </w:pPr>
            <w:r>
              <w:rPr>
                <w:rFonts w:hint="eastAsia" w:ascii="仿宋" w:hAnsi="仿宋" w:eastAsia="仿宋" w:cs="仿宋"/>
                <w:sz w:val="24"/>
                <w:szCs w:val="24"/>
              </w:rPr>
              <w:t>15分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66" w:type="dxa"/>
            <w:noWrap/>
            <w:vAlign w:val="center"/>
          </w:tcPr>
          <w:p>
            <w:pPr>
              <w:pStyle w:val="11"/>
              <w:ind w:firstLine="0" w:firstLineChars="0"/>
              <w:jc w:val="center"/>
              <w:rPr>
                <w:rFonts w:ascii="仿宋" w:hAnsi="仿宋" w:eastAsia="仿宋" w:cs="仿宋"/>
                <w:sz w:val="24"/>
                <w:szCs w:val="24"/>
              </w:rPr>
            </w:pPr>
            <w:r>
              <w:rPr>
                <w:rFonts w:hint="eastAsia" w:ascii="仿宋" w:hAnsi="仿宋" w:eastAsia="仿宋" w:cs="仿宋"/>
                <w:sz w:val="24"/>
                <w:szCs w:val="24"/>
              </w:rPr>
              <w:t>体</w:t>
            </w:r>
          </w:p>
        </w:tc>
        <w:tc>
          <w:tcPr>
            <w:tcW w:w="6475" w:type="dxa"/>
            <w:vAlign w:val="center"/>
          </w:tcPr>
          <w:p>
            <w:pPr>
              <w:pStyle w:val="11"/>
              <w:spacing w:line="460" w:lineRule="exact"/>
              <w:ind w:firstLine="560"/>
              <w:jc w:val="left"/>
              <w:rPr>
                <w:rFonts w:ascii="仿宋" w:hAnsi="仿宋" w:eastAsia="仿宋" w:cs="仿宋"/>
                <w:sz w:val="24"/>
                <w:szCs w:val="24"/>
              </w:rPr>
            </w:pPr>
            <w:r>
              <w:rPr>
                <w:rFonts w:hint="eastAsia" w:ascii="仿宋" w:hAnsi="仿宋" w:eastAsia="仿宋" w:cs="仿宋"/>
                <w:kern w:val="0"/>
                <w:sz w:val="28"/>
                <w:szCs w:val="28"/>
              </w:rPr>
              <w:t>自觉锻炼身体，积极参加体育锻炼和体育竞赛活动；有健康的体魄和积极向上的体育文化认知；有团队协助、公平竞争、顽强拼搏的体育精神和坚韧不拔的意志。</w:t>
            </w:r>
          </w:p>
        </w:tc>
        <w:tc>
          <w:tcPr>
            <w:tcW w:w="959" w:type="dxa"/>
            <w:noWrap/>
            <w:vAlign w:val="center"/>
          </w:tcPr>
          <w:p>
            <w:pPr>
              <w:pStyle w:val="11"/>
              <w:ind w:firstLine="0" w:firstLineChars="0"/>
              <w:jc w:val="center"/>
              <w:rPr>
                <w:rFonts w:ascii="仿宋" w:hAnsi="仿宋" w:eastAsia="仿宋" w:cs="仿宋"/>
                <w:sz w:val="24"/>
                <w:szCs w:val="24"/>
              </w:rPr>
            </w:pPr>
            <w:r>
              <w:rPr>
                <w:rFonts w:hint="eastAsia" w:ascii="仿宋" w:hAnsi="仿宋" w:eastAsia="仿宋" w:cs="仿宋"/>
                <w:sz w:val="24"/>
                <w:szCs w:val="24"/>
              </w:rPr>
              <w:t>15分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6" w:hRule="atLeast"/>
          <w:jc w:val="center"/>
        </w:trPr>
        <w:tc>
          <w:tcPr>
            <w:tcW w:w="1066" w:type="dxa"/>
            <w:noWrap/>
            <w:vAlign w:val="center"/>
          </w:tcPr>
          <w:p>
            <w:pPr>
              <w:pStyle w:val="11"/>
              <w:ind w:firstLine="0" w:firstLineChars="0"/>
              <w:jc w:val="center"/>
              <w:rPr>
                <w:rFonts w:ascii="仿宋" w:hAnsi="仿宋" w:eastAsia="仿宋" w:cs="仿宋"/>
                <w:sz w:val="24"/>
                <w:szCs w:val="24"/>
              </w:rPr>
            </w:pPr>
            <w:r>
              <w:rPr>
                <w:rFonts w:hint="eastAsia" w:ascii="仿宋" w:hAnsi="仿宋" w:eastAsia="仿宋" w:cs="仿宋"/>
                <w:sz w:val="24"/>
                <w:szCs w:val="24"/>
              </w:rPr>
              <w:t>美</w:t>
            </w:r>
          </w:p>
        </w:tc>
        <w:tc>
          <w:tcPr>
            <w:tcW w:w="6475" w:type="dxa"/>
            <w:vAlign w:val="center"/>
          </w:tcPr>
          <w:p>
            <w:pPr>
              <w:pStyle w:val="11"/>
              <w:spacing w:line="460" w:lineRule="exact"/>
              <w:ind w:firstLine="560"/>
              <w:jc w:val="left"/>
              <w:rPr>
                <w:rFonts w:ascii="仿宋" w:hAnsi="仿宋" w:eastAsia="仿宋" w:cs="仿宋"/>
                <w:sz w:val="24"/>
                <w:szCs w:val="24"/>
              </w:rPr>
            </w:pPr>
            <w:r>
              <w:rPr>
                <w:rFonts w:hint="eastAsia" w:ascii="仿宋" w:hAnsi="仿宋" w:eastAsia="仿宋" w:cs="仿宋"/>
                <w:kern w:val="0"/>
                <w:sz w:val="28"/>
                <w:szCs w:val="28"/>
              </w:rPr>
              <w:t>艺术审美观念正确、道德情操高尚、心灵美好；修读艺术类课程，积极参加学校文化、艺术实践活动；有较高的审美和人文素养，及一定的艺术创新能力。</w:t>
            </w:r>
          </w:p>
        </w:tc>
        <w:tc>
          <w:tcPr>
            <w:tcW w:w="959" w:type="dxa"/>
            <w:noWrap/>
            <w:vAlign w:val="center"/>
          </w:tcPr>
          <w:p>
            <w:pPr>
              <w:pStyle w:val="11"/>
              <w:ind w:firstLine="0" w:firstLineChars="0"/>
              <w:jc w:val="center"/>
              <w:rPr>
                <w:rFonts w:ascii="仿宋" w:hAnsi="仿宋" w:eastAsia="仿宋" w:cs="仿宋"/>
                <w:sz w:val="24"/>
                <w:szCs w:val="24"/>
              </w:rPr>
            </w:pPr>
            <w:r>
              <w:rPr>
                <w:rFonts w:hint="eastAsia" w:ascii="仿宋" w:hAnsi="仿宋" w:eastAsia="仿宋" w:cs="仿宋"/>
                <w:sz w:val="24"/>
                <w:szCs w:val="24"/>
              </w:rPr>
              <w:t>15分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3" w:hRule="atLeast"/>
          <w:jc w:val="center"/>
        </w:trPr>
        <w:tc>
          <w:tcPr>
            <w:tcW w:w="1066" w:type="dxa"/>
            <w:noWrap/>
            <w:vAlign w:val="center"/>
          </w:tcPr>
          <w:p>
            <w:pPr>
              <w:pStyle w:val="11"/>
              <w:ind w:firstLine="0" w:firstLineChars="0"/>
              <w:jc w:val="center"/>
              <w:rPr>
                <w:rFonts w:ascii="仿宋" w:hAnsi="仿宋" w:eastAsia="仿宋" w:cs="仿宋"/>
                <w:sz w:val="24"/>
                <w:szCs w:val="24"/>
              </w:rPr>
            </w:pPr>
            <w:r>
              <w:rPr>
                <w:rFonts w:hint="eastAsia" w:ascii="仿宋" w:hAnsi="仿宋" w:eastAsia="仿宋" w:cs="仿宋"/>
                <w:sz w:val="24"/>
                <w:szCs w:val="24"/>
              </w:rPr>
              <w:t>劳</w:t>
            </w:r>
          </w:p>
        </w:tc>
        <w:tc>
          <w:tcPr>
            <w:tcW w:w="6475" w:type="dxa"/>
            <w:vAlign w:val="center"/>
          </w:tcPr>
          <w:p>
            <w:pPr>
              <w:pStyle w:val="11"/>
              <w:spacing w:line="460" w:lineRule="exact"/>
              <w:ind w:firstLine="560"/>
              <w:jc w:val="left"/>
              <w:rPr>
                <w:rFonts w:ascii="仿宋" w:hAnsi="仿宋" w:eastAsia="仿宋" w:cs="仿宋"/>
                <w:sz w:val="24"/>
                <w:szCs w:val="24"/>
              </w:rPr>
            </w:pPr>
            <w:r>
              <w:rPr>
                <w:rFonts w:hint="eastAsia" w:ascii="仿宋" w:hAnsi="仿宋" w:eastAsia="仿宋" w:cs="仿宋"/>
                <w:kern w:val="0"/>
                <w:sz w:val="28"/>
                <w:szCs w:val="28"/>
              </w:rPr>
              <w:t>能够自觉自愿、认真负责、安全规范、坚持不懈地参与劳动；有诚实守信、吃苦耐劳的品质；珍惜劳动成果，有良好的消费习惯，杜绝浪费；积极参加志愿服务、社会实践活动；具有勤俭、奋斗、创新、奉献的新时代劳动精神。</w:t>
            </w:r>
          </w:p>
        </w:tc>
        <w:tc>
          <w:tcPr>
            <w:tcW w:w="959" w:type="dxa"/>
            <w:noWrap/>
            <w:vAlign w:val="center"/>
          </w:tcPr>
          <w:p>
            <w:pPr>
              <w:pStyle w:val="11"/>
              <w:ind w:firstLine="0" w:firstLineChars="0"/>
              <w:jc w:val="center"/>
              <w:rPr>
                <w:rFonts w:ascii="仿宋" w:hAnsi="仿宋" w:eastAsia="仿宋" w:cs="仿宋"/>
                <w:sz w:val="24"/>
                <w:szCs w:val="24"/>
              </w:rPr>
            </w:pPr>
            <w:r>
              <w:rPr>
                <w:rFonts w:hint="eastAsia" w:ascii="仿宋" w:hAnsi="仿宋" w:eastAsia="仿宋" w:cs="仿宋"/>
                <w:sz w:val="24"/>
                <w:szCs w:val="24"/>
              </w:rPr>
              <w:t>15分</w:t>
            </w:r>
          </w:p>
        </w:tc>
      </w:tr>
    </w:tbl>
    <w:p>
      <w:pPr>
        <w:spacing w:line="640" w:lineRule="exact"/>
        <w:ind w:firstLine="562" w:firstLineChars="200"/>
        <w:rPr>
          <w:rFonts w:ascii="仿宋" w:hAnsi="仿宋" w:eastAsia="仿宋" w:cs="仿宋"/>
          <w:b/>
          <w:sz w:val="28"/>
          <w:szCs w:val="28"/>
        </w:rPr>
      </w:pPr>
      <w:r>
        <w:rPr>
          <w:rFonts w:hint="eastAsia" w:ascii="仿宋" w:hAnsi="仿宋" w:eastAsia="仿宋" w:cs="仿宋"/>
          <w:b/>
          <w:sz w:val="28"/>
          <w:szCs w:val="28"/>
        </w:rPr>
        <w:t>二、综合成绩的计算办法</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综合成绩</w:t>
      </w:r>
      <w:r>
        <w:rPr>
          <w:rFonts w:ascii="仿宋" w:hAnsi="仿宋" w:eastAsia="仿宋" w:cs="仿宋"/>
          <w:sz w:val="28"/>
          <w:szCs w:val="28"/>
        </w:rPr>
        <w:t>C</w:t>
      </w:r>
      <w:r>
        <w:rPr>
          <w:rFonts w:hint="eastAsia" w:ascii="仿宋" w:hAnsi="仿宋" w:eastAsia="仿宋" w:cs="仿宋"/>
          <w:sz w:val="28"/>
          <w:szCs w:val="28"/>
        </w:rPr>
        <w:t>由</w:t>
      </w:r>
      <w:r>
        <w:rPr>
          <w:rFonts w:ascii="仿宋" w:hAnsi="仿宋" w:eastAsia="仿宋" w:cs="仿宋"/>
          <w:sz w:val="28"/>
          <w:szCs w:val="28"/>
        </w:rPr>
        <w:t>课程成绩A</w:t>
      </w:r>
      <w:r>
        <w:rPr>
          <w:rFonts w:hint="eastAsia" w:ascii="仿宋" w:hAnsi="仿宋" w:eastAsia="仿宋" w:cs="仿宋"/>
          <w:sz w:val="28"/>
          <w:szCs w:val="28"/>
        </w:rPr>
        <w:t>和专项素质</w:t>
      </w:r>
      <w:r>
        <w:rPr>
          <w:rFonts w:ascii="仿宋" w:hAnsi="仿宋" w:eastAsia="仿宋" w:cs="仿宋"/>
          <w:sz w:val="28"/>
          <w:szCs w:val="28"/>
        </w:rPr>
        <w:t>B</w:t>
      </w:r>
      <w:r>
        <w:rPr>
          <w:rFonts w:hint="eastAsia" w:ascii="仿宋" w:hAnsi="仿宋" w:eastAsia="仿宋" w:cs="仿宋"/>
          <w:sz w:val="28"/>
          <w:szCs w:val="28"/>
        </w:rPr>
        <w:t>（包含学术类、体育类和艺术类）加分构成，每个学生只可结合自身情况，在学术类、体育类和艺术类三种加分途径中选择一种进行加分。其他类不予加分。</w:t>
      </w:r>
      <w:r>
        <w:rPr>
          <w:rFonts w:hint="eastAsia" w:ascii="仿宋" w:hAnsi="仿宋" w:eastAsia="仿宋"/>
          <w:sz w:val="28"/>
          <w:szCs w:val="28"/>
        </w:rPr>
        <w:t>学生与直系亲属或学历、职称、职务明显高于本人者合作的科研成果、竞赛奖项等仅作为参考，不纳入学生本人推免遴选综合评价成绩计算体系。学生和导师合作的科研项目经认定后可以纳入计算加分。</w:t>
      </w:r>
    </w:p>
    <w:p>
      <w:pPr>
        <w:spacing w:line="360" w:lineRule="auto"/>
        <w:ind w:firstLine="560" w:firstLineChars="200"/>
        <w:rPr>
          <w:rFonts w:ascii="仿宋" w:hAnsi="仿宋" w:eastAsia="仿宋" w:cs="仿宋"/>
          <w:sz w:val="28"/>
          <w:szCs w:val="28"/>
        </w:rPr>
      </w:pPr>
      <w:r>
        <w:rPr>
          <w:rFonts w:hint="eastAsia" w:ascii="仿宋" w:hAnsi="仿宋" w:eastAsia="仿宋"/>
          <w:sz w:val="28"/>
          <w:szCs w:val="28"/>
        </w:rPr>
        <w:t>普通学生按课程成绩占90%、学术活动等占10%的方式进行计算；经艺术教育中心认定的有艺术特长的学生（既包含以高水平艺术团身份招录的学生，也包含在艺术方面有特长的普通学生），按课程成绩占90%、艺术专业活动等占10%的方式进行计算；经体育部认定的有体育特长的学生（既包含以高水平运动队身份招录的学生，也包含在体育方面有特长的普通学生），按课程成绩占80%、体育专业活动占20%的方式进行计算。</w:t>
      </w:r>
    </w:p>
    <w:p>
      <w:pPr>
        <w:spacing w:line="360" w:lineRule="auto"/>
        <w:ind w:firstLine="560" w:firstLineChars="200"/>
        <w:rPr>
          <w:rFonts w:ascii="仿宋" w:hAnsi="仿宋" w:eastAsia="仿宋" w:cs="仿宋"/>
          <w:b/>
          <w:sz w:val="28"/>
          <w:szCs w:val="28"/>
        </w:rPr>
      </w:pPr>
      <w:r>
        <w:rPr>
          <w:rFonts w:hint="eastAsia" w:ascii="仿宋" w:hAnsi="仿宋" w:eastAsia="仿宋" w:cs="仿宋"/>
          <w:sz w:val="28"/>
          <w:szCs w:val="28"/>
        </w:rPr>
        <w:t>选择学术类活动加分的推免综合成绩计算公式为：</w:t>
      </w:r>
      <w:r>
        <w:rPr>
          <w:rFonts w:ascii="仿宋" w:hAnsi="仿宋" w:eastAsia="仿宋" w:cs="仿宋"/>
          <w:sz w:val="28"/>
          <w:szCs w:val="28"/>
        </w:rPr>
        <w:t>C=A×90%+B×10%</w:t>
      </w:r>
      <w:r>
        <w:rPr>
          <w:rFonts w:hint="eastAsia" w:ascii="仿宋" w:hAnsi="仿宋" w:eastAsia="仿宋" w:cs="仿宋"/>
          <w:sz w:val="28"/>
          <w:szCs w:val="28"/>
        </w:rPr>
        <w:t>；选择艺术类活动加分的推免综合成绩计算公式为：</w:t>
      </w:r>
      <w:r>
        <w:rPr>
          <w:rFonts w:ascii="仿宋" w:hAnsi="仿宋" w:eastAsia="仿宋" w:cs="仿宋"/>
          <w:sz w:val="28"/>
          <w:szCs w:val="28"/>
        </w:rPr>
        <w:t>C= A×90%+ B×10%</w:t>
      </w:r>
      <w:r>
        <w:rPr>
          <w:rFonts w:hint="eastAsia" w:ascii="仿宋" w:hAnsi="仿宋" w:eastAsia="仿宋" w:cs="仿宋"/>
          <w:sz w:val="28"/>
          <w:szCs w:val="28"/>
        </w:rPr>
        <w:t>；选择体育类活动加分的推免综合成绩计算公式为：</w:t>
      </w:r>
      <w:r>
        <w:rPr>
          <w:rFonts w:ascii="仿宋" w:hAnsi="仿宋" w:eastAsia="仿宋" w:cs="仿宋"/>
          <w:sz w:val="28"/>
          <w:szCs w:val="28"/>
        </w:rPr>
        <w:t>C= A×80%+ B×20%</w:t>
      </w:r>
      <w:r>
        <w:rPr>
          <w:rFonts w:hint="eastAsia" w:ascii="仿宋" w:hAnsi="仿宋" w:eastAsia="仿宋" w:cs="仿宋"/>
          <w:sz w:val="28"/>
          <w:szCs w:val="28"/>
        </w:rPr>
        <w:t>。根据总分</w:t>
      </w:r>
      <w:r>
        <w:rPr>
          <w:rFonts w:ascii="仿宋" w:hAnsi="仿宋" w:eastAsia="仿宋" w:cs="仿宋"/>
          <w:sz w:val="28"/>
          <w:szCs w:val="28"/>
        </w:rPr>
        <w:t>C</w:t>
      </w:r>
      <w:r>
        <w:rPr>
          <w:rFonts w:hint="eastAsia" w:ascii="仿宋" w:hAnsi="仿宋" w:eastAsia="仿宋" w:cs="仿宋"/>
          <w:sz w:val="28"/>
          <w:szCs w:val="28"/>
        </w:rPr>
        <w:t>确定专业综合排名，得分相同情况下以A为排序参考依据。</w:t>
      </w:r>
    </w:p>
    <w:p>
      <w:pPr>
        <w:spacing w:line="640" w:lineRule="exact"/>
        <w:ind w:firstLine="562" w:firstLineChars="200"/>
        <w:rPr>
          <w:rFonts w:ascii="仿宋" w:hAnsi="仿宋" w:eastAsia="仿宋" w:cs="仿宋"/>
          <w:b/>
          <w:sz w:val="28"/>
          <w:szCs w:val="28"/>
        </w:rPr>
      </w:pPr>
      <w:r>
        <w:rPr>
          <w:rFonts w:hint="eastAsia" w:ascii="仿宋" w:hAnsi="仿宋" w:eastAsia="仿宋" w:cs="仿宋"/>
          <w:b/>
          <w:sz w:val="28"/>
          <w:szCs w:val="28"/>
        </w:rPr>
        <w:t>三、课程成绩的计算办法</w:t>
      </w:r>
    </w:p>
    <w:p>
      <w:pPr>
        <w:widowControl/>
        <w:ind w:firstLine="560" w:firstLineChars="200"/>
        <w:jc w:val="left"/>
        <w:rPr>
          <w:rFonts w:ascii="仿宋" w:hAnsi="仿宋" w:eastAsia="仿宋" w:cs="仿宋"/>
          <w:color w:val="000000" w:themeColor="text1"/>
          <w:sz w:val="28"/>
          <w:szCs w:val="28"/>
        </w:rPr>
      </w:pPr>
      <w:r>
        <w:rPr>
          <w:rFonts w:hint="eastAsia" w:ascii="仿宋" w:hAnsi="仿宋" w:eastAsia="仿宋" w:cs="仿宋"/>
          <w:sz w:val="28"/>
          <w:szCs w:val="28"/>
        </w:rPr>
        <w:t xml:space="preserve">1.计算公式：A = </w:t>
      </w:r>
      <m:oMath>
        <m:f>
          <m:fPr>
            <m:type m:val="lin"/>
            <m:ctrlPr>
              <w:rPr>
                <w:rFonts w:hint="eastAsia" w:ascii="Cambria Math" w:hAnsi="Cambria Math" w:eastAsia="仿宋" w:cs="仿宋"/>
                <w:i/>
                <w:sz w:val="28"/>
                <w:szCs w:val="28"/>
              </w:rPr>
            </m:ctrlPr>
          </m:fPr>
          <m:num>
            <m:nary>
              <m:naryPr>
                <m:chr m:val="∑"/>
                <m:limLoc m:val="undOvr"/>
                <m:ctrlPr>
                  <w:rPr>
                    <w:rFonts w:hint="eastAsia" w:ascii="Cambria Math" w:hAnsi="Cambria Math" w:eastAsia="仿宋" w:cs="仿宋"/>
                    <w:i/>
                    <w:sz w:val="28"/>
                    <w:szCs w:val="28"/>
                  </w:rPr>
                </m:ctrlPr>
              </m:naryPr>
              <m:sub>
                <m:r>
                  <m:rPr/>
                  <w:rPr>
                    <w:rFonts w:hint="eastAsia" w:ascii="Cambria Math" w:hAnsi="Cambria Math" w:eastAsia="仿宋" w:cs="仿宋"/>
                    <w:sz w:val="28"/>
                    <w:szCs w:val="28"/>
                  </w:rPr>
                  <m:t>i=1</m:t>
                </m:r>
                <m:ctrlPr>
                  <w:rPr>
                    <w:rFonts w:hint="eastAsia" w:ascii="Cambria Math" w:hAnsi="Cambria Math" w:eastAsia="仿宋" w:cs="仿宋"/>
                    <w:i/>
                    <w:sz w:val="28"/>
                    <w:szCs w:val="28"/>
                  </w:rPr>
                </m:ctrlPr>
              </m:sub>
              <m:sup>
                <m:r>
                  <m:rPr/>
                  <w:rPr>
                    <w:rFonts w:hint="eastAsia" w:ascii="Cambria Math" w:hAnsi="Cambria Math" w:eastAsia="仿宋" w:cs="仿宋"/>
                    <w:sz w:val="28"/>
                    <w:szCs w:val="28"/>
                  </w:rPr>
                  <m:t>n</m:t>
                </m:r>
                <m:ctrlPr>
                  <w:rPr>
                    <w:rFonts w:hint="eastAsia" w:ascii="Cambria Math" w:hAnsi="Cambria Math" w:eastAsia="仿宋" w:cs="仿宋"/>
                    <w:i/>
                    <w:sz w:val="28"/>
                    <w:szCs w:val="28"/>
                  </w:rPr>
                </m:ctrlPr>
              </m:sup>
              <m:e>
                <m:sSub>
                  <m:sSubPr>
                    <m:ctrlPr>
                      <w:rPr>
                        <w:rFonts w:hint="eastAsia" w:ascii="Cambria Math" w:hAnsi="Cambria Math" w:eastAsia="仿宋" w:cs="仿宋"/>
                        <w:i/>
                        <w:sz w:val="28"/>
                        <w:szCs w:val="28"/>
                      </w:rPr>
                    </m:ctrlPr>
                  </m:sSubPr>
                  <m:e>
                    <m:r>
                      <m:rPr/>
                      <w:rPr>
                        <w:rFonts w:hint="eastAsia" w:ascii="Cambria Math" w:hAnsi="Cambria Math" w:eastAsia="仿宋" w:cs="仿宋"/>
                        <w:sz w:val="28"/>
                        <w:szCs w:val="28"/>
                      </w:rPr>
                      <m:t>X</m:t>
                    </m:r>
                    <m:ctrlPr>
                      <w:rPr>
                        <w:rFonts w:hint="eastAsia" w:ascii="Cambria Math" w:hAnsi="Cambria Math" w:eastAsia="仿宋" w:cs="仿宋"/>
                        <w:i/>
                        <w:sz w:val="28"/>
                        <w:szCs w:val="28"/>
                      </w:rPr>
                    </m:ctrlPr>
                  </m:e>
                  <m:sub>
                    <m:r>
                      <m:rPr/>
                      <w:rPr>
                        <w:rFonts w:hint="eastAsia" w:ascii="Cambria Math" w:hAnsi="Cambria Math" w:eastAsia="仿宋" w:cs="仿宋"/>
                        <w:sz w:val="28"/>
                        <w:szCs w:val="28"/>
                      </w:rPr>
                      <m:t>i</m:t>
                    </m:r>
                    <m:ctrlPr>
                      <w:rPr>
                        <w:rFonts w:hint="eastAsia" w:ascii="Cambria Math" w:hAnsi="Cambria Math" w:eastAsia="仿宋" w:cs="仿宋"/>
                        <w:i/>
                        <w:sz w:val="28"/>
                        <w:szCs w:val="28"/>
                      </w:rPr>
                    </m:ctrlPr>
                  </m:sub>
                </m:sSub>
                <m:sSub>
                  <m:sSubPr>
                    <m:ctrlPr>
                      <w:rPr>
                        <w:rFonts w:hint="eastAsia" w:ascii="Cambria Math" w:hAnsi="Cambria Math" w:eastAsia="仿宋" w:cs="仿宋"/>
                        <w:i/>
                        <w:sz w:val="28"/>
                        <w:szCs w:val="28"/>
                      </w:rPr>
                    </m:ctrlPr>
                  </m:sSubPr>
                  <m:e>
                    <m:r>
                      <m:rPr/>
                      <w:rPr>
                        <w:rFonts w:hint="eastAsia" w:ascii="Cambria Math" w:hAnsi="Cambria Math" w:eastAsia="仿宋" w:cs="仿宋"/>
                        <w:sz w:val="28"/>
                        <w:szCs w:val="28"/>
                      </w:rPr>
                      <m:t>Y</m:t>
                    </m:r>
                    <m:ctrlPr>
                      <w:rPr>
                        <w:rFonts w:hint="eastAsia" w:ascii="Cambria Math" w:hAnsi="Cambria Math" w:eastAsia="仿宋" w:cs="仿宋"/>
                        <w:i/>
                        <w:sz w:val="28"/>
                        <w:szCs w:val="28"/>
                      </w:rPr>
                    </m:ctrlPr>
                  </m:e>
                  <m:sub>
                    <m:r>
                      <m:rPr/>
                      <w:rPr>
                        <w:rFonts w:hint="eastAsia" w:ascii="Cambria Math" w:hAnsi="Cambria Math" w:eastAsia="仿宋" w:cs="仿宋"/>
                        <w:sz w:val="28"/>
                        <w:szCs w:val="28"/>
                      </w:rPr>
                      <m:t>i</m:t>
                    </m:r>
                    <m:ctrlPr>
                      <w:rPr>
                        <w:rFonts w:hint="eastAsia" w:ascii="Cambria Math" w:hAnsi="Cambria Math" w:eastAsia="仿宋" w:cs="仿宋"/>
                        <w:i/>
                        <w:sz w:val="28"/>
                        <w:szCs w:val="28"/>
                      </w:rPr>
                    </m:ctrlPr>
                  </m:sub>
                </m:sSub>
                <m:ctrlPr>
                  <w:rPr>
                    <w:rFonts w:hint="eastAsia" w:ascii="Cambria Math" w:hAnsi="Cambria Math" w:eastAsia="仿宋" w:cs="仿宋"/>
                    <w:i/>
                    <w:sz w:val="28"/>
                    <w:szCs w:val="28"/>
                  </w:rPr>
                </m:ctrlPr>
              </m:e>
            </m:nary>
            <m:ctrlPr>
              <w:rPr>
                <w:rFonts w:hint="eastAsia" w:ascii="Cambria Math" w:hAnsi="Cambria Math" w:eastAsia="仿宋" w:cs="仿宋"/>
                <w:i/>
                <w:sz w:val="28"/>
                <w:szCs w:val="28"/>
              </w:rPr>
            </m:ctrlPr>
          </m:num>
          <m:den>
            <m:nary>
              <m:naryPr>
                <m:chr m:val="∑"/>
                <m:limLoc m:val="undOvr"/>
                <m:ctrlPr>
                  <w:rPr>
                    <w:rFonts w:hint="eastAsia" w:ascii="Cambria Math" w:hAnsi="Cambria Math" w:eastAsia="仿宋" w:cs="仿宋"/>
                    <w:i/>
                    <w:sz w:val="28"/>
                    <w:szCs w:val="28"/>
                  </w:rPr>
                </m:ctrlPr>
              </m:naryPr>
              <m:sub>
                <m:r>
                  <m:rPr/>
                  <w:rPr>
                    <w:rFonts w:hint="eastAsia" w:ascii="Cambria Math" w:hAnsi="Cambria Math" w:eastAsia="仿宋" w:cs="仿宋"/>
                    <w:sz w:val="28"/>
                    <w:szCs w:val="28"/>
                  </w:rPr>
                  <m:t>i=1</m:t>
                </m:r>
                <m:ctrlPr>
                  <w:rPr>
                    <w:rFonts w:hint="eastAsia" w:ascii="Cambria Math" w:hAnsi="Cambria Math" w:eastAsia="仿宋" w:cs="仿宋"/>
                    <w:i/>
                    <w:sz w:val="28"/>
                    <w:szCs w:val="28"/>
                  </w:rPr>
                </m:ctrlPr>
              </m:sub>
              <m:sup>
                <m:r>
                  <m:rPr/>
                  <w:rPr>
                    <w:rFonts w:hint="eastAsia" w:ascii="Cambria Math" w:hAnsi="Cambria Math" w:eastAsia="仿宋" w:cs="仿宋"/>
                    <w:sz w:val="28"/>
                    <w:szCs w:val="28"/>
                  </w:rPr>
                  <m:t>n</m:t>
                </m:r>
                <m:ctrlPr>
                  <w:rPr>
                    <w:rFonts w:hint="eastAsia" w:ascii="Cambria Math" w:hAnsi="Cambria Math" w:eastAsia="仿宋" w:cs="仿宋"/>
                    <w:i/>
                    <w:sz w:val="28"/>
                    <w:szCs w:val="28"/>
                  </w:rPr>
                </m:ctrlPr>
              </m:sup>
              <m:e>
                <m:sSub>
                  <m:sSubPr>
                    <m:ctrlPr>
                      <w:rPr>
                        <w:rFonts w:hint="eastAsia" w:ascii="Cambria Math" w:hAnsi="Cambria Math" w:eastAsia="仿宋" w:cs="仿宋"/>
                        <w:i/>
                        <w:sz w:val="28"/>
                        <w:szCs w:val="28"/>
                      </w:rPr>
                    </m:ctrlPr>
                  </m:sSubPr>
                  <m:e>
                    <m:r>
                      <m:rPr/>
                      <w:rPr>
                        <w:rFonts w:hint="eastAsia" w:ascii="Cambria Math" w:hAnsi="Cambria Math" w:eastAsia="仿宋" w:cs="仿宋"/>
                        <w:sz w:val="28"/>
                        <w:szCs w:val="28"/>
                      </w:rPr>
                      <m:t>Y</m:t>
                    </m:r>
                    <m:ctrlPr>
                      <w:rPr>
                        <w:rFonts w:hint="eastAsia" w:ascii="Cambria Math" w:hAnsi="Cambria Math" w:eastAsia="仿宋" w:cs="仿宋"/>
                        <w:i/>
                        <w:sz w:val="28"/>
                        <w:szCs w:val="28"/>
                      </w:rPr>
                    </m:ctrlPr>
                  </m:e>
                  <m:sub>
                    <m:r>
                      <m:rPr/>
                      <w:rPr>
                        <w:rFonts w:hint="eastAsia" w:ascii="Cambria Math" w:hAnsi="Cambria Math" w:eastAsia="仿宋" w:cs="仿宋"/>
                        <w:sz w:val="28"/>
                        <w:szCs w:val="28"/>
                      </w:rPr>
                      <m:t>i</m:t>
                    </m:r>
                    <m:ctrlPr>
                      <w:rPr>
                        <w:rFonts w:hint="eastAsia" w:ascii="Cambria Math" w:hAnsi="Cambria Math" w:eastAsia="仿宋" w:cs="仿宋"/>
                        <w:i/>
                        <w:sz w:val="28"/>
                        <w:szCs w:val="28"/>
                      </w:rPr>
                    </m:ctrlPr>
                  </m:sub>
                </m:sSub>
                <m:ctrlPr>
                  <w:rPr>
                    <w:rFonts w:hint="eastAsia" w:ascii="Cambria Math" w:hAnsi="Cambria Math" w:eastAsia="仿宋" w:cs="仿宋"/>
                    <w:i/>
                    <w:sz w:val="28"/>
                    <w:szCs w:val="28"/>
                  </w:rPr>
                </m:ctrlPr>
              </m:e>
            </m:nary>
            <m:ctrlPr>
              <w:rPr>
                <w:rFonts w:hint="eastAsia" w:ascii="Cambria Math" w:hAnsi="Cambria Math" w:eastAsia="仿宋" w:cs="仿宋"/>
                <w:i/>
                <w:sz w:val="28"/>
                <w:szCs w:val="28"/>
              </w:rPr>
            </m:ctrlPr>
          </m:den>
        </m:f>
      </m:oMath>
      <w:r>
        <w:rPr>
          <w:rFonts w:hint="eastAsia" w:ascii="仿宋" w:hAnsi="仿宋" w:eastAsia="仿宋" w:cs="仿宋"/>
          <w:sz w:val="28"/>
          <w:szCs w:val="28"/>
        </w:rPr>
        <w:t>。其中，</w:t>
      </w:r>
      <w:r>
        <w:rPr>
          <w:rFonts w:hint="eastAsia" w:ascii="仿宋" w:hAnsi="仿宋" w:eastAsia="仿宋" w:cs="仿宋"/>
          <w:position w:val="-12"/>
          <w:sz w:val="28"/>
          <w:szCs w:val="28"/>
        </w:rPr>
        <w:object>
          <v:shape id="_x0000_i1025" o:spt="75" type="#_x0000_t75" style="height:19pt;width:15.05pt;" o:ole="t" filled="f" o:preferrelative="t" stroked="f" coordsize="21600,21600">
            <v:path/>
            <v:fill on="f" focussize="0,0"/>
            <v:stroke on="f" joinstyle="miter"/>
            <v:imagedata r:id="rId5" o:title=""/>
            <o:lock v:ext="edit" aspectratio="t"/>
            <w10:wrap type="none"/>
            <w10:anchorlock/>
          </v:shape>
          <o:OLEObject Type="Embed" ProgID="Equation.DSMT4" ShapeID="_x0000_i1025" DrawAspect="Content" ObjectID="_1468075725" r:id="rId4">
            <o:LockedField>false</o:LockedField>
          </o:OLEObject>
        </w:object>
      </w:r>
      <w:r>
        <w:rPr>
          <w:rFonts w:hint="eastAsia" w:ascii="仿宋" w:hAnsi="仿宋" w:eastAsia="仿宋" w:cs="仿宋"/>
          <w:sz w:val="28"/>
          <w:szCs w:val="28"/>
        </w:rPr>
        <w:t>表示纳入测评的必修课、选修课成绩，</w:t>
      </w:r>
      <w:r>
        <w:rPr>
          <w:rFonts w:hint="eastAsia" w:ascii="仿宋" w:hAnsi="仿宋" w:eastAsia="仿宋" w:cs="仿宋"/>
          <w:position w:val="-12"/>
          <w:sz w:val="28"/>
          <w:szCs w:val="28"/>
        </w:rPr>
        <w:object>
          <v:shape id="_x0000_i1026" o:spt="75" type="#_x0000_t75" style="height:19pt;width:11.8pt;" o:ole="t" filled="f" o:preferrelative="t" stroked="f" coordsize="21600,21600">
            <v:path/>
            <v:fill on="f" focussize="0,0"/>
            <v:stroke on="f" joinstyle="miter"/>
            <v:imagedata r:id="rId7" o:title=""/>
            <o:lock v:ext="edit" aspectratio="t"/>
            <w10:wrap type="none"/>
            <w10:anchorlock/>
          </v:shape>
          <o:OLEObject Type="Embed" ProgID="Equation.DSMT4" ShapeID="_x0000_i1026" DrawAspect="Content" ObjectID="_1468075726" r:id="rId6">
            <o:LockedField>false</o:LockedField>
          </o:OLEObject>
        </w:object>
      </w:r>
      <w:r>
        <w:rPr>
          <w:rFonts w:hint="eastAsia" w:ascii="仿宋" w:hAnsi="仿宋" w:eastAsia="仿宋" w:cs="仿宋"/>
          <w:sz w:val="28"/>
          <w:szCs w:val="28"/>
        </w:rPr>
        <w:t>表示相应的课程学分数，</w:t>
      </w:r>
      <w:r>
        <w:rPr>
          <w:rFonts w:hint="eastAsia" w:ascii="仿宋" w:hAnsi="仿宋" w:eastAsia="仿宋" w:cs="仿宋"/>
          <w:position w:val="-6"/>
          <w:sz w:val="28"/>
          <w:szCs w:val="28"/>
        </w:rPr>
        <w:object>
          <v:shape id="_x0000_i1027" o:spt="75" type="#_x0000_t75" style="height:11.8pt;width:9.8pt;" o:ole="t" filled="f" o:preferrelative="t" stroked="f" coordsize="21600,21600">
            <v:path/>
            <v:fill on="f" focussize="0,0"/>
            <v:stroke on="f" joinstyle="miter"/>
            <v:imagedata r:id="rId9" o:title=""/>
            <o:lock v:ext="edit" aspectratio="t"/>
            <w10:wrap type="none"/>
            <w10:anchorlock/>
          </v:shape>
          <o:OLEObject Type="Embed" ProgID="Equation.DSMT4" ShapeID="_x0000_i1027" DrawAspect="Content" ObjectID="_1468075727" r:id="rId8">
            <o:LockedField>false</o:LockedField>
          </o:OLEObject>
        </w:object>
      </w:r>
      <w:r>
        <w:rPr>
          <w:rFonts w:hint="eastAsia" w:ascii="仿宋" w:hAnsi="仿宋" w:eastAsia="仿宋" w:cs="仿宋"/>
          <w:sz w:val="28"/>
          <w:szCs w:val="28"/>
        </w:rPr>
        <w:t>为纳入测评的必修课、选修课总门数。</w:t>
      </w:r>
      <w:r>
        <w:rPr>
          <w:rFonts w:hint="eastAsia" w:ascii="仿宋" w:hAnsi="仿宋" w:eastAsia="仿宋" w:cs="仿宋"/>
          <w:color w:val="000000" w:themeColor="text1"/>
          <w:sz w:val="28"/>
          <w:szCs w:val="28"/>
        </w:rPr>
        <w:t>所有纳入测评的课程成绩为该课程的初始成绩。</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2.此项评分细则中，具体纳入测评的课程为数学类专业基础必修课、专业必修课、专业选修课；其中数学类专业选修课学生任选五门纳入计算，大学物理、大学英语计入此类，习题课最多只选一门纳入计算，其他必修课、选修课不纳入测评计算范围。</w:t>
      </w:r>
    </w:p>
    <w:p>
      <w:pPr>
        <w:spacing w:line="640" w:lineRule="exact"/>
        <w:ind w:firstLine="562" w:firstLineChars="200"/>
        <w:rPr>
          <w:rFonts w:ascii="仿宋" w:hAnsi="仿宋" w:eastAsia="仿宋" w:cs="仿宋"/>
          <w:b/>
          <w:sz w:val="28"/>
          <w:szCs w:val="28"/>
        </w:rPr>
      </w:pPr>
      <w:r>
        <w:rPr>
          <w:rFonts w:hint="eastAsia" w:ascii="仿宋" w:hAnsi="仿宋" w:eastAsia="仿宋" w:cs="仿宋"/>
          <w:b/>
          <w:sz w:val="28"/>
          <w:szCs w:val="28"/>
        </w:rPr>
        <w:t>四、专项素质的计算办法</w:t>
      </w:r>
    </w:p>
    <w:p>
      <w:pPr>
        <w:spacing w:line="360" w:lineRule="auto"/>
        <w:ind w:firstLine="562" w:firstLineChars="200"/>
        <w:rPr>
          <w:rFonts w:ascii="仿宋" w:hAnsi="仿宋" w:eastAsia="仿宋"/>
          <w:b/>
          <w:bCs/>
          <w:sz w:val="28"/>
          <w:szCs w:val="28"/>
        </w:rPr>
      </w:pPr>
      <w:r>
        <w:rPr>
          <w:rFonts w:hint="eastAsia" w:ascii="仿宋" w:hAnsi="仿宋" w:eastAsia="仿宋"/>
          <w:b/>
          <w:bCs/>
          <w:sz w:val="28"/>
          <w:szCs w:val="28"/>
        </w:rPr>
        <w:t>（一）学术素质加分</w:t>
      </w:r>
    </w:p>
    <w:p>
      <w:pPr>
        <w:spacing w:line="360" w:lineRule="auto"/>
        <w:ind w:firstLine="560" w:firstLineChars="200"/>
        <w:rPr>
          <w:rFonts w:ascii="仿宋" w:hAnsi="仿宋" w:eastAsia="仿宋"/>
          <w:sz w:val="28"/>
          <w:szCs w:val="28"/>
        </w:rPr>
      </w:pPr>
      <w:r>
        <w:rPr>
          <w:rFonts w:hint="eastAsia" w:ascii="仿宋" w:hAnsi="仿宋" w:eastAsia="仿宋"/>
          <w:sz w:val="28"/>
          <w:szCs w:val="28"/>
        </w:rPr>
        <w:t>学术素质加分分为发表论文加分（B1）、参加学科竞赛加分（B</w:t>
      </w:r>
      <w:r>
        <w:rPr>
          <w:rFonts w:ascii="仿宋" w:hAnsi="仿宋" w:eastAsia="仿宋"/>
          <w:sz w:val="28"/>
          <w:szCs w:val="28"/>
        </w:rPr>
        <w:t>2</w:t>
      </w:r>
      <w:r>
        <w:rPr>
          <w:rFonts w:hint="eastAsia" w:ascii="仿宋" w:hAnsi="仿宋" w:eastAsia="仿宋"/>
          <w:sz w:val="28"/>
          <w:szCs w:val="28"/>
        </w:rPr>
        <w:t>）、获得专利加分（B3）。学术素质总分</w:t>
      </w:r>
      <w:r>
        <w:rPr>
          <w:rFonts w:hint="eastAsia" w:ascii="仿宋" w:hAnsi="仿宋" w:eastAsia="仿宋" w:cs="仿宋"/>
          <w:sz w:val="28"/>
          <w:szCs w:val="28"/>
        </w:rPr>
        <w:t>B＝B1＋B2＋B3。</w:t>
      </w:r>
    </w:p>
    <w:p>
      <w:pPr>
        <w:spacing w:line="360" w:lineRule="auto"/>
        <w:ind w:firstLine="562" w:firstLineChars="200"/>
        <w:rPr>
          <w:rFonts w:ascii="仿宋" w:hAnsi="仿宋" w:eastAsia="仿宋" w:cs="仿宋"/>
          <w:b/>
          <w:bCs/>
          <w:sz w:val="28"/>
          <w:szCs w:val="28"/>
        </w:rPr>
      </w:pPr>
      <w:r>
        <w:rPr>
          <w:rFonts w:ascii="仿宋" w:hAnsi="仿宋" w:eastAsia="仿宋" w:cs="仿宋"/>
          <w:b/>
          <w:bCs/>
          <w:sz w:val="28"/>
          <w:szCs w:val="28"/>
        </w:rPr>
        <w:t>1</w:t>
      </w:r>
      <w:r>
        <w:rPr>
          <w:rFonts w:hint="eastAsia" w:ascii="仿宋" w:hAnsi="仿宋" w:eastAsia="仿宋" w:cs="仿宋"/>
          <w:b/>
          <w:bCs/>
          <w:sz w:val="28"/>
          <w:szCs w:val="28"/>
        </w:rPr>
        <w:t>.发表论文加分（B1）：</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仅限学生本科阶段以武汉大学为第一完成单位，学生本人应为独立作者或第一作者，在核心期刊及以上、高水平学术会议上发表的与学业相关的科研论文，限三篇代表作，具体期刊和会议种类由学院认定后参照表1进行加分。</w:t>
      </w:r>
    </w:p>
    <w:p>
      <w:pPr>
        <w:spacing w:beforeLines="50" w:line="360" w:lineRule="auto"/>
        <w:ind w:firstLine="480" w:firstLineChars="200"/>
        <w:jc w:val="center"/>
        <w:rPr>
          <w:rFonts w:ascii="仿宋" w:hAnsi="仿宋" w:eastAsia="仿宋" w:cs="仿宋"/>
          <w:sz w:val="28"/>
          <w:szCs w:val="28"/>
        </w:rPr>
      </w:pPr>
      <w:r>
        <w:rPr>
          <w:rFonts w:hint="eastAsia" w:ascii="仿宋" w:hAnsi="仿宋" w:eastAsia="仿宋" w:cs="仿宋"/>
          <w:sz w:val="24"/>
          <w:szCs w:val="24"/>
        </w:rPr>
        <w:t>表1：发表论文加分标准</w:t>
      </w:r>
    </w:p>
    <w:tbl>
      <w:tblPr>
        <w:tblStyle w:val="5"/>
        <w:tblW w:w="8359"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413"/>
        <w:gridCol w:w="2126"/>
        <w:gridCol w:w="2268"/>
        <w:gridCol w:w="2552"/>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413"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 w:hAnsi="仿宋" w:eastAsia="仿宋" w:cs="仿宋"/>
                <w:b/>
                <w:bCs/>
                <w:sz w:val="24"/>
                <w:szCs w:val="24"/>
              </w:rPr>
            </w:pPr>
            <w:r>
              <w:rPr>
                <w:rFonts w:hint="eastAsia" w:ascii="仿宋" w:hAnsi="仿宋" w:eastAsia="仿宋" w:cs="仿宋"/>
                <w:b/>
                <w:bCs/>
                <w:sz w:val="24"/>
                <w:szCs w:val="24"/>
              </w:rPr>
              <w:t>SCI</w:t>
            </w:r>
          </w:p>
        </w:tc>
        <w:tc>
          <w:tcPr>
            <w:tcW w:w="2126"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 w:hAnsi="仿宋" w:eastAsia="仿宋" w:cs="仿宋"/>
                <w:b/>
                <w:bCs/>
                <w:sz w:val="24"/>
                <w:szCs w:val="24"/>
              </w:rPr>
            </w:pPr>
            <w:r>
              <w:rPr>
                <w:rFonts w:hint="eastAsia" w:ascii="仿宋" w:hAnsi="仿宋" w:eastAsia="仿宋" w:cs="仿宋"/>
                <w:b/>
                <w:bCs/>
                <w:sz w:val="24"/>
                <w:szCs w:val="24"/>
              </w:rPr>
              <w:t>SSCI,EI,ISTP</w:t>
            </w:r>
          </w:p>
        </w:tc>
        <w:tc>
          <w:tcPr>
            <w:tcW w:w="2268"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 w:hAnsi="仿宋" w:eastAsia="仿宋" w:cs="仿宋"/>
                <w:b/>
                <w:bCs/>
                <w:sz w:val="24"/>
                <w:szCs w:val="24"/>
              </w:rPr>
            </w:pPr>
            <w:r>
              <w:rPr>
                <w:rFonts w:hint="eastAsia" w:ascii="仿宋" w:hAnsi="仿宋" w:eastAsia="仿宋" w:cs="仿宋"/>
                <w:b/>
                <w:bCs/>
                <w:sz w:val="24"/>
                <w:szCs w:val="24"/>
              </w:rPr>
              <w:t>国家权威期刊</w:t>
            </w:r>
          </w:p>
        </w:tc>
        <w:tc>
          <w:tcPr>
            <w:tcW w:w="2552"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 w:hAnsi="仿宋" w:eastAsia="仿宋" w:cs="仿宋"/>
                <w:b/>
                <w:bCs/>
                <w:sz w:val="24"/>
                <w:szCs w:val="24"/>
              </w:rPr>
            </w:pPr>
            <w:r>
              <w:rPr>
                <w:rFonts w:hint="eastAsia" w:ascii="仿宋" w:hAnsi="仿宋" w:eastAsia="仿宋" w:cs="仿宋"/>
                <w:b/>
                <w:bCs/>
                <w:sz w:val="24"/>
                <w:szCs w:val="24"/>
              </w:rPr>
              <w:t>国家核心期刊</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1413"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 w:hAnsi="仿宋" w:eastAsia="仿宋" w:cs="仿宋"/>
                <w:sz w:val="24"/>
                <w:szCs w:val="24"/>
              </w:rPr>
            </w:pPr>
            <w:r>
              <w:rPr>
                <w:rFonts w:hint="eastAsia" w:ascii="仿宋" w:hAnsi="仿宋" w:eastAsia="仿宋" w:cs="仿宋"/>
                <w:sz w:val="24"/>
                <w:szCs w:val="24"/>
              </w:rPr>
              <w:t>20</w:t>
            </w:r>
          </w:p>
        </w:tc>
        <w:tc>
          <w:tcPr>
            <w:tcW w:w="2126"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 w:hAnsi="仿宋" w:eastAsia="仿宋" w:cs="仿宋"/>
                <w:sz w:val="24"/>
                <w:szCs w:val="24"/>
              </w:rPr>
            </w:pPr>
            <w:r>
              <w:rPr>
                <w:rFonts w:hint="eastAsia" w:ascii="仿宋" w:hAnsi="仿宋" w:eastAsia="仿宋" w:cs="仿宋"/>
                <w:sz w:val="24"/>
                <w:szCs w:val="24"/>
              </w:rPr>
              <w:t>15</w:t>
            </w:r>
          </w:p>
        </w:tc>
        <w:tc>
          <w:tcPr>
            <w:tcW w:w="2268"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 w:hAnsi="仿宋" w:eastAsia="仿宋" w:cs="仿宋"/>
                <w:sz w:val="24"/>
                <w:szCs w:val="24"/>
              </w:rPr>
            </w:pPr>
            <w:r>
              <w:rPr>
                <w:rFonts w:hint="eastAsia" w:ascii="仿宋" w:hAnsi="仿宋" w:eastAsia="仿宋" w:cs="仿宋"/>
                <w:sz w:val="24"/>
                <w:szCs w:val="24"/>
              </w:rPr>
              <w:t>12</w:t>
            </w:r>
          </w:p>
        </w:tc>
        <w:tc>
          <w:tcPr>
            <w:tcW w:w="2552"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 w:hAnsi="仿宋" w:eastAsia="仿宋" w:cs="仿宋"/>
                <w:sz w:val="24"/>
                <w:szCs w:val="24"/>
              </w:rPr>
            </w:pPr>
            <w:r>
              <w:rPr>
                <w:rFonts w:hint="eastAsia" w:ascii="仿宋" w:hAnsi="仿宋" w:eastAsia="仿宋" w:cs="仿宋"/>
                <w:sz w:val="24"/>
                <w:szCs w:val="24"/>
              </w:rPr>
              <w:t>8</w:t>
            </w:r>
          </w:p>
        </w:tc>
      </w:tr>
    </w:tbl>
    <w:p>
      <w:pPr>
        <w:spacing w:beforeLines="50" w:line="460" w:lineRule="exact"/>
        <w:ind w:firstLine="562" w:firstLineChars="200"/>
        <w:rPr>
          <w:rFonts w:ascii="仿宋" w:hAnsi="仿宋" w:eastAsia="仿宋" w:cs="仿宋"/>
          <w:b/>
          <w:bCs/>
          <w:sz w:val="28"/>
          <w:szCs w:val="28"/>
        </w:rPr>
      </w:pPr>
      <w:r>
        <w:rPr>
          <w:rFonts w:ascii="仿宋" w:hAnsi="仿宋" w:eastAsia="仿宋" w:cs="仿宋"/>
          <w:b/>
          <w:bCs/>
          <w:sz w:val="28"/>
          <w:szCs w:val="28"/>
        </w:rPr>
        <w:t>2</w:t>
      </w:r>
      <w:r>
        <w:rPr>
          <w:rFonts w:hint="eastAsia" w:ascii="仿宋" w:hAnsi="仿宋" w:eastAsia="仿宋" w:cs="仿宋"/>
          <w:b/>
          <w:bCs/>
          <w:sz w:val="28"/>
          <w:szCs w:val="28"/>
        </w:rPr>
        <w:t>.参加学科竞赛加分（B</w:t>
      </w:r>
      <w:r>
        <w:rPr>
          <w:rFonts w:ascii="仿宋" w:hAnsi="仿宋" w:eastAsia="仿宋" w:cs="仿宋"/>
          <w:b/>
          <w:bCs/>
          <w:sz w:val="28"/>
          <w:szCs w:val="28"/>
        </w:rPr>
        <w:t>2</w:t>
      </w:r>
      <w:r>
        <w:rPr>
          <w:rFonts w:hint="eastAsia" w:ascii="仿宋" w:hAnsi="仿宋" w:eastAsia="仿宋" w:cs="仿宋"/>
          <w:b/>
          <w:bCs/>
          <w:sz w:val="28"/>
          <w:szCs w:val="28"/>
        </w:rPr>
        <w:t>）：</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仅限学生本科阶段以武汉大学为第一完成单位并作为主力成员参加的与学业相关的学科竞赛获奖，限三项代表奖项。学校认可的学科竞赛有Ⅰ类和Ⅱ类两种类型（见表2），Ⅱ类学科竞赛加分最高不超过学术活动满分的80</w:t>
      </w:r>
      <w:r>
        <w:rPr>
          <w:rFonts w:ascii="仿宋" w:hAnsi="仿宋" w:eastAsia="仿宋" w:cs="仿宋"/>
          <w:sz w:val="28"/>
          <w:szCs w:val="28"/>
        </w:rPr>
        <w:t>%</w:t>
      </w:r>
      <w:r>
        <w:rPr>
          <w:rFonts w:hint="eastAsia" w:ascii="仿宋" w:hAnsi="仿宋" w:eastAsia="仿宋" w:cs="仿宋"/>
          <w:sz w:val="28"/>
          <w:szCs w:val="28"/>
        </w:rPr>
        <w:t>，</w:t>
      </w:r>
      <w:r>
        <w:rPr>
          <w:rFonts w:hint="eastAsia" w:ascii="仿宋" w:hAnsi="仿宋" w:eastAsia="仿宋" w:cs="仿宋"/>
          <w:bCs/>
          <w:sz w:val="28"/>
          <w:szCs w:val="28"/>
        </w:rPr>
        <w:t>单项赛事最高加分不超过学术活动满分的60%</w:t>
      </w:r>
      <w:r>
        <w:rPr>
          <w:rFonts w:hint="eastAsia" w:ascii="仿宋" w:hAnsi="仿宋" w:eastAsia="仿宋" w:cs="仿宋"/>
          <w:sz w:val="28"/>
          <w:szCs w:val="28"/>
        </w:rPr>
        <w:t>。竞赛加分标准见表3。</w:t>
      </w:r>
    </w:p>
    <w:p>
      <w:pPr>
        <w:spacing w:beforeLines="50" w:line="360" w:lineRule="auto"/>
        <w:jc w:val="center"/>
        <w:rPr>
          <w:rFonts w:ascii="仿宋" w:hAnsi="仿宋" w:eastAsia="仿宋" w:cs="仿宋"/>
          <w:sz w:val="28"/>
          <w:szCs w:val="28"/>
        </w:rPr>
      </w:pPr>
      <w:r>
        <w:rPr>
          <w:rFonts w:hint="eastAsia" w:ascii="仿宋" w:hAnsi="仿宋" w:eastAsia="仿宋" w:cs="仿宋"/>
          <w:sz w:val="24"/>
          <w:szCs w:val="24"/>
        </w:rPr>
        <w:t>表2：学校认可的学科竞赛类型汇总表</w:t>
      </w:r>
    </w:p>
    <w:tbl>
      <w:tblPr>
        <w:tblStyle w:val="5"/>
        <w:tblW w:w="79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69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pPr>
              <w:spacing w:line="460" w:lineRule="exact"/>
              <w:jc w:val="center"/>
              <w:rPr>
                <w:rFonts w:ascii="仿宋" w:hAnsi="仿宋" w:eastAsia="仿宋" w:cs="仿宋"/>
                <w:b/>
                <w:sz w:val="24"/>
                <w:szCs w:val="24"/>
              </w:rPr>
            </w:pPr>
            <w:r>
              <w:rPr>
                <w:rFonts w:hint="eastAsia" w:ascii="仿宋" w:hAnsi="仿宋" w:eastAsia="仿宋" w:cs="仿宋"/>
                <w:b/>
                <w:sz w:val="24"/>
                <w:szCs w:val="24"/>
              </w:rPr>
              <w:t>类别</w:t>
            </w:r>
          </w:p>
        </w:tc>
        <w:tc>
          <w:tcPr>
            <w:tcW w:w="6951" w:type="dxa"/>
            <w:vAlign w:val="center"/>
          </w:tcPr>
          <w:p>
            <w:pPr>
              <w:spacing w:line="460" w:lineRule="exact"/>
              <w:ind w:firstLine="482" w:firstLineChars="200"/>
              <w:jc w:val="center"/>
              <w:rPr>
                <w:rFonts w:ascii="仿宋" w:hAnsi="仿宋" w:eastAsia="仿宋" w:cs="仿宋"/>
                <w:b/>
                <w:sz w:val="24"/>
                <w:szCs w:val="24"/>
              </w:rPr>
            </w:pPr>
            <w:r>
              <w:rPr>
                <w:rFonts w:hint="eastAsia" w:ascii="仿宋" w:hAnsi="仿宋" w:eastAsia="仿宋" w:cs="仿宋"/>
                <w:b/>
                <w:sz w:val="24"/>
                <w:szCs w:val="24"/>
              </w:rPr>
              <w:t>竞 赛 项 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6" w:hRule="atLeast"/>
        </w:trPr>
        <w:tc>
          <w:tcPr>
            <w:tcW w:w="988" w:type="dxa"/>
            <w:vAlign w:val="center"/>
          </w:tcPr>
          <w:p>
            <w:pPr>
              <w:spacing w:line="460" w:lineRule="exact"/>
              <w:jc w:val="center"/>
              <w:rPr>
                <w:rFonts w:ascii="仿宋" w:hAnsi="仿宋" w:eastAsia="仿宋" w:cs="仿宋"/>
                <w:sz w:val="24"/>
                <w:szCs w:val="24"/>
              </w:rPr>
            </w:pPr>
            <w:r>
              <w:rPr>
                <w:rFonts w:hint="eastAsia" w:ascii="仿宋" w:hAnsi="仿宋" w:eastAsia="仿宋" w:cs="仿宋"/>
                <w:sz w:val="24"/>
                <w:szCs w:val="24"/>
              </w:rPr>
              <w:t>Ⅰ类</w:t>
            </w:r>
          </w:p>
        </w:tc>
        <w:tc>
          <w:tcPr>
            <w:tcW w:w="6951" w:type="dxa"/>
            <w:vAlign w:val="center"/>
          </w:tcPr>
          <w:p>
            <w:pPr>
              <w:spacing w:line="460" w:lineRule="exact"/>
              <w:rPr>
                <w:rFonts w:ascii="仿宋" w:hAnsi="仿宋" w:eastAsia="仿宋" w:cs="仿宋"/>
                <w:sz w:val="24"/>
                <w:szCs w:val="24"/>
              </w:rPr>
            </w:pPr>
            <w:r>
              <w:rPr>
                <w:rFonts w:hint="eastAsia" w:ascii="仿宋" w:hAnsi="仿宋" w:eastAsia="仿宋" w:cs="仿宋"/>
                <w:sz w:val="24"/>
                <w:szCs w:val="24"/>
              </w:rPr>
              <w:t>中国国际“互联网+”大学生创新创业大赛</w:t>
            </w:r>
          </w:p>
          <w:p>
            <w:pPr>
              <w:spacing w:line="460" w:lineRule="exact"/>
              <w:rPr>
                <w:rFonts w:ascii="仿宋" w:hAnsi="仿宋" w:eastAsia="仿宋" w:cs="仿宋"/>
                <w:sz w:val="24"/>
                <w:szCs w:val="24"/>
              </w:rPr>
            </w:pPr>
            <w:r>
              <w:rPr>
                <w:rFonts w:hint="eastAsia" w:ascii="仿宋" w:hAnsi="仿宋" w:eastAsia="仿宋" w:cs="仿宋"/>
                <w:sz w:val="24"/>
                <w:szCs w:val="24"/>
              </w:rPr>
              <w:t>“挑战杯”全国大学生课外学术科技作品竞赛</w:t>
            </w:r>
          </w:p>
          <w:p>
            <w:pPr>
              <w:spacing w:line="460" w:lineRule="exact"/>
              <w:rPr>
                <w:rFonts w:ascii="仿宋" w:hAnsi="仿宋" w:eastAsia="仿宋" w:cs="仿宋"/>
                <w:sz w:val="24"/>
                <w:szCs w:val="24"/>
              </w:rPr>
            </w:pPr>
            <w:r>
              <w:rPr>
                <w:rFonts w:hint="eastAsia" w:ascii="仿宋" w:hAnsi="仿宋" w:eastAsia="仿宋" w:cs="仿宋"/>
                <w:sz w:val="24"/>
                <w:szCs w:val="24"/>
              </w:rPr>
              <w:t>“挑战杯”中国大学生创业计划竞赛</w:t>
            </w:r>
          </w:p>
          <w:p>
            <w:pPr>
              <w:spacing w:line="460" w:lineRule="exact"/>
              <w:rPr>
                <w:rFonts w:ascii="仿宋" w:hAnsi="仿宋" w:eastAsia="仿宋" w:cs="仿宋"/>
                <w:sz w:val="24"/>
                <w:szCs w:val="24"/>
              </w:rPr>
            </w:pPr>
            <w:r>
              <w:rPr>
                <w:rFonts w:hint="eastAsia" w:ascii="仿宋" w:hAnsi="仿宋" w:eastAsia="仿宋" w:cs="仿宋"/>
                <w:sz w:val="24"/>
                <w:szCs w:val="24"/>
              </w:rPr>
              <w:t>全国大学生数学建模竞赛</w:t>
            </w:r>
          </w:p>
          <w:p>
            <w:pPr>
              <w:spacing w:line="460" w:lineRule="exact"/>
              <w:rPr>
                <w:rFonts w:ascii="仿宋" w:hAnsi="仿宋" w:eastAsia="仿宋" w:cs="仿宋"/>
                <w:sz w:val="24"/>
                <w:szCs w:val="24"/>
              </w:rPr>
            </w:pPr>
            <w:r>
              <w:rPr>
                <w:rFonts w:hint="eastAsia" w:ascii="仿宋" w:hAnsi="仿宋" w:eastAsia="仿宋" w:cs="仿宋"/>
                <w:sz w:val="24"/>
                <w:szCs w:val="24"/>
              </w:rPr>
              <w:t>全国大学生电子设计竞赛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pPr>
              <w:spacing w:line="460" w:lineRule="exact"/>
              <w:jc w:val="center"/>
              <w:rPr>
                <w:rFonts w:ascii="仿宋" w:hAnsi="仿宋" w:eastAsia="仿宋" w:cs="仿宋"/>
                <w:sz w:val="24"/>
                <w:szCs w:val="24"/>
              </w:rPr>
            </w:pPr>
            <w:r>
              <w:rPr>
                <w:rFonts w:hint="eastAsia" w:ascii="仿宋" w:hAnsi="仿宋" w:eastAsia="仿宋" w:cs="仿宋"/>
                <w:sz w:val="24"/>
                <w:szCs w:val="24"/>
              </w:rPr>
              <w:t>Ⅱ类</w:t>
            </w:r>
          </w:p>
        </w:tc>
        <w:tc>
          <w:tcPr>
            <w:tcW w:w="6951" w:type="dxa"/>
            <w:vAlign w:val="center"/>
          </w:tcPr>
          <w:p>
            <w:pPr>
              <w:spacing w:line="460" w:lineRule="exact"/>
              <w:rPr>
                <w:rFonts w:ascii="仿宋" w:hAnsi="仿宋" w:eastAsia="仿宋" w:cs="仿宋"/>
                <w:sz w:val="24"/>
                <w:szCs w:val="24"/>
              </w:rPr>
            </w:pPr>
            <w:r>
              <w:rPr>
                <w:rFonts w:hint="eastAsia" w:ascii="仿宋" w:hAnsi="仿宋" w:eastAsia="仿宋" w:cs="仿宋"/>
                <w:sz w:val="24"/>
                <w:szCs w:val="24"/>
              </w:rPr>
              <w:t>2022年及以前，学校立项的赛事</w:t>
            </w:r>
          </w:p>
          <w:p>
            <w:pPr>
              <w:spacing w:line="460" w:lineRule="exact"/>
              <w:rPr>
                <w:rFonts w:ascii="仿宋" w:hAnsi="仿宋" w:eastAsia="仿宋" w:cs="仿宋"/>
                <w:sz w:val="24"/>
                <w:szCs w:val="24"/>
              </w:rPr>
            </w:pPr>
            <w:r>
              <w:rPr>
                <w:rFonts w:hint="eastAsia" w:ascii="仿宋" w:hAnsi="仿宋" w:eastAsia="仿宋" w:cs="仿宋"/>
                <w:sz w:val="24"/>
                <w:szCs w:val="24"/>
              </w:rPr>
              <w:t>2023年及以后，学校认定的赛事</w:t>
            </w:r>
          </w:p>
        </w:tc>
      </w:tr>
    </w:tbl>
    <w:p>
      <w:pPr>
        <w:spacing w:beforeLines="50" w:line="360" w:lineRule="auto"/>
        <w:ind w:firstLine="560" w:firstLineChars="200"/>
        <w:rPr>
          <w:rFonts w:ascii="仿宋" w:hAnsi="仿宋" w:eastAsia="仿宋" w:cs="仿宋"/>
          <w:bCs/>
          <w:sz w:val="28"/>
          <w:szCs w:val="28"/>
        </w:rPr>
      </w:pPr>
      <w:r>
        <w:rPr>
          <w:rFonts w:hint="eastAsia" w:ascii="仿宋" w:hAnsi="仿宋" w:eastAsia="仿宋" w:cs="仿宋"/>
          <w:sz w:val="28"/>
          <w:szCs w:val="28"/>
        </w:rPr>
        <w:t>Ⅰ类</w:t>
      </w:r>
      <w:r>
        <w:rPr>
          <w:rFonts w:hint="eastAsia" w:ascii="仿宋" w:hAnsi="仿宋" w:eastAsia="仿宋" w:cs="仿宋"/>
          <w:bCs/>
          <w:sz w:val="28"/>
          <w:szCs w:val="28"/>
        </w:rPr>
        <w:t>赛事的</w:t>
      </w:r>
      <w:r>
        <w:rPr>
          <w:rFonts w:hint="eastAsia" w:ascii="仿宋" w:hAnsi="仿宋" w:eastAsia="仿宋" w:cs="仿宋"/>
          <w:sz w:val="28"/>
          <w:szCs w:val="28"/>
        </w:rPr>
        <w:t>“互联网+”大学生创新创业大赛金奖、“挑战杯”大学生竞赛一等奖及以上和金奖、全国大学生数学建模竞赛和全国大学生电子设计竞赛国家级一等奖及以上的主力成员（排名前五），其10%的学术活动得分按满分计算，Ⅰ类</w:t>
      </w:r>
      <w:r>
        <w:rPr>
          <w:rFonts w:hint="eastAsia" w:ascii="仿宋" w:hAnsi="仿宋" w:eastAsia="仿宋" w:cs="仿宋"/>
          <w:bCs/>
          <w:sz w:val="28"/>
          <w:szCs w:val="28"/>
        </w:rPr>
        <w:t>赛事的其他获奖经学院认定后按表3标准加分，</w:t>
      </w:r>
      <w:r>
        <w:rPr>
          <w:rFonts w:hint="eastAsia" w:ascii="仿宋" w:hAnsi="仿宋" w:eastAsia="仿宋" w:cs="仿宋"/>
          <w:sz w:val="28"/>
          <w:szCs w:val="28"/>
        </w:rPr>
        <w:t>Ⅱ类</w:t>
      </w:r>
      <w:r>
        <w:rPr>
          <w:rFonts w:hint="eastAsia" w:ascii="仿宋" w:hAnsi="仿宋" w:eastAsia="仿宋" w:cs="仿宋"/>
          <w:bCs/>
          <w:sz w:val="28"/>
          <w:szCs w:val="28"/>
        </w:rPr>
        <w:t>赛事（非数学类赛事）各级获奖经学院认定后的按表3对应分值乘以0</w:t>
      </w:r>
      <w:r>
        <w:rPr>
          <w:rFonts w:ascii="仿宋" w:hAnsi="仿宋" w:eastAsia="仿宋" w:cs="仿宋"/>
          <w:bCs/>
          <w:sz w:val="28"/>
          <w:szCs w:val="28"/>
        </w:rPr>
        <w:t>.6</w:t>
      </w:r>
      <w:r>
        <w:rPr>
          <w:rFonts w:hint="eastAsia" w:ascii="仿宋" w:hAnsi="仿宋" w:eastAsia="仿宋" w:cs="仿宋"/>
          <w:bCs/>
          <w:sz w:val="28"/>
          <w:szCs w:val="28"/>
        </w:rPr>
        <w:t>的系数进行计算。对于同一项竞赛不同年度的获奖记分，对同一项获奖中的最高的奖项按以上标准计算，第二高的奖项乘以0.2的系数进行计算，第三高的奖项乘以0.1的系数进行计算。</w:t>
      </w:r>
    </w:p>
    <w:p>
      <w:pPr>
        <w:spacing w:beforeLines="50" w:line="360" w:lineRule="auto"/>
        <w:jc w:val="center"/>
        <w:rPr>
          <w:rFonts w:ascii="仿宋" w:hAnsi="仿宋" w:eastAsia="仿宋" w:cs="仿宋"/>
          <w:bCs/>
          <w:sz w:val="28"/>
          <w:szCs w:val="28"/>
        </w:rPr>
      </w:pPr>
      <w:r>
        <w:rPr>
          <w:rFonts w:hint="eastAsia" w:ascii="仿宋" w:hAnsi="仿宋" w:eastAsia="仿宋" w:cs="仿宋"/>
          <w:sz w:val="24"/>
          <w:szCs w:val="24"/>
        </w:rPr>
        <w:t>表3：学科竞赛加分标准</w:t>
      </w:r>
    </w:p>
    <w:tbl>
      <w:tblPr>
        <w:tblStyle w:val="5"/>
        <w:tblW w:w="835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268"/>
        <w:gridCol w:w="1134"/>
        <w:gridCol w:w="1701"/>
        <w:gridCol w:w="1555"/>
        <w:gridCol w:w="1701"/>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2268"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 w:hAnsi="仿宋" w:eastAsia="仿宋" w:cs="仿宋"/>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 w:hAnsi="仿宋" w:eastAsia="仿宋" w:cs="仿宋"/>
                <w:b/>
                <w:bCs/>
                <w:sz w:val="24"/>
                <w:szCs w:val="24"/>
              </w:rPr>
            </w:pPr>
            <w:r>
              <w:rPr>
                <w:rFonts w:hint="eastAsia" w:ascii="仿宋" w:hAnsi="仿宋" w:eastAsia="仿宋" w:cs="仿宋"/>
                <w:b/>
                <w:bCs/>
                <w:sz w:val="24"/>
                <w:szCs w:val="24"/>
              </w:rPr>
              <w:t>等级</w:t>
            </w:r>
          </w:p>
        </w:tc>
        <w:tc>
          <w:tcPr>
            <w:tcW w:w="1701"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 w:hAnsi="仿宋" w:eastAsia="仿宋" w:cs="仿宋"/>
                <w:b/>
                <w:bCs/>
                <w:sz w:val="24"/>
                <w:szCs w:val="24"/>
              </w:rPr>
            </w:pPr>
            <w:r>
              <w:rPr>
                <w:rFonts w:hint="eastAsia" w:ascii="仿宋" w:hAnsi="仿宋" w:eastAsia="仿宋" w:cs="仿宋"/>
                <w:b/>
                <w:bCs/>
                <w:sz w:val="24"/>
                <w:szCs w:val="24"/>
              </w:rPr>
              <w:t>国家级</w:t>
            </w:r>
          </w:p>
        </w:tc>
        <w:tc>
          <w:tcPr>
            <w:tcW w:w="1555"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 w:hAnsi="仿宋" w:eastAsia="仿宋" w:cs="仿宋"/>
                <w:b/>
                <w:bCs/>
                <w:sz w:val="24"/>
                <w:szCs w:val="24"/>
              </w:rPr>
            </w:pPr>
            <w:r>
              <w:rPr>
                <w:rFonts w:hint="eastAsia" w:ascii="仿宋" w:hAnsi="仿宋" w:eastAsia="仿宋" w:cs="仿宋"/>
                <w:b/>
                <w:bCs/>
                <w:sz w:val="24"/>
                <w:szCs w:val="24"/>
              </w:rPr>
              <w:t>省部级</w:t>
            </w:r>
          </w:p>
        </w:tc>
        <w:tc>
          <w:tcPr>
            <w:tcW w:w="1701"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 w:hAnsi="仿宋" w:eastAsia="仿宋" w:cs="仿宋"/>
                <w:b/>
                <w:bCs/>
                <w:sz w:val="24"/>
                <w:szCs w:val="24"/>
              </w:rPr>
            </w:pPr>
            <w:r>
              <w:rPr>
                <w:rFonts w:hint="eastAsia" w:ascii="仿宋" w:hAnsi="仿宋" w:eastAsia="仿宋" w:cs="仿宋"/>
                <w:b/>
                <w:bCs/>
                <w:sz w:val="24"/>
                <w:szCs w:val="24"/>
              </w:rPr>
              <w:t>市级/校级</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2268" w:type="dxa"/>
            <w:vMerge w:val="restart"/>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 w:hAnsi="仿宋" w:eastAsia="仿宋" w:cs="仿宋"/>
                <w:sz w:val="24"/>
                <w:szCs w:val="24"/>
              </w:rPr>
            </w:pPr>
            <w:r>
              <w:rPr>
                <w:rFonts w:hint="eastAsia" w:ascii="仿宋" w:hAnsi="仿宋" w:eastAsia="仿宋" w:cs="仿宋"/>
                <w:sz w:val="24"/>
                <w:szCs w:val="24"/>
              </w:rPr>
              <w:t>获奖成果</w:t>
            </w:r>
          </w:p>
        </w:tc>
        <w:tc>
          <w:tcPr>
            <w:tcW w:w="1134"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 w:hAnsi="仿宋" w:eastAsia="仿宋" w:cs="仿宋"/>
                <w:sz w:val="24"/>
                <w:szCs w:val="24"/>
              </w:rPr>
            </w:pPr>
            <w:r>
              <w:rPr>
                <w:rFonts w:hint="eastAsia" w:ascii="仿宋" w:hAnsi="仿宋" w:eastAsia="仿宋" w:cs="仿宋"/>
                <w:sz w:val="24"/>
                <w:szCs w:val="24"/>
              </w:rPr>
              <w:t>一</w:t>
            </w:r>
          </w:p>
        </w:tc>
        <w:tc>
          <w:tcPr>
            <w:tcW w:w="1701"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 w:hAnsi="仿宋" w:eastAsia="仿宋" w:cs="仿宋"/>
                <w:sz w:val="24"/>
                <w:szCs w:val="24"/>
              </w:rPr>
            </w:pPr>
            <w:r>
              <w:rPr>
                <w:rFonts w:hint="eastAsia" w:ascii="仿宋" w:hAnsi="仿宋" w:eastAsia="仿宋" w:cs="仿宋"/>
                <w:sz w:val="24"/>
                <w:szCs w:val="24"/>
              </w:rPr>
              <w:t>20</w:t>
            </w:r>
          </w:p>
        </w:tc>
        <w:tc>
          <w:tcPr>
            <w:tcW w:w="1555"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 w:hAnsi="仿宋" w:eastAsia="仿宋" w:cs="仿宋"/>
                <w:sz w:val="24"/>
                <w:szCs w:val="24"/>
              </w:rPr>
            </w:pPr>
            <w:r>
              <w:rPr>
                <w:rFonts w:hint="eastAsia" w:ascii="仿宋" w:hAnsi="仿宋" w:eastAsia="仿宋" w:cs="仿宋"/>
                <w:sz w:val="24"/>
                <w:szCs w:val="24"/>
              </w:rPr>
              <w:t>10</w:t>
            </w:r>
          </w:p>
        </w:tc>
        <w:tc>
          <w:tcPr>
            <w:tcW w:w="1701"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 w:hAnsi="仿宋" w:eastAsia="仿宋" w:cs="仿宋"/>
                <w:sz w:val="24"/>
                <w:szCs w:val="24"/>
              </w:rPr>
            </w:pPr>
            <w:r>
              <w:rPr>
                <w:rFonts w:hint="eastAsia" w:ascii="仿宋" w:hAnsi="仿宋" w:eastAsia="仿宋" w:cs="仿宋"/>
                <w:sz w:val="24"/>
                <w:szCs w:val="24"/>
              </w:rPr>
              <w:t>5</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2268" w:type="dxa"/>
            <w:vMerge w:val="continue"/>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 w:hAnsi="仿宋" w:eastAsia="仿宋" w:cs="仿宋"/>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 w:hAnsi="仿宋" w:eastAsia="仿宋" w:cs="仿宋"/>
                <w:sz w:val="24"/>
                <w:szCs w:val="24"/>
              </w:rPr>
            </w:pPr>
            <w:r>
              <w:rPr>
                <w:rFonts w:hint="eastAsia" w:ascii="仿宋" w:hAnsi="仿宋" w:eastAsia="仿宋" w:cs="仿宋"/>
                <w:sz w:val="24"/>
                <w:szCs w:val="24"/>
              </w:rPr>
              <w:t>二</w:t>
            </w:r>
          </w:p>
        </w:tc>
        <w:tc>
          <w:tcPr>
            <w:tcW w:w="1701"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 w:hAnsi="仿宋" w:eastAsia="仿宋" w:cs="仿宋"/>
                <w:sz w:val="24"/>
                <w:szCs w:val="24"/>
              </w:rPr>
            </w:pPr>
            <w:r>
              <w:rPr>
                <w:rFonts w:hint="eastAsia" w:ascii="仿宋" w:hAnsi="仿宋" w:eastAsia="仿宋" w:cs="仿宋"/>
                <w:sz w:val="24"/>
                <w:szCs w:val="24"/>
              </w:rPr>
              <w:t>1</w:t>
            </w:r>
            <w:r>
              <w:rPr>
                <w:rFonts w:ascii="仿宋" w:hAnsi="仿宋" w:eastAsia="仿宋" w:cs="仿宋"/>
                <w:sz w:val="24"/>
                <w:szCs w:val="24"/>
              </w:rPr>
              <w:t>6</w:t>
            </w:r>
          </w:p>
        </w:tc>
        <w:tc>
          <w:tcPr>
            <w:tcW w:w="1555"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 w:hAnsi="仿宋" w:eastAsia="仿宋" w:cs="仿宋"/>
                <w:sz w:val="24"/>
                <w:szCs w:val="24"/>
              </w:rPr>
            </w:pPr>
            <w:r>
              <w:rPr>
                <w:rFonts w:hint="eastAsia" w:ascii="仿宋" w:hAnsi="仿宋" w:eastAsia="仿宋" w:cs="仿宋"/>
                <w:sz w:val="24"/>
                <w:szCs w:val="24"/>
              </w:rPr>
              <w:t>8</w:t>
            </w:r>
          </w:p>
        </w:tc>
        <w:tc>
          <w:tcPr>
            <w:tcW w:w="1701"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 w:hAnsi="仿宋" w:eastAsia="仿宋" w:cs="仿宋"/>
                <w:sz w:val="24"/>
                <w:szCs w:val="24"/>
              </w:rPr>
            </w:pPr>
            <w:r>
              <w:rPr>
                <w:rFonts w:hint="eastAsia" w:ascii="仿宋" w:hAnsi="仿宋" w:eastAsia="仿宋" w:cs="仿宋"/>
                <w:sz w:val="24"/>
                <w:szCs w:val="24"/>
              </w:rPr>
              <w:t>4</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2268" w:type="dxa"/>
            <w:vMerge w:val="continue"/>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 w:hAnsi="仿宋" w:eastAsia="仿宋" w:cs="仿宋"/>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 w:hAnsi="仿宋" w:eastAsia="仿宋" w:cs="仿宋"/>
                <w:sz w:val="24"/>
                <w:szCs w:val="24"/>
              </w:rPr>
            </w:pPr>
            <w:r>
              <w:rPr>
                <w:rFonts w:hint="eastAsia" w:ascii="仿宋" w:hAnsi="仿宋" w:eastAsia="仿宋" w:cs="仿宋"/>
                <w:sz w:val="24"/>
                <w:szCs w:val="24"/>
              </w:rPr>
              <w:t>三</w:t>
            </w:r>
          </w:p>
        </w:tc>
        <w:tc>
          <w:tcPr>
            <w:tcW w:w="1701"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 w:hAnsi="仿宋" w:eastAsia="仿宋" w:cs="仿宋"/>
                <w:sz w:val="24"/>
                <w:szCs w:val="24"/>
              </w:rPr>
            </w:pPr>
            <w:r>
              <w:rPr>
                <w:rFonts w:ascii="仿宋" w:hAnsi="仿宋" w:eastAsia="仿宋" w:cs="仿宋"/>
                <w:sz w:val="24"/>
                <w:szCs w:val="24"/>
              </w:rPr>
              <w:t>12</w:t>
            </w:r>
          </w:p>
        </w:tc>
        <w:tc>
          <w:tcPr>
            <w:tcW w:w="1555"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 w:hAnsi="仿宋" w:eastAsia="仿宋" w:cs="仿宋"/>
                <w:sz w:val="24"/>
                <w:szCs w:val="24"/>
              </w:rPr>
            </w:pPr>
            <w:r>
              <w:rPr>
                <w:rFonts w:hint="eastAsia" w:ascii="仿宋" w:hAnsi="仿宋" w:eastAsia="仿宋" w:cs="仿宋"/>
                <w:sz w:val="24"/>
                <w:szCs w:val="24"/>
              </w:rPr>
              <w:t>6</w:t>
            </w:r>
          </w:p>
        </w:tc>
        <w:tc>
          <w:tcPr>
            <w:tcW w:w="1701"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仿宋" w:hAnsi="仿宋" w:eastAsia="仿宋" w:cs="仿宋"/>
                <w:sz w:val="24"/>
                <w:szCs w:val="24"/>
              </w:rPr>
            </w:pPr>
            <w:r>
              <w:rPr>
                <w:rFonts w:hint="eastAsia" w:ascii="仿宋" w:hAnsi="仿宋" w:eastAsia="仿宋" w:cs="仿宋"/>
                <w:sz w:val="24"/>
                <w:szCs w:val="24"/>
              </w:rPr>
              <w:t>3</w:t>
            </w:r>
          </w:p>
        </w:tc>
      </w:tr>
    </w:tbl>
    <w:p>
      <w:pPr>
        <w:spacing w:line="360" w:lineRule="auto"/>
        <w:ind w:firstLine="560"/>
        <w:rPr>
          <w:rFonts w:ascii="仿宋" w:hAnsi="仿宋" w:eastAsia="仿宋" w:cs="仿宋"/>
          <w:b/>
          <w:bCs/>
          <w:sz w:val="28"/>
          <w:szCs w:val="28"/>
        </w:rPr>
      </w:pPr>
      <w:r>
        <w:rPr>
          <w:rFonts w:hint="eastAsia" w:ascii="仿宋" w:hAnsi="仿宋" w:eastAsia="仿宋" w:cs="仿宋"/>
          <w:b/>
          <w:bCs/>
          <w:sz w:val="28"/>
          <w:szCs w:val="28"/>
        </w:rPr>
        <w:t>3.获得专利加分（B</w:t>
      </w:r>
      <w:r>
        <w:rPr>
          <w:rFonts w:ascii="仿宋" w:hAnsi="仿宋" w:eastAsia="仿宋" w:cs="仿宋"/>
          <w:b/>
          <w:bCs/>
          <w:sz w:val="28"/>
          <w:szCs w:val="28"/>
        </w:rPr>
        <w:t>3</w:t>
      </w:r>
      <w:r>
        <w:rPr>
          <w:rFonts w:hint="eastAsia" w:ascii="仿宋" w:hAnsi="仿宋" w:eastAsia="仿宋" w:cs="仿宋"/>
          <w:b/>
          <w:bCs/>
          <w:sz w:val="28"/>
          <w:szCs w:val="28"/>
        </w:rPr>
        <w:t>）：</w:t>
      </w:r>
    </w:p>
    <w:p>
      <w:pPr>
        <w:spacing w:line="360" w:lineRule="auto"/>
        <w:ind w:firstLine="560"/>
        <w:rPr>
          <w:rFonts w:ascii="仿宋" w:hAnsi="仿宋" w:eastAsia="仿宋" w:cs="仿宋"/>
          <w:b/>
          <w:bCs/>
          <w:sz w:val="28"/>
          <w:szCs w:val="28"/>
        </w:rPr>
      </w:pPr>
      <w:r>
        <w:rPr>
          <w:rFonts w:hint="eastAsia" w:ascii="仿宋" w:hAnsi="仿宋" w:eastAsia="仿宋" w:cs="仿宋"/>
          <w:sz w:val="28"/>
          <w:szCs w:val="28"/>
        </w:rPr>
        <w:t>仅限学生本科阶段以武汉大学为第一完成单位，学生本人为第一完成人，通过武汉大学科学技术发展研究院完成与本专业相关的国家（国际）专利证书，具体专利的种类由学院认定。每个学生获得专利加分最高不超过学术活动满分的60%。</w:t>
      </w:r>
    </w:p>
    <w:p>
      <w:pPr>
        <w:ind w:firstLine="562" w:firstLineChars="200"/>
        <w:rPr>
          <w:rFonts w:ascii="仿宋" w:hAnsi="仿宋" w:eastAsia="仿宋" w:cs="仿宋"/>
          <w:b/>
          <w:sz w:val="28"/>
          <w:szCs w:val="28"/>
        </w:rPr>
      </w:pPr>
      <w:r>
        <w:rPr>
          <w:rFonts w:hint="eastAsia" w:ascii="仿宋" w:hAnsi="仿宋" w:eastAsia="仿宋" w:cs="仿宋"/>
          <w:b/>
          <w:bCs/>
          <w:sz w:val="28"/>
          <w:szCs w:val="28"/>
        </w:rPr>
        <w:t>4.</w:t>
      </w:r>
      <w:r>
        <w:rPr>
          <w:rFonts w:hint="eastAsia" w:ascii="仿宋" w:hAnsi="仿宋" w:eastAsia="仿宋" w:cs="仿宋"/>
          <w:b/>
          <w:sz w:val="28"/>
          <w:szCs w:val="28"/>
        </w:rPr>
        <w:t xml:space="preserve"> 参加国家级大学生创新创业训练计划项目加分</w:t>
      </w:r>
      <w:r>
        <w:rPr>
          <w:rFonts w:hint="eastAsia" w:ascii="仿宋" w:hAnsi="仿宋" w:eastAsia="仿宋" w:cs="仿宋"/>
          <w:b/>
          <w:bCs/>
          <w:sz w:val="28"/>
          <w:szCs w:val="28"/>
        </w:rPr>
        <w:t>（B4）：</w:t>
      </w:r>
    </w:p>
    <w:p>
      <w:pPr>
        <w:ind w:firstLine="560" w:firstLineChars="200"/>
        <w:rPr>
          <w:rFonts w:ascii="仿宋" w:hAnsi="仿宋" w:eastAsia="仿宋" w:cs="仿宋"/>
          <w:b/>
          <w:bCs/>
          <w:sz w:val="28"/>
          <w:szCs w:val="28"/>
        </w:rPr>
      </w:pPr>
      <w:r>
        <w:rPr>
          <w:rFonts w:hint="eastAsia" w:ascii="仿宋" w:hAnsi="仿宋" w:eastAsia="仿宋" w:cs="仿宋"/>
          <w:sz w:val="28"/>
          <w:szCs w:val="28"/>
        </w:rPr>
        <w:t>参加武汉大学立项的国家级大学生创新创业训练计划项目，且结题验收结果为良好及以上的可加分，学院可根据项目类别、项目质量、成员贡献度等因素确定加分权重。</w:t>
      </w:r>
    </w:p>
    <w:p>
      <w:pPr>
        <w:spacing w:line="360" w:lineRule="auto"/>
        <w:ind w:firstLine="562" w:firstLineChars="200"/>
        <w:rPr>
          <w:rFonts w:ascii="仿宋" w:hAnsi="仿宋" w:eastAsia="仿宋"/>
          <w:b/>
          <w:bCs/>
          <w:sz w:val="28"/>
          <w:szCs w:val="28"/>
        </w:rPr>
      </w:pPr>
      <w:r>
        <w:rPr>
          <w:rFonts w:hint="eastAsia" w:ascii="仿宋" w:hAnsi="仿宋" w:eastAsia="仿宋"/>
          <w:b/>
          <w:bCs/>
          <w:sz w:val="28"/>
          <w:szCs w:val="28"/>
        </w:rPr>
        <w:t>（二）体育素质加分</w:t>
      </w:r>
    </w:p>
    <w:p>
      <w:pPr>
        <w:widowControl/>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参加全国学生运动会及全国大学生体育单项赛事，非阳光组比赛获得前八名和阳光组比赛获得前三名，其20%的专业活动得分按满分计算；其中，非阳光组学生达到学校基本条件即可申请，具体赛事由体育部认定。</w:t>
      </w:r>
    </w:p>
    <w:p>
      <w:pPr>
        <w:widowControl/>
        <w:spacing w:line="360" w:lineRule="auto"/>
        <w:ind w:firstLine="562" w:firstLineChars="200"/>
        <w:jc w:val="left"/>
        <w:rPr>
          <w:rFonts w:ascii="仿宋" w:hAnsi="仿宋" w:eastAsia="仿宋" w:cs="仿宋"/>
          <w:sz w:val="28"/>
          <w:szCs w:val="28"/>
        </w:rPr>
      </w:pPr>
      <w:r>
        <w:rPr>
          <w:rFonts w:hint="eastAsia" w:ascii="仿宋" w:hAnsi="仿宋" w:eastAsia="仿宋"/>
          <w:b/>
          <w:bCs/>
          <w:sz w:val="28"/>
          <w:szCs w:val="28"/>
        </w:rPr>
        <w:t>（三）艺术素质加分</w:t>
      </w:r>
    </w:p>
    <w:p>
      <w:pPr>
        <w:widowControl/>
        <w:spacing w:line="360" w:lineRule="auto"/>
        <w:ind w:firstLine="560" w:firstLineChars="200"/>
        <w:jc w:val="left"/>
        <w:rPr>
          <w:rFonts w:ascii="仿宋" w:hAnsi="仿宋" w:eastAsia="仿宋" w:cs="仿宋"/>
          <w:b/>
          <w:sz w:val="32"/>
          <w:szCs w:val="32"/>
        </w:rPr>
      </w:pPr>
      <w:r>
        <w:rPr>
          <w:rFonts w:hint="eastAsia" w:ascii="仿宋" w:hAnsi="仿宋" w:eastAsia="仿宋" w:cs="仿宋"/>
          <w:sz w:val="28"/>
          <w:szCs w:val="28"/>
        </w:rPr>
        <w:t>作为主力成员代表武汉大学在国家级艺术比赛中获得特等奖及以上的，其10%的专业活动加分按满分计算；在国家级比赛中获得一等奖或金奖的，其专业活动加分不超过专业活动满分的</w:t>
      </w:r>
      <w:r>
        <w:rPr>
          <w:rFonts w:ascii="仿宋" w:hAnsi="仿宋" w:eastAsia="仿宋" w:cs="仿宋"/>
          <w:sz w:val="28"/>
          <w:szCs w:val="28"/>
        </w:rPr>
        <w:t>5</w:t>
      </w:r>
      <w:r>
        <w:rPr>
          <w:rFonts w:hint="eastAsia" w:ascii="仿宋" w:hAnsi="仿宋" w:eastAsia="仿宋" w:cs="仿宋"/>
          <w:sz w:val="28"/>
          <w:szCs w:val="28"/>
        </w:rPr>
        <w:t>0%；在国家级比赛中获得二等奖的，其专业活动加分不超过专业活动满分的</w:t>
      </w:r>
      <w:r>
        <w:rPr>
          <w:rFonts w:ascii="仿宋" w:hAnsi="仿宋" w:eastAsia="仿宋" w:cs="仿宋"/>
          <w:sz w:val="28"/>
          <w:szCs w:val="28"/>
        </w:rPr>
        <w:t>2</w:t>
      </w:r>
      <w:r>
        <w:rPr>
          <w:rFonts w:hint="eastAsia" w:ascii="仿宋" w:hAnsi="仿宋" w:eastAsia="仿宋" w:cs="仿宋"/>
          <w:sz w:val="28"/>
          <w:szCs w:val="28"/>
        </w:rPr>
        <w:t xml:space="preserve">0%；比赛的种类和主力成员由艺术教育中心认定。 </w:t>
      </w:r>
    </w:p>
    <w:p>
      <w:pPr>
        <w:spacing w:beforeLines="50" w:line="360" w:lineRule="auto"/>
        <w:ind w:firstLine="562" w:firstLineChars="200"/>
        <w:rPr>
          <w:rFonts w:ascii="仿宋" w:hAnsi="仿宋" w:eastAsia="仿宋" w:cs="仿宋"/>
          <w:b/>
          <w:sz w:val="28"/>
          <w:szCs w:val="28"/>
        </w:rPr>
      </w:pPr>
      <w:r>
        <w:rPr>
          <w:rFonts w:hint="eastAsia" w:ascii="仿宋" w:hAnsi="仿宋" w:eastAsia="仿宋" w:cs="仿宋"/>
          <w:b/>
          <w:sz w:val="28"/>
          <w:szCs w:val="28"/>
        </w:rPr>
        <w:t>五、本细则由数学与统计学院推免试研究生工作小组负责解释，自发布之日起施行。</w:t>
      </w:r>
    </w:p>
    <w:p>
      <w:pPr>
        <w:spacing w:line="640" w:lineRule="exact"/>
        <w:ind w:firstLine="562" w:firstLineChars="200"/>
        <w:rPr>
          <w:rFonts w:ascii="仿宋" w:hAnsi="仿宋" w:eastAsia="仿宋" w:cs="仿宋"/>
          <w:b/>
          <w:bCs/>
          <w:sz w:val="28"/>
          <w:szCs w:val="28"/>
        </w:rPr>
      </w:pPr>
      <w:bookmarkStart w:id="0" w:name="_GoBack"/>
      <w:bookmarkEnd w:id="0"/>
    </w:p>
    <w:p>
      <w:pPr>
        <w:spacing w:line="640" w:lineRule="exact"/>
        <w:ind w:firstLine="562" w:firstLineChars="200"/>
        <w:rPr>
          <w:rFonts w:ascii="仿宋" w:hAnsi="仿宋" w:eastAsia="仿宋" w:cs="仿宋"/>
          <w:b/>
          <w:bCs/>
          <w:sz w:val="28"/>
          <w:szCs w:val="28"/>
        </w:rPr>
      </w:pPr>
    </w:p>
    <w:p>
      <w:pPr>
        <w:spacing w:line="360" w:lineRule="auto"/>
        <w:ind w:firstLine="562" w:firstLineChars="200"/>
        <w:rPr>
          <w:rFonts w:ascii="仿宋" w:hAnsi="仿宋" w:eastAsia="仿宋" w:cs="仿宋"/>
          <w:b/>
          <w:bCs/>
          <w:sz w:val="28"/>
          <w:szCs w:val="28"/>
        </w:rPr>
      </w:pPr>
    </w:p>
    <w:p>
      <w:pPr>
        <w:widowControl/>
        <w:spacing w:line="360" w:lineRule="auto"/>
        <w:ind w:firstLine="560" w:firstLineChars="200"/>
        <w:jc w:val="right"/>
        <w:rPr>
          <w:rFonts w:ascii="仿宋" w:hAnsi="仿宋" w:eastAsia="仿宋" w:cs="仿宋"/>
          <w:sz w:val="28"/>
          <w:szCs w:val="28"/>
        </w:rPr>
      </w:pPr>
      <w:r>
        <w:rPr>
          <w:rFonts w:hint="eastAsia" w:ascii="仿宋" w:hAnsi="仿宋" w:eastAsia="仿宋" w:cs="仿宋"/>
          <w:sz w:val="28"/>
          <w:szCs w:val="28"/>
        </w:rPr>
        <w:t>武汉大学数学与统计学院</w:t>
      </w:r>
    </w:p>
    <w:p>
      <w:pPr>
        <w:widowControl/>
        <w:spacing w:line="360" w:lineRule="auto"/>
        <w:ind w:right="280" w:firstLine="560" w:firstLineChars="200"/>
        <w:jc w:val="right"/>
        <w:rPr>
          <w:rFonts w:ascii="仿宋" w:hAnsi="仿宋" w:eastAsia="仿宋" w:cs="仿宋"/>
          <w:sz w:val="28"/>
          <w:szCs w:val="28"/>
        </w:rPr>
      </w:pPr>
      <w:r>
        <w:rPr>
          <w:rFonts w:hint="eastAsia" w:ascii="仿宋" w:hAnsi="仿宋" w:eastAsia="仿宋" w:cs="仿宋"/>
          <w:sz w:val="28"/>
          <w:szCs w:val="28"/>
        </w:rPr>
        <w:t>2023年5月6日</w:t>
      </w:r>
    </w:p>
    <w:sectPr>
      <w:pgSz w:w="11906" w:h="16838"/>
      <w:pgMar w:top="1361" w:right="1797" w:bottom="1361"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Cambria Math">
    <w:panose1 w:val="02040503050406030204"/>
    <w:charset w:val="00"/>
    <w:family w:val="roman"/>
    <w:pitch w:val="default"/>
    <w:sig w:usb0="E00002FF" w:usb1="420024FF"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5"/>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ViYjU0YjIxNDU2NTlkZjczMGIxODU0NzNmODRjMmIifQ=="/>
  </w:docVars>
  <w:rsids>
    <w:rsidRoot w:val="00966EF8"/>
    <w:rsid w:val="00024CC8"/>
    <w:rsid w:val="00026AC4"/>
    <w:rsid w:val="00043C84"/>
    <w:rsid w:val="00064174"/>
    <w:rsid w:val="000A2839"/>
    <w:rsid w:val="000B72A6"/>
    <w:rsid w:val="00141772"/>
    <w:rsid w:val="00164ACC"/>
    <w:rsid w:val="001B1D7B"/>
    <w:rsid w:val="002148C4"/>
    <w:rsid w:val="00224DA5"/>
    <w:rsid w:val="002757A9"/>
    <w:rsid w:val="00327358"/>
    <w:rsid w:val="00345B3D"/>
    <w:rsid w:val="00366C0B"/>
    <w:rsid w:val="003931C0"/>
    <w:rsid w:val="003C1132"/>
    <w:rsid w:val="00453B85"/>
    <w:rsid w:val="00485FA9"/>
    <w:rsid w:val="004A2C9F"/>
    <w:rsid w:val="0050676E"/>
    <w:rsid w:val="00522606"/>
    <w:rsid w:val="005724DA"/>
    <w:rsid w:val="005F2B41"/>
    <w:rsid w:val="00665692"/>
    <w:rsid w:val="00665E22"/>
    <w:rsid w:val="006B4D1C"/>
    <w:rsid w:val="006B5A32"/>
    <w:rsid w:val="006D1CC6"/>
    <w:rsid w:val="006D4A42"/>
    <w:rsid w:val="0070113B"/>
    <w:rsid w:val="007024C6"/>
    <w:rsid w:val="00755A8B"/>
    <w:rsid w:val="007C552F"/>
    <w:rsid w:val="007F764A"/>
    <w:rsid w:val="008156B2"/>
    <w:rsid w:val="008564B6"/>
    <w:rsid w:val="00863556"/>
    <w:rsid w:val="008A3BB4"/>
    <w:rsid w:val="009045D3"/>
    <w:rsid w:val="00910B8E"/>
    <w:rsid w:val="00926A53"/>
    <w:rsid w:val="0095437D"/>
    <w:rsid w:val="009564B4"/>
    <w:rsid w:val="00966EF8"/>
    <w:rsid w:val="009B48A4"/>
    <w:rsid w:val="009C6D72"/>
    <w:rsid w:val="009D6A36"/>
    <w:rsid w:val="00A23600"/>
    <w:rsid w:val="00A2436A"/>
    <w:rsid w:val="00A90BCE"/>
    <w:rsid w:val="00AA4B64"/>
    <w:rsid w:val="00B149DA"/>
    <w:rsid w:val="00B332DF"/>
    <w:rsid w:val="00B60FB8"/>
    <w:rsid w:val="00BB7CBA"/>
    <w:rsid w:val="00BE5FE4"/>
    <w:rsid w:val="00C203A2"/>
    <w:rsid w:val="00C93C96"/>
    <w:rsid w:val="00CB11FD"/>
    <w:rsid w:val="00CD7341"/>
    <w:rsid w:val="00CE1F27"/>
    <w:rsid w:val="00CF6BA1"/>
    <w:rsid w:val="00D2396A"/>
    <w:rsid w:val="00D47628"/>
    <w:rsid w:val="00D56224"/>
    <w:rsid w:val="00D977EB"/>
    <w:rsid w:val="00DC26E1"/>
    <w:rsid w:val="00DE60FE"/>
    <w:rsid w:val="00E070BE"/>
    <w:rsid w:val="00E1186D"/>
    <w:rsid w:val="00E73386"/>
    <w:rsid w:val="00EA6BDA"/>
    <w:rsid w:val="00EE751E"/>
    <w:rsid w:val="00F12C74"/>
    <w:rsid w:val="00F94A98"/>
    <w:rsid w:val="00F96B1A"/>
    <w:rsid w:val="00FA0CEF"/>
    <w:rsid w:val="00FA7E0F"/>
    <w:rsid w:val="00FD2532"/>
    <w:rsid w:val="01B25E26"/>
    <w:rsid w:val="02BC0AAE"/>
    <w:rsid w:val="03C928B9"/>
    <w:rsid w:val="03FC418E"/>
    <w:rsid w:val="0E6A20B6"/>
    <w:rsid w:val="15A24FF5"/>
    <w:rsid w:val="1C231421"/>
    <w:rsid w:val="20871230"/>
    <w:rsid w:val="2C9955CC"/>
    <w:rsid w:val="31965F25"/>
    <w:rsid w:val="373C508C"/>
    <w:rsid w:val="384839CB"/>
    <w:rsid w:val="39F357FF"/>
    <w:rsid w:val="4BA85205"/>
    <w:rsid w:val="4EFD677A"/>
    <w:rsid w:val="50D343FC"/>
    <w:rsid w:val="52E20177"/>
    <w:rsid w:val="5589632C"/>
    <w:rsid w:val="6BD6562A"/>
    <w:rsid w:val="6D720183"/>
    <w:rsid w:val="70D30433"/>
    <w:rsid w:val="746776F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semiHidden/>
    <w:unhideWhenUsed/>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qFormat/>
    <w:uiPriority w:val="99"/>
    <w:rPr>
      <w:sz w:val="18"/>
      <w:szCs w:val="18"/>
    </w:rPr>
  </w:style>
  <w:style w:type="character" w:customStyle="1" w:styleId="9">
    <w:name w:val="页脚 Char"/>
    <w:basedOn w:val="7"/>
    <w:link w:val="3"/>
    <w:qFormat/>
    <w:uiPriority w:val="99"/>
    <w:rPr>
      <w:sz w:val="18"/>
      <w:szCs w:val="18"/>
    </w:rPr>
  </w:style>
  <w:style w:type="character" w:styleId="10">
    <w:name w:val="Placeholder Text"/>
    <w:basedOn w:val="7"/>
    <w:semiHidden/>
    <w:qFormat/>
    <w:uiPriority w:val="99"/>
    <w:rPr>
      <w:color w:val="808080"/>
    </w:rPr>
  </w:style>
  <w:style w:type="paragraph" w:styleId="11">
    <w:name w:val="List Paragraph"/>
    <w:basedOn w:val="1"/>
    <w:qFormat/>
    <w:uiPriority w:val="99"/>
    <w:pPr>
      <w:ind w:firstLine="420" w:firstLineChars="200"/>
    </w:pPr>
  </w:style>
  <w:style w:type="character" w:customStyle="1" w:styleId="12">
    <w:name w:val="批注框文本 Char"/>
    <w:basedOn w:val="7"/>
    <w:link w:val="2"/>
    <w:semiHidden/>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3.wmf"/><Relationship Id="rId8" Type="http://schemas.openxmlformats.org/officeDocument/2006/relationships/oleObject" Target="embeddings/oleObject3.bin"/><Relationship Id="rId7" Type="http://schemas.openxmlformats.org/officeDocument/2006/relationships/image" Target="media/image2.wmf"/><Relationship Id="rId6" Type="http://schemas.openxmlformats.org/officeDocument/2006/relationships/oleObject" Target="embeddings/oleObject2.bin"/><Relationship Id="rId5" Type="http://schemas.openxmlformats.org/officeDocument/2006/relationships/image" Target="media/image1.wmf"/><Relationship Id="rId4" Type="http://schemas.openxmlformats.org/officeDocument/2006/relationships/oleObject" Target="embeddings/oleObject1.bin"/><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武汉大学数学与统计学院</Company>
  <Pages>6</Pages>
  <Words>2790</Words>
  <Characters>2913</Characters>
  <Lines>22</Lines>
  <Paragraphs>6</Paragraphs>
  <TotalTime>53</TotalTime>
  <ScaleCrop>false</ScaleCrop>
  <LinksUpToDate>false</LinksUpToDate>
  <CharactersWithSpaces>2924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2021-09-09T09:22:00Z</dcterms:created>
  <dc:creator>刘宇晖</dc:creator>
  <cp:lastModifiedBy>胡法拉</cp:lastModifiedBy>
  <dcterms:modified xsi:type="dcterms:W3CDTF">2023-09-16T09:22:10Z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AD94522C40214D28B8AB4829EBF3CCBE</vt:lpwstr>
  </property>
  <property fmtid="{D5CDD505-2E9C-101B-9397-08002B2CF9AE}" pid="4" name="commondata">
    <vt:lpwstr>eyJoZGlkIjoiNTViYjU0YjIxNDU2NTlkZjczMGIxODU0NzNmODRjMmIifQ==</vt:lpwstr>
  </property>
</Properties>
</file>