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A2CEEC">
      <w:pPr>
        <w:jc w:val="center"/>
        <w:rPr>
          <w:rFonts w:hint="eastAsia" w:eastAsia="黑体"/>
          <w:b/>
          <w:sz w:val="36"/>
          <w:szCs w:val="36"/>
        </w:rPr>
      </w:pPr>
      <w:r>
        <w:rPr>
          <w:rFonts w:hint="eastAsia" w:ascii="宋体" w:hAnsi="宋体" w:cs="宋体"/>
          <w:b/>
          <w:sz w:val="36"/>
          <w:szCs w:val="36"/>
        </w:rPr>
        <w:t>中南财经政法大学经济贸易学院推荐优秀应届本科毕业生免试攻读硕士学位研究生工作实施细则</w:t>
      </w:r>
    </w:p>
    <w:p w14:paraId="54E9100C">
      <w:pPr>
        <w:jc w:val="center"/>
        <w:rPr>
          <w:rFonts w:ascii="仿宋" w:hAnsi="仿宋" w:eastAsia="仿宋" w:cs="仿宋"/>
          <w:b/>
          <w:sz w:val="30"/>
          <w:szCs w:val="30"/>
        </w:rPr>
      </w:pPr>
      <w:r>
        <w:rPr>
          <w:rFonts w:hint="eastAsia" w:ascii="仿宋" w:hAnsi="仿宋" w:eastAsia="仿宋" w:cs="仿宋"/>
          <w:b/>
          <w:sz w:val="30"/>
          <w:szCs w:val="30"/>
        </w:rPr>
        <w:t>（</w:t>
      </w:r>
      <w:r>
        <w:rPr>
          <w:rFonts w:ascii="仿宋" w:hAnsi="仿宋" w:eastAsia="仿宋" w:cs="仿宋"/>
          <w:b/>
          <w:sz w:val="30"/>
          <w:szCs w:val="30"/>
        </w:rPr>
        <w:t>202</w:t>
      </w:r>
      <w:r>
        <w:rPr>
          <w:rFonts w:hint="eastAsia" w:ascii="仿宋" w:hAnsi="仿宋" w:eastAsia="仿宋" w:cs="仿宋"/>
          <w:b/>
          <w:sz w:val="30"/>
          <w:szCs w:val="30"/>
        </w:rPr>
        <w:t>6年7月修订）</w:t>
      </w:r>
    </w:p>
    <w:p w14:paraId="0C196DCF">
      <w:pPr>
        <w:jc w:val="center"/>
        <w:rPr>
          <w:rFonts w:hint="eastAsia" w:ascii="仿宋" w:hAnsi="仿宋" w:eastAsia="仿宋" w:cs="仿宋"/>
          <w:b/>
          <w:sz w:val="30"/>
          <w:szCs w:val="30"/>
        </w:rPr>
      </w:pPr>
      <w:r>
        <w:rPr>
          <w:rFonts w:hint="eastAsia" w:ascii="仿宋" w:hAnsi="仿宋" w:eastAsia="仿宋" w:cs="仿宋"/>
          <w:b/>
          <w:sz w:val="30"/>
          <w:szCs w:val="30"/>
        </w:rPr>
        <w:t>第一章 总则</w:t>
      </w:r>
    </w:p>
    <w:p w14:paraId="469662AF">
      <w:pPr>
        <w:ind w:firstLine="602" w:firstLineChars="200"/>
        <w:rPr>
          <w:rFonts w:hint="eastAsia" w:ascii="仿宋" w:hAnsi="仿宋" w:eastAsia="仿宋" w:cs="仿宋"/>
          <w:sz w:val="30"/>
          <w:szCs w:val="30"/>
        </w:rPr>
      </w:pPr>
      <w:r>
        <w:rPr>
          <w:rFonts w:hint="eastAsia" w:ascii="仿宋" w:hAnsi="仿宋" w:eastAsia="仿宋" w:cs="仿宋"/>
          <w:b/>
          <w:sz w:val="30"/>
          <w:szCs w:val="30"/>
        </w:rPr>
        <w:t>第一条</w:t>
      </w:r>
      <w:r>
        <w:rPr>
          <w:rFonts w:hint="eastAsia" w:ascii="仿宋" w:hAnsi="仿宋" w:eastAsia="仿宋" w:cs="仿宋"/>
          <w:sz w:val="30"/>
          <w:szCs w:val="30"/>
        </w:rPr>
        <w:t xml:space="preserve"> 为了进一步规范学院推荐优秀应届本科毕业生免试攻读硕士学位研究生(以下简称“推免生”)工作，加大拔尖创新人才选拔力度，根据教育部《全国普通高等学校推荐优秀应届本科毕业生免试攻读硕士学位研究生工作管理办法（试行）》（教学〔2006〕14号）、《教育部办公厅关于进一步完善推荐优秀应届本科毕业生免试攻读硕士学位研究生工作办法的通知》（教学厅〔2014〕5号）和《教育部办公厅关于进一步规范和加强推荐优秀应届本科毕业生免试攻读硕士学位研究生工作的通知》（教学厅〔2020〕12号）和《中南财经政法大学推荐优秀应届本科毕业生免试攻读硕士学位研究生工作管理办法》（中南大教字〔2024〕16号）文件规定，结合学院实际情况，修订本细则。</w:t>
      </w:r>
    </w:p>
    <w:p w14:paraId="1254AE2A">
      <w:pPr>
        <w:ind w:firstLine="602" w:firstLineChars="200"/>
        <w:rPr>
          <w:rFonts w:hint="eastAsia" w:ascii="仿宋" w:hAnsi="仿宋" w:eastAsia="仿宋" w:cs="仿宋"/>
          <w:sz w:val="30"/>
          <w:szCs w:val="30"/>
        </w:rPr>
      </w:pPr>
      <w:r>
        <w:rPr>
          <w:rFonts w:hint="eastAsia" w:ascii="仿宋" w:hAnsi="仿宋" w:eastAsia="仿宋" w:cs="仿宋"/>
          <w:b/>
          <w:sz w:val="30"/>
          <w:szCs w:val="30"/>
        </w:rPr>
        <w:t>第二条</w:t>
      </w:r>
      <w:r>
        <w:rPr>
          <w:rFonts w:hint="eastAsia" w:ascii="仿宋" w:hAnsi="仿宋" w:eastAsia="仿宋" w:cs="仿宋"/>
          <w:sz w:val="30"/>
          <w:szCs w:val="30"/>
        </w:rPr>
        <w:t xml:space="preserve"> 推免工作遵循公开、公平、公正的原则。学院按照学校的管理办法要求，制订科学、规范、明确的推荐标准及公开透明的工作程序。</w:t>
      </w:r>
    </w:p>
    <w:p w14:paraId="55AA4BE3">
      <w:pPr>
        <w:ind w:firstLine="602" w:firstLineChars="200"/>
        <w:rPr>
          <w:rFonts w:hint="eastAsia" w:ascii="仿宋" w:hAnsi="仿宋" w:eastAsia="仿宋" w:cs="仿宋"/>
          <w:sz w:val="30"/>
          <w:szCs w:val="30"/>
        </w:rPr>
      </w:pPr>
      <w:r>
        <w:rPr>
          <w:rFonts w:hint="eastAsia" w:ascii="仿宋" w:hAnsi="仿宋" w:eastAsia="仿宋" w:cs="仿宋"/>
          <w:b/>
          <w:bCs/>
          <w:sz w:val="30"/>
          <w:szCs w:val="30"/>
        </w:rPr>
        <w:t>第三条</w:t>
      </w:r>
      <w:r>
        <w:rPr>
          <w:rFonts w:hint="eastAsia" w:ascii="仿宋" w:hAnsi="仿宋" w:eastAsia="仿宋" w:cs="仿宋"/>
          <w:sz w:val="30"/>
          <w:szCs w:val="30"/>
        </w:rPr>
        <w:t xml:space="preserve"> 推免工作要落实立德树人根本任务，坚持以德为先、择优选拔的原则。学院对申请推免的学生进行全面考查，把学生思想品德考核作为推免生遴选的重要内容，思想品德考核不合格者不予推荐。</w:t>
      </w:r>
    </w:p>
    <w:p w14:paraId="012E1A03">
      <w:pPr>
        <w:ind w:firstLine="600" w:firstLineChars="200"/>
        <w:rPr>
          <w:rFonts w:hint="eastAsia" w:ascii="仿宋" w:hAnsi="仿宋" w:eastAsia="仿宋" w:cs="仿宋"/>
          <w:sz w:val="30"/>
          <w:szCs w:val="30"/>
        </w:rPr>
      </w:pPr>
      <w:r>
        <w:rPr>
          <w:rFonts w:hint="eastAsia" w:ascii="仿宋" w:hAnsi="仿宋" w:eastAsia="仿宋" w:cs="仿宋"/>
          <w:sz w:val="30"/>
          <w:szCs w:val="30"/>
        </w:rPr>
        <w:t>推免工作严格遵行实事求是的原则，选拔德智体美劳全面发展的优秀本科毕业生，注重对学生政治态度、学习能力、创新精神、科研潜质、诚实守信和其他特长等方面的考查，突出考查学生本科阶段的一贯学业表现，将学生本科阶段学业综合成绩作为最基础的遴选指标。</w:t>
      </w:r>
    </w:p>
    <w:p w14:paraId="60A890B2">
      <w:pPr>
        <w:jc w:val="center"/>
        <w:rPr>
          <w:rFonts w:hint="eastAsia" w:ascii="仿宋" w:hAnsi="仿宋" w:eastAsia="仿宋" w:cs="仿宋"/>
          <w:b/>
          <w:sz w:val="30"/>
          <w:szCs w:val="30"/>
        </w:rPr>
      </w:pPr>
      <w:r>
        <w:rPr>
          <w:rFonts w:hint="eastAsia" w:ascii="仿宋" w:hAnsi="仿宋" w:eastAsia="仿宋" w:cs="仿宋"/>
          <w:b/>
          <w:sz w:val="30"/>
          <w:szCs w:val="30"/>
        </w:rPr>
        <w:t>第二章 组织领导</w:t>
      </w:r>
    </w:p>
    <w:p w14:paraId="3DC3F1EE">
      <w:pPr>
        <w:ind w:firstLine="602" w:firstLineChars="200"/>
        <w:rPr>
          <w:rFonts w:hint="eastAsia" w:ascii="仿宋" w:hAnsi="仿宋" w:eastAsia="仿宋" w:cs="仿宋"/>
          <w:sz w:val="30"/>
          <w:szCs w:val="30"/>
        </w:rPr>
      </w:pPr>
      <w:r>
        <w:rPr>
          <w:rFonts w:hint="eastAsia" w:ascii="仿宋" w:hAnsi="仿宋" w:eastAsia="仿宋" w:cs="仿宋"/>
          <w:b/>
          <w:sz w:val="30"/>
          <w:szCs w:val="30"/>
        </w:rPr>
        <w:t>第四条</w:t>
      </w:r>
      <w:r>
        <w:rPr>
          <w:rFonts w:hint="eastAsia" w:ascii="仿宋" w:hAnsi="仿宋" w:eastAsia="仿宋" w:cs="仿宋"/>
          <w:sz w:val="30"/>
          <w:szCs w:val="30"/>
        </w:rPr>
        <w:t xml:space="preserve"> 学院成立推免工作小组，小组成员包括院长、书记、分管教学副院长、分管学生工作副书记、专业负责人、系主任、教学秘书、学办主任及毕业年级辅导员等。</w:t>
      </w:r>
    </w:p>
    <w:p w14:paraId="212500AB">
      <w:pPr>
        <w:ind w:firstLine="602" w:firstLineChars="200"/>
        <w:rPr>
          <w:rFonts w:hint="eastAsia" w:ascii="仿宋" w:hAnsi="仿宋" w:eastAsia="仿宋" w:cs="仿宋"/>
          <w:sz w:val="30"/>
          <w:szCs w:val="30"/>
        </w:rPr>
      </w:pPr>
      <w:r>
        <w:rPr>
          <w:rFonts w:hint="eastAsia" w:ascii="仿宋" w:hAnsi="仿宋" w:eastAsia="仿宋" w:cs="仿宋"/>
          <w:b/>
          <w:sz w:val="30"/>
          <w:szCs w:val="30"/>
        </w:rPr>
        <w:t xml:space="preserve">第五条 </w:t>
      </w:r>
      <w:r>
        <w:rPr>
          <w:rFonts w:hint="eastAsia" w:ascii="仿宋" w:hAnsi="仿宋" w:eastAsia="仿宋" w:cs="仿宋"/>
          <w:sz w:val="30"/>
          <w:szCs w:val="30"/>
        </w:rPr>
        <w:t>组长由院长、书记担任，副组长由分管教学副院长、分管学生工作副书记担任。推免工作小组负责制定本院推免工作实施细则（包括指标分配、各类推免生推荐标准、工作程序等）及完成推免工作。</w:t>
      </w:r>
    </w:p>
    <w:p w14:paraId="2397655B">
      <w:pPr>
        <w:jc w:val="center"/>
        <w:rPr>
          <w:rFonts w:hint="eastAsia" w:ascii="仿宋" w:hAnsi="仿宋" w:eastAsia="仿宋" w:cs="仿宋"/>
          <w:b/>
          <w:sz w:val="30"/>
          <w:szCs w:val="30"/>
        </w:rPr>
      </w:pPr>
      <w:r>
        <w:rPr>
          <w:rFonts w:hint="eastAsia" w:ascii="仿宋" w:hAnsi="仿宋" w:eastAsia="仿宋" w:cs="仿宋"/>
          <w:b/>
          <w:sz w:val="30"/>
          <w:szCs w:val="30"/>
        </w:rPr>
        <w:t>第三章 指标分配</w:t>
      </w:r>
    </w:p>
    <w:p w14:paraId="0218279C">
      <w:pPr>
        <w:ind w:firstLine="602" w:firstLineChars="200"/>
        <w:rPr>
          <w:rFonts w:hint="eastAsia" w:ascii="仿宋" w:hAnsi="仿宋" w:eastAsia="仿宋" w:cs="仿宋"/>
          <w:sz w:val="30"/>
          <w:szCs w:val="30"/>
        </w:rPr>
      </w:pPr>
      <w:r>
        <w:rPr>
          <w:rFonts w:hint="eastAsia" w:ascii="仿宋" w:hAnsi="仿宋" w:eastAsia="仿宋" w:cs="仿宋"/>
          <w:b/>
          <w:sz w:val="30"/>
          <w:szCs w:val="30"/>
        </w:rPr>
        <w:t>第六条</w:t>
      </w:r>
      <w:r>
        <w:rPr>
          <w:rFonts w:hint="eastAsia" w:ascii="仿宋" w:hAnsi="仿宋" w:eastAsia="仿宋" w:cs="仿宋"/>
          <w:sz w:val="30"/>
          <w:szCs w:val="30"/>
        </w:rPr>
        <w:t xml:space="preserve"> 学院根据学校下达的指标数量，结合本院实际情况，将推免指标分配到各个专业。</w:t>
      </w:r>
    </w:p>
    <w:p w14:paraId="73B42D16">
      <w:pPr>
        <w:ind w:firstLine="602" w:firstLineChars="200"/>
        <w:rPr>
          <w:rFonts w:hint="eastAsia" w:ascii="仿宋" w:hAnsi="仿宋" w:eastAsia="仿宋" w:cs="仿宋"/>
          <w:sz w:val="30"/>
          <w:szCs w:val="30"/>
        </w:rPr>
      </w:pPr>
      <w:r>
        <w:rPr>
          <w:rFonts w:hint="eastAsia" w:ascii="仿宋" w:hAnsi="仿宋" w:eastAsia="仿宋" w:cs="仿宋"/>
          <w:b/>
          <w:sz w:val="30"/>
          <w:szCs w:val="30"/>
        </w:rPr>
        <w:t>第七条</w:t>
      </w:r>
      <w:r>
        <w:rPr>
          <w:rFonts w:hint="eastAsia" w:ascii="仿宋" w:hAnsi="仿宋" w:eastAsia="仿宋" w:cs="仿宋"/>
          <w:sz w:val="30"/>
          <w:szCs w:val="30"/>
        </w:rPr>
        <w:t xml:space="preserve"> 学院按照以下规则分配各专业推免生指标：</w:t>
      </w:r>
    </w:p>
    <w:p w14:paraId="6232A5A5">
      <w:pPr>
        <w:ind w:firstLine="600" w:firstLineChars="200"/>
        <w:rPr>
          <w:rFonts w:hint="eastAsia" w:ascii="仿宋" w:hAnsi="仿宋" w:eastAsia="仿宋" w:cs="仿宋"/>
          <w:sz w:val="30"/>
          <w:szCs w:val="30"/>
        </w:rPr>
      </w:pPr>
      <w:r>
        <w:rPr>
          <w:rFonts w:hint="eastAsia" w:ascii="仿宋" w:hAnsi="仿宋" w:eastAsia="仿宋" w:cs="仿宋"/>
          <w:sz w:val="30"/>
          <w:szCs w:val="30"/>
        </w:rPr>
        <w:t>（一）以各专业应届毕业本科生人数为指标分配的主要依据。</w:t>
      </w:r>
    </w:p>
    <w:p w14:paraId="4C099710">
      <w:pPr>
        <w:ind w:firstLine="600" w:firstLineChars="200"/>
        <w:rPr>
          <w:rFonts w:hint="eastAsia" w:ascii="仿宋" w:hAnsi="仿宋" w:eastAsia="仿宋" w:cs="仿宋"/>
          <w:sz w:val="30"/>
          <w:szCs w:val="30"/>
        </w:rPr>
      </w:pPr>
      <w:r>
        <w:rPr>
          <w:rFonts w:hint="eastAsia" w:ascii="仿宋" w:hAnsi="仿宋" w:eastAsia="仿宋" w:cs="仿宋"/>
          <w:sz w:val="30"/>
          <w:szCs w:val="30"/>
        </w:rPr>
        <w:t xml:space="preserve">（二）对一流学科、一流专业、拔尖人才培养项目等适当增加指标； </w:t>
      </w:r>
    </w:p>
    <w:p w14:paraId="26F51EC6">
      <w:pPr>
        <w:ind w:firstLine="600" w:firstLineChars="200"/>
        <w:rPr>
          <w:rFonts w:ascii="仿宋" w:hAnsi="仿宋" w:eastAsia="仿宋" w:cs="仿宋"/>
          <w:sz w:val="30"/>
          <w:szCs w:val="30"/>
        </w:rPr>
      </w:pPr>
      <w:r>
        <w:rPr>
          <w:rFonts w:hint="eastAsia" w:ascii="仿宋" w:hAnsi="仿宋" w:eastAsia="仿宋" w:cs="仿宋"/>
          <w:sz w:val="30"/>
          <w:szCs w:val="30"/>
        </w:rPr>
        <w:t>（三）对上年度推免生指标未完成、浪费指标的专业，将相应地减少指标。</w:t>
      </w:r>
    </w:p>
    <w:p w14:paraId="37AD84FB">
      <w:pPr>
        <w:ind w:firstLine="602" w:firstLineChars="200"/>
        <w:rPr>
          <w:rFonts w:hint="eastAsia" w:ascii="仿宋" w:hAnsi="仿宋" w:eastAsia="仿宋" w:cs="仿宋"/>
          <w:sz w:val="30"/>
          <w:szCs w:val="30"/>
        </w:rPr>
      </w:pPr>
      <w:r>
        <w:rPr>
          <w:rFonts w:hint="eastAsia" w:ascii="仿宋" w:hAnsi="仿宋" w:eastAsia="仿宋" w:cs="仿宋"/>
          <w:b/>
          <w:sz w:val="30"/>
          <w:szCs w:val="30"/>
        </w:rPr>
        <w:t xml:space="preserve">第八条 </w:t>
      </w:r>
      <w:r>
        <w:rPr>
          <w:rFonts w:hint="eastAsia" w:ascii="仿宋" w:hAnsi="仿宋" w:eastAsia="仿宋" w:cs="仿宋"/>
          <w:sz w:val="30"/>
          <w:szCs w:val="30"/>
        </w:rPr>
        <w:t>各专业在实际推免工作过程中，如出现指标剩余的情况，由学院推免工作小组对剩余指标进行二次分配。</w:t>
      </w:r>
    </w:p>
    <w:p w14:paraId="16D37404">
      <w:pPr>
        <w:jc w:val="center"/>
        <w:rPr>
          <w:rFonts w:hint="eastAsia" w:ascii="仿宋" w:hAnsi="仿宋" w:eastAsia="仿宋" w:cs="仿宋"/>
          <w:b/>
          <w:sz w:val="30"/>
          <w:szCs w:val="30"/>
        </w:rPr>
      </w:pPr>
      <w:r>
        <w:rPr>
          <w:rFonts w:hint="eastAsia" w:ascii="仿宋" w:hAnsi="仿宋" w:eastAsia="仿宋" w:cs="仿宋"/>
          <w:b/>
          <w:sz w:val="30"/>
          <w:szCs w:val="30"/>
        </w:rPr>
        <w:t>第四章 推免条件</w:t>
      </w:r>
    </w:p>
    <w:p w14:paraId="49168755">
      <w:pPr>
        <w:ind w:firstLine="602" w:firstLineChars="200"/>
        <w:rPr>
          <w:rFonts w:hint="eastAsia" w:ascii="仿宋" w:hAnsi="仿宋" w:eastAsia="仿宋" w:cs="仿宋"/>
          <w:sz w:val="30"/>
          <w:szCs w:val="30"/>
        </w:rPr>
      </w:pPr>
      <w:r>
        <w:rPr>
          <w:rFonts w:hint="eastAsia" w:ascii="仿宋" w:hAnsi="仿宋" w:eastAsia="仿宋" w:cs="仿宋"/>
          <w:b/>
          <w:sz w:val="30"/>
          <w:szCs w:val="30"/>
        </w:rPr>
        <w:t>第九条</w:t>
      </w:r>
      <w:r>
        <w:rPr>
          <w:rFonts w:hint="eastAsia" w:ascii="仿宋" w:hAnsi="仿宋" w:eastAsia="仿宋" w:cs="仿宋"/>
          <w:sz w:val="30"/>
          <w:szCs w:val="30"/>
        </w:rPr>
        <w:t xml:space="preserve"> 推荐对象仅限于我院全日制本科应届毕业生（不含二学位学生）。</w:t>
      </w:r>
    </w:p>
    <w:p w14:paraId="0052A578">
      <w:pPr>
        <w:ind w:firstLine="602" w:firstLineChars="200"/>
        <w:rPr>
          <w:rFonts w:hint="eastAsia" w:ascii="仿宋" w:hAnsi="仿宋" w:eastAsia="仿宋" w:cs="仿宋"/>
          <w:sz w:val="30"/>
          <w:szCs w:val="30"/>
        </w:rPr>
      </w:pPr>
      <w:r>
        <w:rPr>
          <w:rFonts w:hint="eastAsia" w:ascii="仿宋" w:hAnsi="仿宋" w:eastAsia="仿宋" w:cs="仿宋"/>
          <w:b/>
          <w:sz w:val="30"/>
          <w:szCs w:val="30"/>
        </w:rPr>
        <w:t>第十条</w:t>
      </w:r>
      <w:r>
        <w:rPr>
          <w:rFonts w:hint="eastAsia" w:ascii="仿宋" w:hAnsi="仿宋" w:eastAsia="仿宋" w:cs="仿宋"/>
          <w:sz w:val="30"/>
          <w:szCs w:val="30"/>
        </w:rPr>
        <w:t xml:space="preserve"> 学院从具备下列条件的学生中择优遴选：</w:t>
      </w:r>
    </w:p>
    <w:p w14:paraId="7DA29B0C">
      <w:pPr>
        <w:ind w:firstLine="600" w:firstLineChars="200"/>
        <w:rPr>
          <w:rFonts w:hint="eastAsia" w:ascii="仿宋" w:hAnsi="仿宋" w:eastAsia="仿宋" w:cs="仿宋"/>
          <w:sz w:val="30"/>
          <w:szCs w:val="30"/>
        </w:rPr>
      </w:pPr>
      <w:r>
        <w:rPr>
          <w:rFonts w:hint="eastAsia" w:ascii="仿宋" w:hAnsi="仿宋" w:eastAsia="仿宋" w:cs="仿宋"/>
          <w:sz w:val="30"/>
          <w:szCs w:val="30"/>
        </w:rPr>
        <w:t>（一）拥护党的领导，具有高尚的爱国主义情操和集体主义精神，社会主义信念坚定，社会责任感强，遵纪守法，积极向上，诚实守信，学风端正，身心健康，思想品德考核合格。无剽窃他人学术成果记录，在校期间无任何违法违纪受处分记录或受过处分但已过处分期。</w:t>
      </w:r>
    </w:p>
    <w:p w14:paraId="62230CE0">
      <w:pPr>
        <w:ind w:firstLine="600" w:firstLineChars="200"/>
        <w:rPr>
          <w:rFonts w:hint="eastAsia" w:ascii="仿宋" w:hAnsi="仿宋" w:eastAsia="仿宋" w:cs="仿宋"/>
          <w:sz w:val="30"/>
          <w:szCs w:val="30"/>
        </w:rPr>
      </w:pPr>
      <w:r>
        <w:rPr>
          <w:rFonts w:hint="eastAsia" w:ascii="仿宋" w:hAnsi="仿宋" w:eastAsia="仿宋" w:cs="仿宋"/>
          <w:sz w:val="30"/>
          <w:szCs w:val="30"/>
        </w:rPr>
        <w:t>（二）勤奋学习，刻苦钻研，成绩优秀；学术研究兴趣浓厚，有较强的创新意识、创新能力和专业能力潜质。其中：</w:t>
      </w:r>
    </w:p>
    <w:p w14:paraId="43703568">
      <w:pPr>
        <w:ind w:firstLine="600" w:firstLineChars="200"/>
        <w:rPr>
          <w:rFonts w:hint="eastAsia" w:eastAsia="仿宋"/>
          <w:sz w:val="30"/>
          <w:szCs w:val="30"/>
        </w:rPr>
      </w:pPr>
      <w:r>
        <w:rPr>
          <w:rFonts w:hint="eastAsia" w:ascii="仿宋" w:hAnsi="仿宋" w:eastAsia="仿宋" w:cs="仿宋"/>
          <w:sz w:val="30"/>
          <w:szCs w:val="30"/>
        </w:rPr>
        <w:t>1.1-6学期所有课程的加权平均成绩不低于本专业的前50%。</w:t>
      </w:r>
      <w:r>
        <w:rPr>
          <w:rFonts w:hint="eastAsia" w:ascii="仿宋" w:hAnsi="仿宋" w:eastAsia="仿宋" w:cs="仿宋"/>
          <w:kern w:val="0"/>
          <w:sz w:val="30"/>
          <w:szCs w:val="30"/>
          <w:lang w:bidi="ar"/>
        </w:rPr>
        <w:t>参加推免的学生按照培养方案规定，要求修完前六学期设置的所有必修课程并获得课程成绩及学分。</w:t>
      </w:r>
    </w:p>
    <w:p w14:paraId="42BDB2B8">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2.</w:t>
      </w:r>
      <w:r>
        <w:rPr>
          <w:rFonts w:hint="eastAsia" w:ascii="仿宋" w:hAnsi="仿宋" w:eastAsia="仿宋" w:cs="仿宋"/>
          <w:sz w:val="30"/>
          <w:szCs w:val="30"/>
        </w:rPr>
        <w:t>三门本专业主干课程（专业必修课）每门课程成绩不低于80分。申请经济类、管理类专业推免生的学生，其数学类基础课程加权平均成绩不低于80分。专业主干课、数学类基础课程为跨学期课程的，按加权平均成绩计算。</w:t>
      </w:r>
    </w:p>
    <w:p w14:paraId="452D450A">
      <w:pPr>
        <w:keepNext w:val="0"/>
        <w:keepLines w:val="0"/>
        <w:pageBreakBefore w:val="0"/>
        <w:widowControl w:val="0"/>
        <w:numPr>
          <w:ilvl w:val="0"/>
          <w:numId w:val="1"/>
        </w:numPr>
        <w:kinsoku/>
        <w:wordWrap/>
        <w:overflowPunct/>
        <w:topLinePunct w:val="0"/>
        <w:autoSpaceDE/>
        <w:autoSpaceDN/>
        <w:bidi w:val="0"/>
        <w:spacing w:line="240" w:lineRule="auto"/>
        <w:ind w:left="0" w:leftChars="0" w:right="0" w:firstLine="602" w:firstLineChars="200"/>
        <w:textAlignment w:val="auto"/>
        <w:rPr>
          <w:rFonts w:hint="eastAsia" w:ascii="仿宋" w:hAnsi="仿宋" w:eastAsia="仿宋" w:cs="仿宋"/>
          <w:b/>
          <w:sz w:val="30"/>
          <w:szCs w:val="30"/>
          <w:highlight w:val="yellow"/>
        </w:rPr>
      </w:pPr>
      <w:r>
        <w:rPr>
          <w:rFonts w:hint="eastAsia" w:ascii="仿宋" w:hAnsi="仿宋" w:eastAsia="仿宋" w:cs="仿宋"/>
          <w:b/>
          <w:sz w:val="30"/>
          <w:szCs w:val="30"/>
          <w:highlight w:val="yellow"/>
        </w:rPr>
        <w:t>国际商业专业三门主干课程：</w:t>
      </w:r>
    </w:p>
    <w:p w14:paraId="4890D204">
      <w:pPr>
        <w:keepNext w:val="0"/>
        <w:keepLines w:val="0"/>
        <w:pageBreakBefore w:val="0"/>
        <w:widowControl/>
        <w:suppressLineNumbers w:val="0"/>
        <w:kinsoku/>
        <w:wordWrap/>
        <w:overflowPunct/>
        <w:topLinePunct w:val="0"/>
        <w:autoSpaceDE/>
        <w:autoSpaceDN/>
        <w:bidi w:val="0"/>
        <w:adjustRightInd/>
        <w:snapToGrid/>
        <w:ind w:firstLine="600" w:firstLineChars="200"/>
        <w:jc w:val="left"/>
        <w:textAlignment w:val="auto"/>
        <w:rPr>
          <w:rFonts w:hint="eastAsia" w:ascii="仿宋" w:hAnsi="仿宋" w:eastAsia="仿宋" w:cs="仿宋"/>
          <w:sz w:val="30"/>
          <w:szCs w:val="30"/>
          <w:highlight w:val="yellow"/>
        </w:rPr>
      </w:pPr>
      <w:r>
        <w:rPr>
          <w:rFonts w:hint="eastAsia" w:ascii="仿宋" w:hAnsi="仿宋" w:eastAsia="仿宋" w:cs="仿宋"/>
          <w:sz w:val="30"/>
          <w:szCs w:val="30"/>
          <w:highlight w:val="yellow"/>
        </w:rPr>
        <w:t>国际商务</w:t>
      </w:r>
      <w:r>
        <w:rPr>
          <w:rFonts w:hint="eastAsia" w:ascii="仿宋" w:hAnsi="仿宋" w:eastAsia="仿宋" w:cs="仿宋"/>
          <w:sz w:val="30"/>
          <w:szCs w:val="30"/>
          <w:highlight w:val="yellow"/>
          <w:lang w:val="en-US" w:eastAsia="zh-CN"/>
        </w:rPr>
        <w:t>(B0200073)</w:t>
      </w:r>
      <w:r>
        <w:rPr>
          <w:rFonts w:hint="eastAsia" w:ascii="仿宋" w:hAnsi="仿宋" w:eastAsia="仿宋" w:cs="仿宋"/>
          <w:sz w:val="30"/>
          <w:szCs w:val="30"/>
          <w:highlight w:val="yellow"/>
          <w:lang w:eastAsia="zh-CN"/>
        </w:rPr>
        <w:t>、</w:t>
      </w:r>
      <w:r>
        <w:rPr>
          <w:rFonts w:hint="eastAsia" w:ascii="仿宋" w:hAnsi="仿宋" w:eastAsia="仿宋" w:cs="仿宋"/>
          <w:sz w:val="30"/>
          <w:szCs w:val="30"/>
          <w:highlight w:val="yellow"/>
        </w:rPr>
        <w:t>国际经济学（双语）</w:t>
      </w:r>
      <w:r>
        <w:rPr>
          <w:rFonts w:hint="eastAsia" w:ascii="仿宋" w:hAnsi="仿宋" w:eastAsia="仿宋" w:cs="仿宋"/>
          <w:sz w:val="30"/>
          <w:szCs w:val="30"/>
          <w:highlight w:val="yellow"/>
          <w:lang w:val="en-US" w:eastAsia="zh-CN"/>
        </w:rPr>
        <w:t>(B0200470）</w:t>
      </w:r>
      <w:r>
        <w:rPr>
          <w:rFonts w:hint="eastAsia" w:ascii="仿宋" w:hAnsi="仿宋" w:eastAsia="仿宋" w:cs="仿宋"/>
          <w:sz w:val="30"/>
          <w:szCs w:val="30"/>
          <w:highlight w:val="yellow"/>
          <w:lang w:eastAsia="zh-CN"/>
        </w:rPr>
        <w:t>、</w:t>
      </w:r>
      <w:r>
        <w:rPr>
          <w:rFonts w:hint="eastAsia" w:ascii="仿宋" w:hAnsi="仿宋" w:eastAsia="仿宋" w:cs="仿宋"/>
          <w:sz w:val="30"/>
          <w:szCs w:val="30"/>
          <w:highlight w:val="yellow"/>
        </w:rPr>
        <w:t>国际商务</w:t>
      </w:r>
      <w:r>
        <w:rPr>
          <w:rFonts w:hint="eastAsia" w:ascii="仿宋" w:hAnsi="仿宋" w:eastAsia="仿宋" w:cs="仿宋"/>
          <w:sz w:val="30"/>
          <w:szCs w:val="30"/>
          <w:highlight w:val="yellow"/>
          <w:lang w:eastAsia="zh-CN"/>
        </w:rPr>
        <w:t>前沿（</w:t>
      </w:r>
      <w:r>
        <w:rPr>
          <w:rFonts w:hint="eastAsia" w:ascii="仿宋" w:hAnsi="仿宋" w:eastAsia="仿宋" w:cs="仿宋"/>
          <w:sz w:val="30"/>
          <w:szCs w:val="30"/>
          <w:highlight w:val="yellow"/>
          <w:lang w:val="en-US" w:eastAsia="zh-CN"/>
        </w:rPr>
        <w:t>B0200760</w:t>
      </w:r>
      <w:r>
        <w:rPr>
          <w:rFonts w:hint="eastAsia" w:ascii="仿宋" w:hAnsi="仿宋" w:eastAsia="仿宋" w:cs="仿宋"/>
          <w:sz w:val="30"/>
          <w:szCs w:val="30"/>
          <w:highlight w:val="yellow"/>
          <w:lang w:eastAsia="zh-CN"/>
        </w:rPr>
        <w:t>）</w:t>
      </w:r>
    </w:p>
    <w:p w14:paraId="7C150DB8">
      <w:pPr>
        <w:keepNext w:val="0"/>
        <w:keepLines w:val="0"/>
        <w:pageBreakBefore w:val="0"/>
        <w:widowControl w:val="0"/>
        <w:numPr>
          <w:ilvl w:val="0"/>
          <w:numId w:val="1"/>
        </w:numPr>
        <w:kinsoku/>
        <w:wordWrap/>
        <w:overflowPunct/>
        <w:topLinePunct w:val="0"/>
        <w:autoSpaceDE/>
        <w:autoSpaceDN/>
        <w:bidi w:val="0"/>
        <w:spacing w:line="240" w:lineRule="auto"/>
        <w:ind w:left="0" w:leftChars="0" w:right="0" w:firstLine="602" w:firstLineChars="200"/>
        <w:textAlignment w:val="auto"/>
        <w:rPr>
          <w:rFonts w:hint="eastAsia" w:ascii="仿宋" w:hAnsi="仿宋" w:eastAsia="仿宋" w:cs="仿宋"/>
          <w:b/>
          <w:bCs/>
          <w:sz w:val="30"/>
          <w:szCs w:val="30"/>
          <w:highlight w:val="yellow"/>
        </w:rPr>
      </w:pPr>
      <w:r>
        <w:rPr>
          <w:rFonts w:hint="eastAsia" w:ascii="仿宋" w:hAnsi="仿宋" w:eastAsia="仿宋" w:cs="仿宋"/>
          <w:b/>
          <w:bCs/>
          <w:sz w:val="30"/>
          <w:szCs w:val="30"/>
          <w:highlight w:val="yellow"/>
          <w:lang w:val="en-US" w:eastAsia="zh-CN"/>
        </w:rPr>
        <w:t>国际经济与贸易专业三门主干课程：</w:t>
      </w:r>
    </w:p>
    <w:p w14:paraId="356FBAE5">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sz w:val="30"/>
          <w:szCs w:val="30"/>
          <w:highlight w:val="yellow"/>
          <w:lang w:val="en-US" w:eastAsia="zh-CN"/>
        </w:rPr>
      </w:pPr>
      <w:r>
        <w:rPr>
          <w:rFonts w:hint="eastAsia" w:ascii="仿宋" w:hAnsi="仿宋" w:eastAsia="仿宋" w:cs="仿宋"/>
          <w:sz w:val="30"/>
          <w:szCs w:val="30"/>
          <w:highlight w:val="yellow"/>
          <w:lang w:val="en-US" w:eastAsia="zh-CN"/>
        </w:rPr>
        <w:t>国际贸易学（双语）（B0600350）、国际贸易实务（双语）（B0602643）、中国对外贸易（B0601310）</w:t>
      </w:r>
    </w:p>
    <w:p w14:paraId="730FF452">
      <w:pPr>
        <w:numPr>
          <w:ilvl w:val="0"/>
          <w:numId w:val="1"/>
        </w:numPr>
        <w:ind w:left="0" w:leftChars="0" w:firstLine="602" w:firstLineChars="200"/>
        <w:rPr>
          <w:rFonts w:hint="default" w:ascii="仿宋" w:hAnsi="仿宋" w:eastAsia="仿宋" w:cs="仿宋"/>
          <w:b/>
          <w:bCs/>
          <w:sz w:val="30"/>
          <w:szCs w:val="30"/>
          <w:highlight w:val="yellow"/>
          <w:lang w:val="en-US" w:eastAsia="zh-CN"/>
        </w:rPr>
      </w:pPr>
      <w:r>
        <w:rPr>
          <w:rFonts w:hint="eastAsia" w:ascii="仿宋" w:hAnsi="仿宋" w:eastAsia="仿宋" w:cs="仿宋"/>
          <w:b/>
          <w:bCs/>
          <w:sz w:val="30"/>
          <w:szCs w:val="30"/>
          <w:highlight w:val="yellow"/>
          <w:lang w:val="en-US" w:eastAsia="zh-CN"/>
        </w:rPr>
        <w:t>贸易经济专业三门主干课程：</w:t>
      </w:r>
    </w:p>
    <w:p w14:paraId="327077BA">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b w:val="0"/>
          <w:bCs w:val="0"/>
          <w:sz w:val="30"/>
          <w:szCs w:val="30"/>
          <w:highlight w:val="yellow"/>
          <w:lang w:val="en-US" w:eastAsia="zh-CN"/>
        </w:rPr>
      </w:pPr>
      <w:r>
        <w:rPr>
          <w:rFonts w:hint="eastAsia" w:ascii="仿宋" w:hAnsi="仿宋" w:eastAsia="仿宋" w:cs="仿宋"/>
          <w:b w:val="0"/>
          <w:bCs w:val="0"/>
          <w:sz w:val="30"/>
          <w:szCs w:val="30"/>
          <w:highlight w:val="yellow"/>
          <w:lang w:val="en-US" w:eastAsia="zh-CN"/>
        </w:rPr>
        <w:t>贸易经济学（B0600570）、数字贸易（B0603480）、零售学（双语）（B0600443）</w:t>
      </w:r>
    </w:p>
    <w:p w14:paraId="3CE4E530">
      <w:pPr>
        <w:numPr>
          <w:ilvl w:val="0"/>
          <w:numId w:val="1"/>
        </w:numPr>
        <w:ind w:left="0" w:leftChars="0" w:firstLine="602" w:firstLineChars="200"/>
        <w:rPr>
          <w:rFonts w:hint="default" w:ascii="仿宋" w:hAnsi="仿宋" w:eastAsia="仿宋" w:cs="仿宋"/>
          <w:b/>
          <w:bCs/>
          <w:sz w:val="30"/>
          <w:szCs w:val="30"/>
          <w:highlight w:val="yellow"/>
          <w:lang w:val="en-US" w:eastAsia="zh-CN"/>
        </w:rPr>
      </w:pPr>
      <w:r>
        <w:rPr>
          <w:rFonts w:hint="eastAsia" w:ascii="仿宋" w:hAnsi="仿宋" w:eastAsia="仿宋" w:cs="仿宋"/>
          <w:b/>
          <w:bCs/>
          <w:sz w:val="30"/>
          <w:szCs w:val="30"/>
          <w:highlight w:val="yellow"/>
          <w:lang w:val="en-US" w:eastAsia="zh-CN"/>
        </w:rPr>
        <w:t>国际经济与贸易（融通创新人才实验班）三门主干课程：</w:t>
      </w:r>
    </w:p>
    <w:p w14:paraId="6EA5E75C">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default" w:ascii="仿宋" w:hAnsi="仿宋" w:eastAsia="仿宋" w:cs="仿宋"/>
          <w:b w:val="0"/>
          <w:bCs w:val="0"/>
          <w:sz w:val="30"/>
          <w:szCs w:val="30"/>
          <w:highlight w:val="yellow"/>
          <w:lang w:val="en-US" w:eastAsia="zh-CN"/>
        </w:rPr>
      </w:pPr>
      <w:r>
        <w:rPr>
          <w:rFonts w:hint="default" w:ascii="仿宋" w:hAnsi="仿宋" w:eastAsia="仿宋" w:cs="仿宋"/>
          <w:b w:val="0"/>
          <w:bCs w:val="0"/>
          <w:sz w:val="30"/>
          <w:szCs w:val="30"/>
          <w:highlight w:val="yellow"/>
          <w:lang w:val="en-US" w:eastAsia="zh-CN"/>
        </w:rPr>
        <w:t>国际贸易学（双语）（B0600350）</w:t>
      </w:r>
      <w:r>
        <w:rPr>
          <w:rFonts w:hint="eastAsia" w:ascii="仿宋" w:hAnsi="仿宋" w:eastAsia="仿宋" w:cs="仿宋"/>
          <w:b w:val="0"/>
          <w:bCs w:val="0"/>
          <w:sz w:val="30"/>
          <w:szCs w:val="30"/>
          <w:highlight w:val="yellow"/>
          <w:lang w:val="en-US" w:eastAsia="zh-CN"/>
        </w:rPr>
        <w:t>、国际贸易实务（英文）（B0603080）、中国对外贸易（英文）（B0603090）</w:t>
      </w:r>
    </w:p>
    <w:p w14:paraId="4DBEB36A">
      <w:pPr>
        <w:ind w:firstLine="600" w:firstLineChars="200"/>
        <w:rPr>
          <w:rFonts w:hint="eastAsia" w:ascii="仿宋" w:hAnsi="仿宋" w:eastAsia="仿宋" w:cs="仿宋"/>
          <w:sz w:val="30"/>
          <w:szCs w:val="30"/>
        </w:rPr>
      </w:pPr>
      <w:r>
        <w:rPr>
          <w:rFonts w:hint="eastAsia" w:ascii="仿宋" w:hAnsi="仿宋" w:eastAsia="仿宋" w:cs="仿宋"/>
          <w:sz w:val="30"/>
          <w:szCs w:val="30"/>
        </w:rPr>
        <w:t>3.非外语专业的学生大学外语的加权平均成绩不低于80分。</w:t>
      </w:r>
    </w:p>
    <w:p w14:paraId="27F5D2EF">
      <w:pPr>
        <w:ind w:firstLine="600" w:firstLineChars="200"/>
        <w:rPr>
          <w:rFonts w:hint="eastAsia" w:ascii="仿宋" w:hAnsi="仿宋" w:eastAsia="仿宋" w:cs="仿宋"/>
          <w:sz w:val="30"/>
          <w:szCs w:val="30"/>
        </w:rPr>
      </w:pPr>
      <w:r>
        <w:rPr>
          <w:rFonts w:hint="eastAsia" w:ascii="仿宋" w:hAnsi="仿宋" w:eastAsia="仿宋" w:cs="仿宋"/>
          <w:sz w:val="30"/>
          <w:szCs w:val="30"/>
        </w:rPr>
        <w:t>4.大学英语六级考试成绩≥425分，或大学英语四级考试笔试成绩≥560分，或雅思≥6.5分，或托福≥90分。大学英语四级口试成绩≥合格等级，或雅思口语单项≥5.5分，或托福口语单项≥18分。</w:t>
      </w:r>
    </w:p>
    <w:p w14:paraId="1CA9E41B">
      <w:pPr>
        <w:widowControl/>
        <w:ind w:firstLine="600" w:firstLineChars="200"/>
        <w:jc w:val="left"/>
        <w:rPr>
          <w:sz w:val="30"/>
          <w:szCs w:val="30"/>
          <w:highlight w:val="cyan"/>
        </w:rPr>
      </w:pPr>
      <w:r>
        <w:rPr>
          <w:rFonts w:hint="eastAsia" w:ascii="仿宋" w:hAnsi="仿宋" w:eastAsia="仿宋" w:cs="仿宋"/>
          <w:sz w:val="30"/>
          <w:szCs w:val="30"/>
        </w:rPr>
        <w:t>5.学生《国家学生体质健康标准》测试前三年平均成绩不低于60分。确实</w:t>
      </w:r>
      <w:r>
        <w:rPr>
          <w:rFonts w:hint="eastAsia" w:ascii="仿宋" w:hAnsi="仿宋" w:eastAsia="仿宋" w:cs="仿宋"/>
          <w:color w:val="000000"/>
          <w:kern w:val="0"/>
          <w:sz w:val="30"/>
          <w:szCs w:val="30"/>
          <w:lang w:bidi="ar"/>
        </w:rPr>
        <w:t>丧失运动能力、被免予执行《标准》的残疾学生，免测成绩50分，仍可参加推免，由体育部负责解释。</w:t>
      </w:r>
    </w:p>
    <w:p w14:paraId="3CA0AC03">
      <w:pPr>
        <w:ind w:firstLine="600" w:firstLineChars="200"/>
        <w:rPr>
          <w:rFonts w:hint="eastAsia" w:ascii="仿宋" w:hAnsi="仿宋" w:eastAsia="仿宋" w:cs="仿宋"/>
          <w:sz w:val="30"/>
          <w:szCs w:val="30"/>
        </w:rPr>
      </w:pPr>
      <w:r>
        <w:rPr>
          <w:rFonts w:hint="eastAsia" w:ascii="仿宋" w:hAnsi="仿宋" w:eastAsia="仿宋" w:cs="仿宋"/>
          <w:sz w:val="30"/>
          <w:szCs w:val="30"/>
        </w:rPr>
        <w:t>以上1、2、3 点的成绩计算中，如有重修情况，以初次考试成绩为准。</w:t>
      </w:r>
    </w:p>
    <w:p w14:paraId="7AF3BE83">
      <w:pPr>
        <w:ind w:firstLine="602" w:firstLineChars="200"/>
        <w:rPr>
          <w:rFonts w:hint="eastAsia" w:ascii="仿宋" w:hAnsi="仿宋" w:eastAsia="仿宋" w:cs="仿宋"/>
          <w:sz w:val="30"/>
          <w:szCs w:val="30"/>
        </w:rPr>
      </w:pPr>
      <w:r>
        <w:rPr>
          <w:rFonts w:hint="eastAsia" w:ascii="仿宋" w:hAnsi="仿宋" w:eastAsia="仿宋" w:cs="仿宋"/>
          <w:b/>
          <w:sz w:val="30"/>
          <w:szCs w:val="30"/>
        </w:rPr>
        <w:t>第十一条</w:t>
      </w:r>
      <w:r>
        <w:rPr>
          <w:rFonts w:hint="eastAsia" w:ascii="仿宋" w:hAnsi="仿宋" w:eastAsia="仿宋" w:cs="仿宋"/>
          <w:sz w:val="30"/>
          <w:szCs w:val="30"/>
        </w:rPr>
        <w:t xml:space="preserve"> 学院根据学校要求，根据学生综合评定成绩进行遴选，不专门组织遴选考试（包括笔试、面试等）。</w:t>
      </w:r>
    </w:p>
    <w:p w14:paraId="73E0961B">
      <w:pPr>
        <w:ind w:firstLine="600" w:firstLineChars="200"/>
        <w:rPr>
          <w:rFonts w:hint="eastAsia" w:ascii="仿宋" w:hAnsi="仿宋" w:eastAsia="仿宋" w:cs="仿宋"/>
          <w:sz w:val="30"/>
          <w:szCs w:val="30"/>
        </w:rPr>
      </w:pPr>
      <w:r>
        <w:rPr>
          <w:rFonts w:hint="eastAsia" w:ascii="仿宋" w:hAnsi="仿宋" w:eastAsia="仿宋" w:cs="仿宋"/>
          <w:sz w:val="30"/>
          <w:szCs w:val="30"/>
        </w:rPr>
        <w:t>学生综合评定成绩的计算方式为：综合评定成绩=（1-6学期所有课程加权平均成绩）×85%+（各类奖励总分）×15%；</w:t>
      </w:r>
    </w:p>
    <w:p w14:paraId="09EB8704">
      <w:pPr>
        <w:ind w:firstLine="600" w:firstLineChars="200"/>
        <w:rPr>
          <w:rFonts w:hint="eastAsia" w:ascii="仿宋" w:hAnsi="仿宋" w:eastAsia="仿宋" w:cs="仿宋"/>
          <w:sz w:val="30"/>
          <w:szCs w:val="30"/>
        </w:rPr>
      </w:pPr>
      <w:r>
        <w:rPr>
          <w:rFonts w:hint="eastAsia" w:ascii="仿宋" w:hAnsi="仿宋" w:eastAsia="仿宋" w:cs="仿宋"/>
          <w:sz w:val="30"/>
          <w:szCs w:val="30"/>
        </w:rPr>
        <w:t>各类奖励总分为学校奖励加分与学院奖励加分之和。</w:t>
      </w:r>
    </w:p>
    <w:p w14:paraId="2BA76C03">
      <w:pPr>
        <w:jc w:val="center"/>
        <w:rPr>
          <w:rFonts w:hint="eastAsia" w:ascii="仿宋" w:hAnsi="仿宋" w:eastAsia="仿宋" w:cs="仿宋"/>
          <w:sz w:val="30"/>
          <w:szCs w:val="30"/>
          <w:highlight w:val="none"/>
        </w:rPr>
      </w:pPr>
      <w:r>
        <w:rPr>
          <w:rFonts w:hint="eastAsia" w:ascii="仿宋" w:hAnsi="仿宋" w:eastAsia="仿宋" w:cs="仿宋"/>
          <w:b/>
          <w:sz w:val="30"/>
          <w:szCs w:val="30"/>
          <w:highlight w:val="none"/>
        </w:rPr>
        <w:t>第五章 奖励加分</w:t>
      </w:r>
    </w:p>
    <w:p w14:paraId="57217CBA">
      <w:pPr>
        <w:ind w:firstLine="602" w:firstLineChars="200"/>
        <w:rPr>
          <w:rFonts w:hint="eastAsia" w:ascii="仿宋" w:hAnsi="仿宋" w:eastAsia="仿宋" w:cs="仿宋"/>
          <w:sz w:val="30"/>
          <w:szCs w:val="30"/>
          <w:highlight w:val="yellow"/>
        </w:rPr>
      </w:pPr>
      <w:r>
        <w:rPr>
          <w:rFonts w:hint="eastAsia" w:ascii="仿宋" w:hAnsi="仿宋" w:eastAsia="仿宋" w:cs="仿宋"/>
          <w:b/>
          <w:sz w:val="30"/>
          <w:szCs w:val="30"/>
        </w:rPr>
        <w:t xml:space="preserve">第十二条 </w:t>
      </w:r>
      <w:r>
        <w:rPr>
          <w:rFonts w:hint="eastAsia" w:ascii="仿宋" w:hAnsi="仿宋" w:eastAsia="仿宋" w:cs="仿宋"/>
          <w:sz w:val="30"/>
          <w:szCs w:val="30"/>
        </w:rPr>
        <w:t>学院根据实际确定科研、艺体及其他社会实践项目及奖励分值，对学生进行综合评定。学院奖励总分最高不得超过25分，超过25分的按25分计算。学生在某一方面中有多项加分情况时，只取一项。</w:t>
      </w:r>
      <w:r>
        <w:rPr>
          <w:rFonts w:hint="eastAsia" w:ascii="仿宋" w:hAnsi="仿宋" w:eastAsia="仿宋" w:cs="仿宋"/>
          <w:sz w:val="30"/>
          <w:szCs w:val="30"/>
          <w:highlight w:val="yellow"/>
          <w:lang w:val="en-US" w:eastAsia="zh-CN"/>
        </w:rPr>
        <w:t>2023级、2024级被划转的本科生</w:t>
      </w:r>
      <w:r>
        <w:rPr>
          <w:rFonts w:hint="eastAsia" w:ascii="仿宋" w:hAnsi="仿宋" w:eastAsia="仿宋" w:cs="仿宋"/>
          <w:sz w:val="30"/>
          <w:szCs w:val="30"/>
          <w:highlight w:val="yellow"/>
        </w:rPr>
        <w:t>学院推免奖励加分实施细则</w:t>
      </w:r>
      <w:r>
        <w:rPr>
          <w:rFonts w:hint="eastAsia" w:ascii="仿宋" w:hAnsi="仿宋" w:eastAsia="仿宋" w:cs="仿宋"/>
          <w:sz w:val="30"/>
          <w:szCs w:val="30"/>
          <w:highlight w:val="yellow"/>
          <w:lang w:val="en-US" w:eastAsia="zh-CN"/>
        </w:rPr>
        <w:t>仍然适用于原学院，2025级及以后的本科生将</w:t>
      </w:r>
      <w:bookmarkStart w:id="0" w:name="_GoBack"/>
      <w:bookmarkEnd w:id="0"/>
      <w:r>
        <w:rPr>
          <w:rFonts w:hint="eastAsia" w:ascii="仿宋" w:hAnsi="仿宋" w:eastAsia="仿宋" w:cs="仿宋"/>
          <w:sz w:val="30"/>
          <w:szCs w:val="30"/>
          <w:highlight w:val="yellow"/>
          <w:lang w:val="en-US" w:eastAsia="zh-CN"/>
        </w:rPr>
        <w:t>遵循经济贸易学院推免奖励加分实施细则。</w:t>
      </w:r>
    </w:p>
    <w:p w14:paraId="3ABADDC3">
      <w:pPr>
        <w:widowControl/>
        <w:ind w:firstLine="600" w:firstLineChars="200"/>
        <w:jc w:val="left"/>
        <w:rPr>
          <w:rFonts w:hint="eastAsia" w:ascii="仿宋" w:hAnsi="仿宋" w:eastAsia="仿宋" w:cs="仿宋"/>
          <w:sz w:val="30"/>
          <w:szCs w:val="30"/>
        </w:rPr>
      </w:pPr>
      <w:r>
        <w:rPr>
          <w:rFonts w:hint="eastAsia" w:ascii="仿宋" w:hAnsi="仿宋" w:eastAsia="仿宋" w:cs="仿宋"/>
          <w:kern w:val="0"/>
          <w:sz w:val="30"/>
          <w:szCs w:val="30"/>
          <w:lang w:bidi="ar"/>
        </w:rPr>
        <w:t>2023级和2024级贸易经济专业、国际经济与贸易专业和</w:t>
      </w:r>
      <w:r>
        <w:rPr>
          <w:rFonts w:ascii="仿宋" w:hAnsi="仿宋" w:eastAsia="仿宋" w:cs="仿宋"/>
          <w:kern w:val="0"/>
          <w:sz w:val="30"/>
          <w:szCs w:val="30"/>
          <w:lang w:bidi="ar"/>
        </w:rPr>
        <w:t>国际经济与贸易（融通创新人才实验班）</w:t>
      </w:r>
      <w:r>
        <w:rPr>
          <w:rFonts w:hint="eastAsia" w:ascii="仿宋" w:hAnsi="仿宋" w:eastAsia="仿宋" w:cs="仿宋"/>
          <w:kern w:val="0"/>
          <w:sz w:val="30"/>
          <w:szCs w:val="30"/>
          <w:lang w:bidi="ar"/>
        </w:rPr>
        <w:t>本科生学院奖励加分政策适用《工商管理学院推荐优秀应届本科毕业生免试攻读硕士学位研究生实施细则（2024年11月修订）》，2023级和2024级国际商务专业本科生学院奖励加分政策适用《</w:t>
      </w:r>
      <w:r>
        <w:rPr>
          <w:rFonts w:ascii="仿宋" w:hAnsi="仿宋" w:eastAsia="仿宋" w:cs="仿宋"/>
          <w:kern w:val="0"/>
          <w:sz w:val="30"/>
          <w:szCs w:val="30"/>
          <w:lang w:bidi="ar"/>
        </w:rPr>
        <w:t>经济学院推荐优秀应届本科毕业生免试攻读硕士学位研究生工作实施细则</w:t>
      </w:r>
      <w:r>
        <w:rPr>
          <w:rFonts w:hint="eastAsia" w:ascii="仿宋" w:hAnsi="仿宋" w:eastAsia="仿宋" w:cs="仿宋"/>
          <w:kern w:val="0"/>
          <w:sz w:val="30"/>
          <w:szCs w:val="30"/>
          <w:lang w:bidi="ar"/>
        </w:rPr>
        <w:t>》附件1。</w:t>
      </w:r>
    </w:p>
    <w:p w14:paraId="5A6C2770">
      <w:pPr>
        <w:ind w:firstLine="602" w:firstLineChars="200"/>
        <w:rPr>
          <w:rFonts w:hint="eastAsia" w:ascii="仿宋" w:hAnsi="仿宋" w:eastAsia="仿宋" w:cs="仿宋"/>
          <w:sz w:val="30"/>
          <w:szCs w:val="30"/>
        </w:rPr>
      </w:pPr>
      <w:r>
        <w:rPr>
          <w:rFonts w:hint="eastAsia" w:ascii="仿宋" w:hAnsi="仿宋" w:eastAsia="仿宋" w:cs="仿宋"/>
          <w:b/>
          <w:sz w:val="30"/>
          <w:szCs w:val="30"/>
        </w:rPr>
        <w:t xml:space="preserve">第十三条 </w:t>
      </w:r>
      <w:r>
        <w:rPr>
          <w:rFonts w:hint="eastAsia" w:ascii="仿宋" w:hAnsi="仿宋" w:eastAsia="仿宋" w:cs="仿宋"/>
          <w:sz w:val="30"/>
          <w:szCs w:val="30"/>
        </w:rPr>
        <w:t>学校奖励加分按以下规则进行认定，总分最高不得超过75分：</w:t>
      </w:r>
    </w:p>
    <w:p w14:paraId="0231D998">
      <w:pPr>
        <w:ind w:firstLine="600" w:firstLineChars="200"/>
        <w:rPr>
          <w:rFonts w:hint="eastAsia" w:ascii="仿宋" w:hAnsi="仿宋" w:eastAsia="仿宋" w:cs="仿宋"/>
          <w:sz w:val="30"/>
          <w:szCs w:val="30"/>
        </w:rPr>
      </w:pPr>
      <w:r>
        <w:rPr>
          <w:rFonts w:hint="eastAsia" w:ascii="仿宋" w:hAnsi="仿宋" w:eastAsia="仿宋" w:cs="仿宋"/>
          <w:sz w:val="30"/>
          <w:szCs w:val="30"/>
        </w:rPr>
        <w:t>1.退役大学生表现优异者，经人民武装部推荐，可按圆满履行兵役义务和立功受奖等分级予以奖励加分，最高可获奖励加分40分，细则由人民武装部制定（见附件2）。</w:t>
      </w:r>
    </w:p>
    <w:p w14:paraId="4D7550E5">
      <w:pPr>
        <w:ind w:firstLine="600" w:firstLineChars="200"/>
        <w:rPr>
          <w:rFonts w:hint="eastAsia" w:ascii="仿宋" w:hAnsi="仿宋" w:eastAsia="仿宋" w:cs="仿宋"/>
          <w:sz w:val="30"/>
          <w:szCs w:val="30"/>
        </w:rPr>
      </w:pPr>
      <w:r>
        <w:rPr>
          <w:rFonts w:hint="eastAsia" w:ascii="仿宋" w:hAnsi="仿宋" w:eastAsia="仿宋" w:cs="仿宋"/>
          <w:sz w:val="30"/>
          <w:szCs w:val="30"/>
        </w:rPr>
        <w:t>2.参加中国国际大学生创新大赛、“挑战杯”全国大学生课外学术科技作品竞赛和“挑战杯”全国大学生创业计划竞赛等A类学科竞赛获奖者，作品入选全国大学生创新创业年会项目者最高可获奖励加分30分，细则由团委（创业学院）制定（见附件3）。</w:t>
      </w:r>
    </w:p>
    <w:p w14:paraId="28AD2F45">
      <w:pPr>
        <w:ind w:firstLine="600" w:firstLineChars="200"/>
        <w:rPr>
          <w:rFonts w:hint="eastAsia" w:ascii="仿宋" w:hAnsi="仿宋" w:eastAsia="仿宋" w:cs="仿宋"/>
          <w:sz w:val="30"/>
          <w:szCs w:val="30"/>
        </w:rPr>
      </w:pPr>
      <w:r>
        <w:rPr>
          <w:rFonts w:hint="eastAsia" w:ascii="仿宋" w:hAnsi="仿宋" w:eastAsia="仿宋" w:cs="仿宋"/>
          <w:sz w:val="30"/>
          <w:szCs w:val="30"/>
        </w:rPr>
        <w:t>3.非英语专业学生，参加大学生英语四六级口语考试或相关权威机构组织的英语口语考试根据成绩等级最高可获奖励加分5分。（附件4）</w:t>
      </w:r>
    </w:p>
    <w:p w14:paraId="16FB3EE3">
      <w:pPr>
        <w:ind w:firstLine="600" w:firstLineChars="200"/>
        <w:rPr>
          <w:rFonts w:hint="eastAsia" w:ascii="仿宋" w:hAnsi="仿宋" w:eastAsia="仿宋" w:cs="仿宋"/>
          <w:sz w:val="30"/>
          <w:szCs w:val="30"/>
        </w:rPr>
      </w:pPr>
      <w:r>
        <w:rPr>
          <w:rFonts w:hint="eastAsia" w:ascii="仿宋" w:hAnsi="仿宋" w:eastAsia="仿宋" w:cs="仿宋"/>
          <w:sz w:val="30"/>
          <w:szCs w:val="30"/>
        </w:rPr>
        <w:t>4.学生到国际组织实习且时间超过一个月的可获奖励加分3分，有多项加分的只取一项。</w:t>
      </w:r>
    </w:p>
    <w:p w14:paraId="3FA8559E">
      <w:pPr>
        <w:ind w:firstLine="600" w:firstLineChars="200"/>
        <w:rPr>
          <w:rFonts w:ascii="仿宋" w:hAnsi="仿宋" w:eastAsia="仿宋" w:cs="仿宋"/>
          <w:sz w:val="30"/>
          <w:szCs w:val="30"/>
        </w:rPr>
      </w:pPr>
      <w:r>
        <w:rPr>
          <w:rFonts w:hint="eastAsia" w:ascii="仿宋" w:hAnsi="仿宋" w:eastAsia="仿宋" w:cs="仿宋"/>
          <w:sz w:val="30"/>
          <w:szCs w:val="30"/>
        </w:rPr>
        <w:t>5.学生参加《国家学生体质健康标准》测试，最高可获奖励加分3分，细则由体育部制定（附件5）。</w:t>
      </w:r>
    </w:p>
    <w:p w14:paraId="37E96F5B">
      <w:pPr>
        <w:jc w:val="center"/>
        <w:rPr>
          <w:rFonts w:hint="eastAsia" w:ascii="仿宋" w:hAnsi="仿宋" w:eastAsia="仿宋" w:cs="仿宋"/>
          <w:b/>
          <w:sz w:val="30"/>
          <w:szCs w:val="30"/>
        </w:rPr>
      </w:pPr>
      <w:r>
        <w:rPr>
          <w:rFonts w:hint="eastAsia" w:ascii="仿宋" w:hAnsi="仿宋" w:eastAsia="仿宋" w:cs="仿宋"/>
          <w:b/>
          <w:sz w:val="30"/>
          <w:szCs w:val="30"/>
          <w:lang w:bidi="ar"/>
        </w:rPr>
        <w:t>第六章 推免程序</w:t>
      </w:r>
    </w:p>
    <w:p w14:paraId="1161D18D">
      <w:pPr>
        <w:ind w:firstLine="602" w:firstLineChars="200"/>
        <w:rPr>
          <w:rFonts w:hint="eastAsia" w:ascii="仿宋" w:hAnsi="仿宋" w:eastAsia="仿宋" w:cs="仿宋"/>
          <w:sz w:val="30"/>
          <w:szCs w:val="30"/>
        </w:rPr>
      </w:pPr>
      <w:r>
        <w:rPr>
          <w:rFonts w:hint="eastAsia" w:ascii="仿宋" w:hAnsi="仿宋" w:eastAsia="仿宋" w:cs="仿宋"/>
          <w:b/>
          <w:sz w:val="30"/>
          <w:szCs w:val="30"/>
        </w:rPr>
        <w:t>第十四条</w:t>
      </w:r>
      <w:r>
        <w:rPr>
          <w:rFonts w:hint="eastAsia" w:ascii="仿宋" w:hAnsi="仿宋" w:eastAsia="仿宋" w:cs="仿宋"/>
          <w:sz w:val="30"/>
          <w:szCs w:val="30"/>
        </w:rPr>
        <w:t xml:space="preserve"> 学院推免工作按以下程序进行：</w:t>
      </w:r>
    </w:p>
    <w:p w14:paraId="70B0B961">
      <w:pPr>
        <w:ind w:firstLine="600" w:firstLineChars="200"/>
        <w:rPr>
          <w:rFonts w:hint="eastAsia" w:ascii="仿宋" w:hAnsi="仿宋" w:eastAsia="仿宋" w:cs="仿宋"/>
          <w:sz w:val="30"/>
          <w:szCs w:val="30"/>
        </w:rPr>
      </w:pPr>
      <w:r>
        <w:rPr>
          <w:rFonts w:hint="eastAsia" w:ascii="仿宋" w:hAnsi="仿宋" w:eastAsia="仿宋" w:cs="仿宋"/>
          <w:sz w:val="30"/>
          <w:szCs w:val="30"/>
        </w:rPr>
        <w:t>（一）学院根据学校分配的指标数量，确定本年度各专业推免生名额，制定工作计划并予以公布。</w:t>
      </w:r>
    </w:p>
    <w:p w14:paraId="46C4B00E">
      <w:pPr>
        <w:ind w:firstLine="600" w:firstLineChars="200"/>
        <w:rPr>
          <w:rFonts w:hint="eastAsia" w:ascii="仿宋" w:hAnsi="仿宋" w:eastAsia="仿宋" w:cs="仿宋"/>
          <w:sz w:val="30"/>
          <w:szCs w:val="30"/>
        </w:rPr>
      </w:pPr>
      <w:r>
        <w:rPr>
          <w:rFonts w:hint="eastAsia" w:ascii="仿宋" w:hAnsi="仿宋" w:eastAsia="仿宋" w:cs="仿宋"/>
          <w:sz w:val="30"/>
          <w:szCs w:val="30"/>
        </w:rPr>
        <w:t>（二）学院根据学校规定制定推免工作实施细则（包括指标分配、各类推免生推荐标准、工作程序等），连同学院推免工作小组名单在本学院网站公布并报本科生院备案。</w:t>
      </w:r>
    </w:p>
    <w:p w14:paraId="02A2DFA2">
      <w:pPr>
        <w:ind w:firstLine="600" w:firstLineChars="200"/>
        <w:rPr>
          <w:rFonts w:hint="eastAsia" w:ascii="仿宋" w:hAnsi="仿宋" w:eastAsia="仿宋" w:cs="仿宋"/>
          <w:sz w:val="30"/>
          <w:szCs w:val="30"/>
        </w:rPr>
      </w:pPr>
      <w:r>
        <w:rPr>
          <w:rFonts w:hint="eastAsia" w:ascii="仿宋" w:hAnsi="仿宋" w:eastAsia="仿宋" w:cs="仿宋"/>
          <w:sz w:val="30"/>
          <w:szCs w:val="30"/>
        </w:rPr>
        <w:t>（三）符合申请条件的学生，向学院提交申请，并附相关证明材料。</w:t>
      </w:r>
    </w:p>
    <w:p w14:paraId="3D69F576">
      <w:pPr>
        <w:ind w:firstLine="600" w:firstLineChars="200"/>
        <w:rPr>
          <w:rFonts w:hint="eastAsia" w:ascii="仿宋" w:hAnsi="仿宋" w:eastAsia="仿宋" w:cs="仿宋"/>
          <w:sz w:val="30"/>
          <w:szCs w:val="30"/>
        </w:rPr>
      </w:pPr>
      <w:r>
        <w:rPr>
          <w:rFonts w:hint="eastAsia" w:ascii="仿宋" w:hAnsi="仿宋" w:eastAsia="仿宋" w:cs="仿宋"/>
          <w:sz w:val="30"/>
          <w:szCs w:val="30"/>
        </w:rPr>
        <w:t>（四）学院按照实施细则对学生进行综合评定，择优确定拟推免名单，并在学院网站和公开场所对学生推免名单和各类材料进行公示。公示期不少于3天，未经公示的推免生资格无效。公示期间公示内容不得修改，如有变动，需对变动部分做出说明，并对变动内容另行公示3天。公示期结束后学院汇总最终名单，并经学院推免生工作小组负责人签字盖章后报送学校</w:t>
      </w:r>
      <w:r>
        <w:rPr>
          <w:rFonts w:ascii="仿宋" w:hAnsi="仿宋" w:eastAsia="仿宋" w:cs="仿宋"/>
          <w:sz w:val="30"/>
          <w:szCs w:val="30"/>
        </w:rPr>
        <w:t>推免生遴选工作领导小组</w:t>
      </w:r>
      <w:r>
        <w:rPr>
          <w:rFonts w:hint="eastAsia" w:ascii="仿宋" w:hAnsi="仿宋" w:eastAsia="仿宋" w:cs="仿宋"/>
          <w:sz w:val="30"/>
          <w:szCs w:val="30"/>
        </w:rPr>
        <w:t>办公室。</w:t>
      </w:r>
    </w:p>
    <w:p w14:paraId="24FA7EC5">
      <w:pPr>
        <w:jc w:val="center"/>
        <w:rPr>
          <w:rFonts w:hint="eastAsia" w:ascii="仿宋" w:hAnsi="仿宋" w:eastAsia="仿宋" w:cs="仿宋"/>
          <w:b/>
          <w:sz w:val="30"/>
          <w:szCs w:val="30"/>
        </w:rPr>
      </w:pPr>
      <w:r>
        <w:rPr>
          <w:rFonts w:hint="eastAsia" w:ascii="仿宋" w:hAnsi="仿宋" w:eastAsia="仿宋" w:cs="仿宋"/>
          <w:b/>
          <w:sz w:val="30"/>
          <w:szCs w:val="30"/>
        </w:rPr>
        <w:t>第七章 管理与监督</w:t>
      </w:r>
    </w:p>
    <w:p w14:paraId="38DE2050">
      <w:pPr>
        <w:ind w:firstLine="602" w:firstLineChars="200"/>
        <w:rPr>
          <w:rFonts w:hint="eastAsia" w:ascii="仿宋" w:hAnsi="仿宋" w:eastAsia="仿宋" w:cs="仿宋"/>
          <w:color w:val="FF0000"/>
          <w:sz w:val="30"/>
          <w:szCs w:val="30"/>
        </w:rPr>
      </w:pPr>
      <w:r>
        <w:rPr>
          <w:rFonts w:hint="eastAsia" w:ascii="仿宋" w:hAnsi="仿宋" w:eastAsia="仿宋" w:cs="仿宋"/>
          <w:b/>
          <w:sz w:val="30"/>
          <w:szCs w:val="30"/>
        </w:rPr>
        <w:t>第十五条</w:t>
      </w:r>
      <w:r>
        <w:rPr>
          <w:rFonts w:hint="eastAsia" w:ascii="仿宋" w:hAnsi="仿宋" w:eastAsia="仿宋" w:cs="仿宋"/>
          <w:sz w:val="30"/>
          <w:szCs w:val="30"/>
        </w:rPr>
        <w:t xml:space="preserve"> 学院严格加强管理，严格审核，完善监督制度。涉及推免工作的原则、方法、程序和结果等重要事项认真研究，集体决策。学院严格审核推免生的申请表、成绩单、证明材料等各项推荐材料，坚决杜绝弄虚作假。</w:t>
      </w:r>
    </w:p>
    <w:p w14:paraId="3C8A613F">
      <w:pPr>
        <w:ind w:firstLine="602" w:firstLineChars="200"/>
        <w:rPr>
          <w:rFonts w:hint="eastAsia" w:ascii="仿宋" w:hAnsi="仿宋" w:eastAsia="仿宋" w:cs="仿宋"/>
          <w:sz w:val="30"/>
          <w:szCs w:val="30"/>
        </w:rPr>
      </w:pPr>
      <w:r>
        <w:rPr>
          <w:rFonts w:hint="eastAsia" w:ascii="仿宋" w:hAnsi="仿宋" w:eastAsia="仿宋" w:cs="仿宋"/>
          <w:b/>
          <w:sz w:val="30"/>
          <w:szCs w:val="30"/>
        </w:rPr>
        <w:t>第十六条</w:t>
      </w:r>
      <w:r>
        <w:rPr>
          <w:rFonts w:hint="eastAsia" w:ascii="仿宋" w:hAnsi="仿宋" w:eastAsia="仿宋" w:cs="仿宋"/>
          <w:b/>
          <w:color w:val="FF0000"/>
          <w:sz w:val="30"/>
          <w:szCs w:val="30"/>
        </w:rPr>
        <w:t xml:space="preserve"> </w:t>
      </w:r>
      <w:r>
        <w:rPr>
          <w:rFonts w:hint="eastAsia" w:ascii="仿宋" w:hAnsi="仿宋" w:eastAsia="仿宋" w:cs="仿宋"/>
          <w:sz w:val="30"/>
          <w:szCs w:val="30"/>
        </w:rPr>
        <w:t>学院实施回避制度，推免相关工作人员有直系亲属或利益相关人员参加推免的须主动申请回避，有非直系亲属等参加推免的须主动报备；相关学生申请推免资格时须主动报备声明。</w:t>
      </w:r>
    </w:p>
    <w:p w14:paraId="23C192F8">
      <w:pPr>
        <w:ind w:firstLine="600" w:firstLineChars="200"/>
        <w:rPr>
          <w:rFonts w:hint="eastAsia" w:ascii="仿宋" w:hAnsi="仿宋" w:eastAsia="仿宋" w:cs="仿宋"/>
          <w:sz w:val="30"/>
          <w:szCs w:val="30"/>
        </w:rPr>
      </w:pPr>
      <w:r>
        <w:rPr>
          <w:rFonts w:hint="eastAsia" w:ascii="仿宋" w:hAnsi="仿宋" w:eastAsia="仿宋" w:cs="仿宋"/>
          <w:sz w:val="30"/>
          <w:szCs w:val="30"/>
        </w:rPr>
        <w:t>对未按规定报备声明回避关系的推免相关工作人员，学院将依规依纪严肃处理；对未按规定报备声明回避关系且影响推免过程和结果公平公正的学生，学院将取消其推免资格。</w:t>
      </w:r>
    </w:p>
    <w:p w14:paraId="542FE8D8">
      <w:pPr>
        <w:adjustRightInd w:val="0"/>
        <w:snapToGrid w:val="0"/>
        <w:ind w:firstLine="602" w:firstLineChars="200"/>
        <w:rPr>
          <w:rFonts w:hint="eastAsia" w:ascii="仿宋" w:hAnsi="仿宋" w:eastAsia="仿宋" w:cs="仿宋"/>
          <w:sz w:val="30"/>
          <w:szCs w:val="30"/>
        </w:rPr>
      </w:pPr>
      <w:r>
        <w:rPr>
          <w:rFonts w:hint="eastAsia" w:ascii="仿宋" w:hAnsi="仿宋" w:eastAsia="仿宋" w:cs="仿宋"/>
          <w:b/>
          <w:sz w:val="30"/>
          <w:szCs w:val="30"/>
        </w:rPr>
        <w:t xml:space="preserve">第十七条 </w:t>
      </w:r>
      <w:r>
        <w:rPr>
          <w:rFonts w:hint="eastAsia" w:ascii="仿宋" w:hAnsi="仿宋" w:eastAsia="仿宋" w:cs="仿宋"/>
          <w:sz w:val="30"/>
          <w:szCs w:val="30"/>
        </w:rPr>
        <w:t>学院应将推免生政策规定、推免生资格名单、申诉渠道等公开。</w:t>
      </w:r>
    </w:p>
    <w:p w14:paraId="4D047B83">
      <w:pPr>
        <w:ind w:firstLine="602" w:firstLineChars="200"/>
        <w:rPr>
          <w:rFonts w:hint="eastAsia" w:ascii="仿宋" w:hAnsi="仿宋" w:eastAsia="仿宋" w:cs="仿宋"/>
          <w:sz w:val="30"/>
          <w:szCs w:val="30"/>
        </w:rPr>
      </w:pPr>
      <w:r>
        <w:rPr>
          <w:rFonts w:hint="eastAsia" w:ascii="仿宋" w:hAnsi="仿宋" w:eastAsia="仿宋" w:cs="仿宋"/>
          <w:b/>
          <w:sz w:val="30"/>
          <w:szCs w:val="30"/>
        </w:rPr>
        <w:t xml:space="preserve">第十八条 </w:t>
      </w:r>
      <w:r>
        <w:rPr>
          <w:rFonts w:hint="eastAsia" w:ascii="仿宋" w:hAnsi="仿宋" w:eastAsia="仿宋" w:cs="仿宋"/>
          <w:sz w:val="30"/>
          <w:szCs w:val="30"/>
        </w:rPr>
        <w:t>学生对推免工作有意见、建议或者申诉、举报，应先向学院推免工作小组反映。学生对学院的处理意见如有异议，可向学校</w:t>
      </w:r>
      <w:r>
        <w:rPr>
          <w:rFonts w:ascii="仿宋" w:hAnsi="仿宋" w:eastAsia="仿宋" w:cs="仿宋"/>
          <w:sz w:val="30"/>
          <w:szCs w:val="30"/>
        </w:rPr>
        <w:t>推免生遴选工作领导小组</w:t>
      </w:r>
      <w:r>
        <w:rPr>
          <w:rFonts w:hint="eastAsia" w:ascii="仿宋" w:hAnsi="仿宋" w:eastAsia="仿宋" w:cs="仿宋"/>
          <w:sz w:val="30"/>
          <w:szCs w:val="30"/>
        </w:rPr>
        <w:t>反映。</w:t>
      </w:r>
    </w:p>
    <w:p w14:paraId="400330A6">
      <w:pPr>
        <w:ind w:firstLine="602" w:firstLineChars="200"/>
        <w:rPr>
          <w:rFonts w:hint="eastAsia" w:ascii="仿宋" w:hAnsi="仿宋" w:eastAsia="仿宋" w:cs="仿宋"/>
          <w:sz w:val="30"/>
          <w:szCs w:val="30"/>
        </w:rPr>
      </w:pPr>
      <w:r>
        <w:rPr>
          <w:rFonts w:hint="eastAsia" w:ascii="仿宋" w:hAnsi="仿宋" w:eastAsia="仿宋" w:cs="仿宋"/>
          <w:b/>
          <w:sz w:val="30"/>
          <w:szCs w:val="30"/>
        </w:rPr>
        <w:t xml:space="preserve">第十九条 </w:t>
      </w:r>
      <w:r>
        <w:rPr>
          <w:rFonts w:hint="eastAsia" w:ascii="仿宋" w:hAnsi="仿宋" w:eastAsia="仿宋" w:cs="仿宋"/>
          <w:sz w:val="30"/>
          <w:szCs w:val="30"/>
        </w:rPr>
        <w:t xml:space="preserve">在推免工作过程中有弄虚作假的学生，一经发现，即取消推免生资格，对已录取者取消资格和学籍，并按学生管理规定进行相应处理。涉嫌违法犯罪的交由司法机关处理。  </w:t>
      </w:r>
      <w:r>
        <w:rPr>
          <w:rFonts w:hint="eastAsia" w:ascii="仿宋" w:hAnsi="仿宋" w:eastAsia="仿宋" w:cs="仿宋"/>
          <w:b/>
          <w:sz w:val="30"/>
          <w:szCs w:val="30"/>
        </w:rPr>
        <w:t xml:space="preserve"> </w:t>
      </w:r>
    </w:p>
    <w:p w14:paraId="556E24E6">
      <w:pPr>
        <w:jc w:val="center"/>
        <w:rPr>
          <w:rFonts w:hint="eastAsia" w:ascii="仿宋" w:hAnsi="仿宋" w:eastAsia="仿宋" w:cs="仿宋"/>
          <w:b/>
          <w:sz w:val="30"/>
          <w:szCs w:val="30"/>
        </w:rPr>
      </w:pPr>
      <w:r>
        <w:rPr>
          <w:rFonts w:hint="eastAsia" w:ascii="仿宋" w:hAnsi="仿宋" w:eastAsia="仿宋" w:cs="仿宋"/>
          <w:b/>
          <w:sz w:val="30"/>
          <w:szCs w:val="30"/>
        </w:rPr>
        <w:t>第八章 附则</w:t>
      </w:r>
    </w:p>
    <w:p w14:paraId="7D8A682A">
      <w:pPr>
        <w:ind w:firstLine="602" w:firstLineChars="200"/>
        <w:rPr>
          <w:rFonts w:hint="eastAsia" w:ascii="仿宋" w:hAnsi="仿宋" w:eastAsia="仿宋" w:cs="仿宋"/>
          <w:sz w:val="30"/>
          <w:szCs w:val="30"/>
        </w:rPr>
      </w:pPr>
      <w:r>
        <w:rPr>
          <w:rFonts w:hint="eastAsia" w:ascii="仿宋" w:hAnsi="仿宋" w:eastAsia="仿宋" w:cs="仿宋"/>
          <w:b/>
          <w:sz w:val="30"/>
          <w:szCs w:val="30"/>
        </w:rPr>
        <w:t xml:space="preserve">第二十条 </w:t>
      </w:r>
      <w:r>
        <w:rPr>
          <w:rFonts w:hint="eastAsia" w:ascii="仿宋" w:hAnsi="仿宋" w:eastAsia="仿宋" w:cs="仿宋"/>
          <w:sz w:val="30"/>
          <w:szCs w:val="30"/>
        </w:rPr>
        <w:t xml:space="preserve"> “中国青年志愿者研究生支教团”推免工作由校团委负责，具体条件和工作程序由校团委根据相关文件制定。</w:t>
      </w:r>
    </w:p>
    <w:p w14:paraId="41CB0094">
      <w:pPr>
        <w:ind w:firstLine="602" w:firstLineChars="200"/>
        <w:rPr>
          <w:rFonts w:hint="eastAsia" w:ascii="仿宋" w:hAnsi="仿宋" w:eastAsia="仿宋" w:cs="仿宋"/>
          <w:sz w:val="30"/>
          <w:szCs w:val="30"/>
        </w:rPr>
      </w:pPr>
      <w:r>
        <w:rPr>
          <w:rFonts w:hint="eastAsia" w:ascii="仿宋" w:hAnsi="仿宋" w:eastAsia="仿宋" w:cs="仿宋"/>
          <w:b/>
          <w:sz w:val="30"/>
          <w:szCs w:val="30"/>
        </w:rPr>
        <w:t>第二十一条</w:t>
      </w:r>
      <w:r>
        <w:rPr>
          <w:rFonts w:hint="eastAsia" w:ascii="仿宋" w:hAnsi="仿宋" w:eastAsia="仿宋" w:cs="仿宋"/>
          <w:sz w:val="30"/>
          <w:szCs w:val="30"/>
        </w:rPr>
        <w:t xml:space="preserve">  本细则从2026年8月起执行。</w:t>
      </w:r>
    </w:p>
    <w:p w14:paraId="23E20835">
      <w:pPr>
        <w:ind w:firstLine="602" w:firstLineChars="200"/>
        <w:rPr>
          <w:rFonts w:hint="eastAsia" w:ascii="仿宋" w:hAnsi="仿宋" w:eastAsia="仿宋" w:cs="仿宋"/>
          <w:sz w:val="30"/>
          <w:szCs w:val="30"/>
        </w:rPr>
      </w:pPr>
      <w:r>
        <w:rPr>
          <w:rFonts w:hint="eastAsia" w:ascii="仿宋" w:hAnsi="仿宋" w:eastAsia="仿宋" w:cs="仿宋"/>
          <w:b/>
          <w:sz w:val="30"/>
          <w:szCs w:val="30"/>
        </w:rPr>
        <w:t>第二十二条</w:t>
      </w:r>
      <w:r>
        <w:rPr>
          <w:rFonts w:hint="eastAsia" w:ascii="仿宋" w:hAnsi="仿宋" w:eastAsia="仿宋" w:cs="仿宋"/>
          <w:sz w:val="30"/>
          <w:szCs w:val="30"/>
        </w:rPr>
        <w:t xml:space="preserve"> 本细则由经济贸易学院推免工作小组负责解释。</w:t>
      </w:r>
    </w:p>
    <w:p w14:paraId="316195F2">
      <w:pPr>
        <w:ind w:firstLine="786" w:firstLineChars="262"/>
        <w:rPr>
          <w:rFonts w:hint="eastAsia" w:ascii="仿宋" w:hAnsi="仿宋" w:eastAsia="仿宋" w:cs="仿宋"/>
          <w:sz w:val="30"/>
          <w:szCs w:val="30"/>
        </w:rPr>
      </w:pPr>
    </w:p>
    <w:p w14:paraId="07C243B4">
      <w:pPr>
        <w:ind w:firstLine="786" w:firstLineChars="262"/>
        <w:rPr>
          <w:rFonts w:hint="eastAsia" w:ascii="仿宋" w:hAnsi="仿宋" w:eastAsia="仿宋" w:cs="仿宋"/>
          <w:sz w:val="30"/>
          <w:szCs w:val="30"/>
        </w:rPr>
      </w:pPr>
    </w:p>
    <w:p w14:paraId="42ABFB40">
      <w:pPr>
        <w:jc w:val="center"/>
        <w:rPr>
          <w:rFonts w:hint="eastAsia" w:ascii="仿宋" w:hAnsi="仿宋" w:eastAsia="仿宋" w:cs="仿宋"/>
          <w:sz w:val="30"/>
          <w:szCs w:val="30"/>
        </w:rPr>
      </w:pPr>
      <w:r>
        <w:rPr>
          <w:rFonts w:hint="eastAsia" w:ascii="仿宋" w:hAnsi="仿宋" w:eastAsia="仿宋" w:cs="仿宋"/>
          <w:sz w:val="30"/>
          <w:szCs w:val="30"/>
        </w:rPr>
        <w:t xml:space="preserve">                               </w:t>
      </w:r>
      <w:r>
        <w:rPr>
          <w:rFonts w:ascii="仿宋" w:hAnsi="仿宋" w:eastAsia="仿宋" w:cs="仿宋"/>
          <w:sz w:val="30"/>
          <w:szCs w:val="30"/>
        </w:rPr>
        <w:t xml:space="preserve"> </w:t>
      </w:r>
      <w:r>
        <w:rPr>
          <w:rFonts w:hint="eastAsia" w:ascii="仿宋" w:hAnsi="仿宋" w:eastAsia="仿宋" w:cs="仿宋"/>
          <w:sz w:val="30"/>
          <w:szCs w:val="30"/>
        </w:rPr>
        <w:t xml:space="preserve"> </w:t>
      </w:r>
      <w:r>
        <w:rPr>
          <w:rFonts w:ascii="仿宋" w:hAnsi="仿宋" w:eastAsia="仿宋" w:cs="仿宋"/>
          <w:sz w:val="30"/>
          <w:szCs w:val="30"/>
        </w:rPr>
        <w:t xml:space="preserve">  </w:t>
      </w:r>
      <w:r>
        <w:rPr>
          <w:rFonts w:hint="eastAsia" w:ascii="仿宋" w:hAnsi="仿宋" w:eastAsia="仿宋" w:cs="仿宋"/>
          <w:sz w:val="30"/>
          <w:szCs w:val="30"/>
        </w:rPr>
        <w:t xml:space="preserve">    经济贸易学院</w:t>
      </w:r>
    </w:p>
    <w:p w14:paraId="11395477">
      <w:pPr>
        <w:tabs>
          <w:tab w:val="left" w:pos="6349"/>
        </w:tabs>
        <w:jc w:val="left"/>
        <w:rPr>
          <w:rFonts w:hint="eastAsia"/>
        </w:rPr>
      </w:pPr>
      <w:r>
        <w:rPr>
          <w:rFonts w:hint="eastAsia" w:ascii="仿宋" w:hAnsi="仿宋" w:eastAsia="仿宋" w:cs="仿宋"/>
          <w:sz w:val="30"/>
          <w:szCs w:val="30"/>
        </w:rPr>
        <w:tab/>
      </w:r>
      <w:r>
        <w:rPr>
          <w:rFonts w:hint="eastAsia" w:ascii="仿宋" w:hAnsi="仿宋" w:eastAsia="仿宋" w:cs="仿宋"/>
          <w:sz w:val="30"/>
          <w:szCs w:val="30"/>
        </w:rPr>
        <w:t xml:space="preserve"> 2026年7月</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455FE6"/>
    <w:multiLevelType w:val="singleLevel"/>
    <w:tmpl w:val="7C455FE6"/>
    <w:lvl w:ilvl="0" w:tentative="0">
      <w:start w:val="1"/>
      <w:numFmt w:val="decimalEnclosedCircleChinese"/>
      <w:suff w:val="nothing"/>
      <w:lvlText w:val="%1　"/>
      <w:lvlJc w:val="left"/>
      <w:pPr>
        <w:ind w:left="0" w:firstLine="4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65E"/>
    <w:rsid w:val="001679B5"/>
    <w:rsid w:val="00184DB4"/>
    <w:rsid w:val="003B7ADD"/>
    <w:rsid w:val="003C7E17"/>
    <w:rsid w:val="00454FF0"/>
    <w:rsid w:val="005A7208"/>
    <w:rsid w:val="0069065E"/>
    <w:rsid w:val="006A15A5"/>
    <w:rsid w:val="009018BC"/>
    <w:rsid w:val="00992105"/>
    <w:rsid w:val="00A24413"/>
    <w:rsid w:val="00A84505"/>
    <w:rsid w:val="00B21988"/>
    <w:rsid w:val="00C14C03"/>
    <w:rsid w:val="00C50B26"/>
    <w:rsid w:val="00D5083D"/>
    <w:rsid w:val="02181129"/>
    <w:rsid w:val="06053772"/>
    <w:rsid w:val="07EF46DA"/>
    <w:rsid w:val="0B84338B"/>
    <w:rsid w:val="0D505C1B"/>
    <w:rsid w:val="0D9E6986"/>
    <w:rsid w:val="0DB8556E"/>
    <w:rsid w:val="0DD405FA"/>
    <w:rsid w:val="0F7B6853"/>
    <w:rsid w:val="14496F20"/>
    <w:rsid w:val="15EE4223"/>
    <w:rsid w:val="18F67178"/>
    <w:rsid w:val="19670574"/>
    <w:rsid w:val="1B965141"/>
    <w:rsid w:val="1C202C5C"/>
    <w:rsid w:val="258C3110"/>
    <w:rsid w:val="25C31825"/>
    <w:rsid w:val="28BE1833"/>
    <w:rsid w:val="29226266"/>
    <w:rsid w:val="2A742AF1"/>
    <w:rsid w:val="2ADC01C6"/>
    <w:rsid w:val="2E6E7857"/>
    <w:rsid w:val="303B19BB"/>
    <w:rsid w:val="30B139AA"/>
    <w:rsid w:val="30DC13F0"/>
    <w:rsid w:val="39F2758E"/>
    <w:rsid w:val="41AA2E44"/>
    <w:rsid w:val="42876CE2"/>
    <w:rsid w:val="436F7EA2"/>
    <w:rsid w:val="44507CD3"/>
    <w:rsid w:val="44A973E3"/>
    <w:rsid w:val="4A007AA5"/>
    <w:rsid w:val="4D5F4AE3"/>
    <w:rsid w:val="4ED80FF1"/>
    <w:rsid w:val="5147420C"/>
    <w:rsid w:val="52592449"/>
    <w:rsid w:val="541128AF"/>
    <w:rsid w:val="5495528E"/>
    <w:rsid w:val="55F34E7D"/>
    <w:rsid w:val="5661367A"/>
    <w:rsid w:val="58935F89"/>
    <w:rsid w:val="59262959"/>
    <w:rsid w:val="593908DE"/>
    <w:rsid w:val="59802E2A"/>
    <w:rsid w:val="5A025174"/>
    <w:rsid w:val="5C966047"/>
    <w:rsid w:val="5DD60DF1"/>
    <w:rsid w:val="5E1E3AFE"/>
    <w:rsid w:val="677D0530"/>
    <w:rsid w:val="689C63B5"/>
    <w:rsid w:val="69E76134"/>
    <w:rsid w:val="6CE64481"/>
    <w:rsid w:val="6D5835D1"/>
    <w:rsid w:val="6F7E3097"/>
    <w:rsid w:val="75DC4673"/>
    <w:rsid w:val="76796366"/>
    <w:rsid w:val="772C162A"/>
    <w:rsid w:val="78C53AE4"/>
    <w:rsid w:val="790F4D60"/>
    <w:rsid w:val="7BBB4D2B"/>
    <w:rsid w:val="7C9932BE"/>
    <w:rsid w:val="7F1273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Times New Roman" w:hAnsi="Times New Roman" w:eastAsia="宋体" w:cs="Times New Roman"/>
      <w:kern w:val="2"/>
      <w:sz w:val="21"/>
      <w:szCs w:val="24"/>
      <w:lang w:val="en-US" w:eastAsia="zh-CN" w:bidi="ar-SA"/>
      <w14:ligatures w14:val="none"/>
    </w:rPr>
  </w:style>
  <w:style w:type="paragraph" w:styleId="2">
    <w:name w:val="heading 1"/>
    <w:basedOn w:val="1"/>
    <w:next w:val="1"/>
    <w:link w:val="17"/>
    <w:qFormat/>
    <w:uiPriority w:val="9"/>
    <w:pPr>
      <w:keepNext/>
      <w:keepLines/>
      <w:spacing w:before="480" w:after="80" w:line="278" w:lineRule="auto"/>
      <w:jc w:val="left"/>
      <w:outlineLvl w:val="0"/>
    </w:pPr>
    <w:rPr>
      <w:rFonts w:asciiTheme="majorHAnsi" w:hAnsiTheme="majorHAnsi" w:eastAsiaTheme="majorEastAsia" w:cstheme="majorBidi"/>
      <w:color w:val="2F5597" w:themeColor="accent1" w:themeShade="BF"/>
      <w:sz w:val="48"/>
      <w:szCs w:val="48"/>
      <w14:ligatures w14:val="standardContextual"/>
    </w:rPr>
  </w:style>
  <w:style w:type="paragraph" w:styleId="3">
    <w:name w:val="heading 2"/>
    <w:basedOn w:val="1"/>
    <w:next w:val="1"/>
    <w:link w:val="18"/>
    <w:semiHidden/>
    <w:unhideWhenUsed/>
    <w:qFormat/>
    <w:uiPriority w:val="9"/>
    <w:pPr>
      <w:keepNext/>
      <w:keepLines/>
      <w:spacing w:before="160" w:after="80" w:line="278" w:lineRule="auto"/>
      <w:jc w:val="left"/>
      <w:outlineLvl w:val="1"/>
    </w:pPr>
    <w:rPr>
      <w:rFonts w:asciiTheme="majorHAnsi" w:hAnsiTheme="majorHAnsi" w:eastAsiaTheme="majorEastAsia" w:cstheme="majorBidi"/>
      <w:color w:val="2F5597" w:themeColor="accent1" w:themeShade="BF"/>
      <w:sz w:val="40"/>
      <w:szCs w:val="40"/>
      <w14:ligatures w14:val="standardContextual"/>
    </w:rPr>
  </w:style>
  <w:style w:type="paragraph" w:styleId="4">
    <w:name w:val="heading 3"/>
    <w:basedOn w:val="1"/>
    <w:next w:val="1"/>
    <w:link w:val="19"/>
    <w:semiHidden/>
    <w:unhideWhenUsed/>
    <w:qFormat/>
    <w:uiPriority w:val="9"/>
    <w:pPr>
      <w:keepNext/>
      <w:keepLines/>
      <w:spacing w:before="160" w:after="80" w:line="278" w:lineRule="auto"/>
      <w:jc w:val="left"/>
      <w:outlineLvl w:val="2"/>
    </w:pPr>
    <w:rPr>
      <w:rFonts w:asciiTheme="majorHAnsi" w:hAnsiTheme="majorHAnsi" w:eastAsiaTheme="majorEastAsia" w:cstheme="majorBidi"/>
      <w:color w:val="2F5597" w:themeColor="accent1" w:themeShade="BF"/>
      <w:sz w:val="32"/>
      <w:szCs w:val="32"/>
      <w14:ligatures w14:val="standardContextual"/>
    </w:rPr>
  </w:style>
  <w:style w:type="paragraph" w:styleId="5">
    <w:name w:val="heading 4"/>
    <w:basedOn w:val="1"/>
    <w:next w:val="1"/>
    <w:link w:val="20"/>
    <w:semiHidden/>
    <w:unhideWhenUsed/>
    <w:qFormat/>
    <w:uiPriority w:val="9"/>
    <w:pPr>
      <w:keepNext/>
      <w:keepLines/>
      <w:spacing w:before="80" w:after="40" w:line="278" w:lineRule="auto"/>
      <w:jc w:val="left"/>
      <w:outlineLvl w:val="3"/>
    </w:pPr>
    <w:rPr>
      <w:rFonts w:asciiTheme="minorHAnsi" w:hAnsiTheme="minorHAnsi" w:eastAsiaTheme="minorEastAsia" w:cstheme="majorBidi"/>
      <w:color w:val="2F5597" w:themeColor="accent1" w:themeShade="BF"/>
      <w:sz w:val="28"/>
      <w:szCs w:val="28"/>
      <w14:ligatures w14:val="standardContextual"/>
    </w:rPr>
  </w:style>
  <w:style w:type="paragraph" w:styleId="6">
    <w:name w:val="heading 5"/>
    <w:basedOn w:val="1"/>
    <w:next w:val="1"/>
    <w:link w:val="21"/>
    <w:semiHidden/>
    <w:unhideWhenUsed/>
    <w:qFormat/>
    <w:uiPriority w:val="9"/>
    <w:pPr>
      <w:keepNext/>
      <w:keepLines/>
      <w:spacing w:before="80" w:after="40" w:line="278" w:lineRule="auto"/>
      <w:jc w:val="left"/>
      <w:outlineLvl w:val="4"/>
    </w:pPr>
    <w:rPr>
      <w:rFonts w:asciiTheme="minorHAnsi" w:hAnsiTheme="minorHAnsi" w:eastAsiaTheme="minorEastAsia" w:cstheme="majorBidi"/>
      <w:color w:val="2F5597" w:themeColor="accent1" w:themeShade="BF"/>
      <w:sz w:val="24"/>
      <w14:ligatures w14:val="standardContextual"/>
    </w:rPr>
  </w:style>
  <w:style w:type="paragraph" w:styleId="7">
    <w:name w:val="heading 6"/>
    <w:basedOn w:val="1"/>
    <w:next w:val="1"/>
    <w:link w:val="22"/>
    <w:semiHidden/>
    <w:unhideWhenUsed/>
    <w:qFormat/>
    <w:uiPriority w:val="9"/>
    <w:pPr>
      <w:keepNext/>
      <w:keepLines/>
      <w:spacing w:before="40" w:line="278" w:lineRule="auto"/>
      <w:jc w:val="left"/>
      <w:outlineLvl w:val="5"/>
    </w:pPr>
    <w:rPr>
      <w:rFonts w:asciiTheme="minorHAnsi" w:hAnsiTheme="minorHAnsi" w:eastAsiaTheme="minorEastAsia" w:cstheme="majorBidi"/>
      <w:b/>
      <w:bCs/>
      <w:color w:val="2F5597" w:themeColor="accent1" w:themeShade="BF"/>
      <w:sz w:val="22"/>
      <w14:ligatures w14:val="standardContextual"/>
    </w:rPr>
  </w:style>
  <w:style w:type="paragraph" w:styleId="8">
    <w:name w:val="heading 7"/>
    <w:basedOn w:val="1"/>
    <w:next w:val="1"/>
    <w:link w:val="23"/>
    <w:semiHidden/>
    <w:unhideWhenUsed/>
    <w:qFormat/>
    <w:uiPriority w:val="9"/>
    <w:pPr>
      <w:keepNext/>
      <w:keepLines/>
      <w:spacing w:before="40" w:line="278" w:lineRule="auto"/>
      <w:jc w:val="left"/>
      <w:outlineLvl w:val="6"/>
    </w:pPr>
    <w:rPr>
      <w:rFonts w:asciiTheme="minorHAnsi" w:hAnsiTheme="minorHAnsi" w:eastAsiaTheme="minorEastAsia" w:cstheme="majorBidi"/>
      <w:b/>
      <w:bCs/>
      <w:color w:val="595959" w:themeColor="text1" w:themeTint="A6"/>
      <w:sz w:val="22"/>
      <w14:textFill>
        <w14:solidFill>
          <w14:schemeClr w14:val="tx1">
            <w14:lumMod w14:val="65000"/>
            <w14:lumOff w14:val="35000"/>
          </w14:schemeClr>
        </w14:solidFill>
      </w14:textFill>
      <w14:ligatures w14:val="standardContextual"/>
    </w:rPr>
  </w:style>
  <w:style w:type="paragraph" w:styleId="9">
    <w:name w:val="heading 8"/>
    <w:basedOn w:val="1"/>
    <w:next w:val="1"/>
    <w:link w:val="24"/>
    <w:semiHidden/>
    <w:unhideWhenUsed/>
    <w:qFormat/>
    <w:uiPriority w:val="9"/>
    <w:pPr>
      <w:keepNext/>
      <w:keepLines/>
      <w:spacing w:line="278" w:lineRule="auto"/>
      <w:jc w:val="left"/>
      <w:outlineLvl w:val="7"/>
    </w:pPr>
    <w:rPr>
      <w:rFonts w:asciiTheme="minorHAnsi" w:hAnsiTheme="minorHAnsi" w:eastAsiaTheme="min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paragraph" w:styleId="10">
    <w:name w:val="heading 9"/>
    <w:basedOn w:val="1"/>
    <w:next w:val="1"/>
    <w:link w:val="25"/>
    <w:semiHidden/>
    <w:unhideWhenUsed/>
    <w:qFormat/>
    <w:uiPriority w:val="9"/>
    <w:pPr>
      <w:keepNext/>
      <w:keepLines/>
      <w:spacing w:line="278" w:lineRule="auto"/>
      <w:jc w:val="left"/>
      <w:outlineLvl w:val="8"/>
    </w:pPr>
    <w:rPr>
      <w:rFonts w:asciiTheme="minorHAnsi" w:hAnsiTheme="minorHAnsi" w:eastAsiaTheme="maj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spacing w:after="160"/>
      <w:jc w:val="left"/>
    </w:pPr>
    <w:rPr>
      <w:rFonts w:asciiTheme="minorHAnsi" w:hAnsiTheme="minorHAnsi" w:eastAsiaTheme="minorEastAsia" w:cstheme="minorBidi"/>
      <w:sz w:val="18"/>
      <w:szCs w:val="18"/>
      <w14:ligatures w14:val="standardContextual"/>
    </w:rPr>
  </w:style>
  <w:style w:type="paragraph" w:styleId="12">
    <w:name w:val="header"/>
    <w:basedOn w:val="1"/>
    <w:link w:val="35"/>
    <w:unhideWhenUsed/>
    <w:qFormat/>
    <w:uiPriority w:val="99"/>
    <w:pPr>
      <w:tabs>
        <w:tab w:val="center" w:pos="4153"/>
        <w:tab w:val="right" w:pos="8306"/>
      </w:tabs>
      <w:snapToGrid w:val="0"/>
      <w:spacing w:after="160"/>
      <w:jc w:val="center"/>
    </w:pPr>
    <w:rPr>
      <w:rFonts w:asciiTheme="minorHAnsi" w:hAnsiTheme="minorHAnsi" w:eastAsiaTheme="minorEastAsia" w:cstheme="minorBidi"/>
      <w:sz w:val="18"/>
      <w:szCs w:val="18"/>
      <w14:ligatures w14:val="standardContextual"/>
    </w:rPr>
  </w:style>
  <w:style w:type="paragraph" w:styleId="13">
    <w:name w:val="Subtitle"/>
    <w:basedOn w:val="1"/>
    <w:next w:val="1"/>
    <w:link w:val="27"/>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character" w:customStyle="1" w:styleId="17">
    <w:name w:val="标题 1 字符"/>
    <w:basedOn w:val="16"/>
    <w:link w:val="2"/>
    <w:qFormat/>
    <w:uiPriority w:val="9"/>
    <w:rPr>
      <w:rFonts w:asciiTheme="majorHAnsi" w:hAnsiTheme="majorHAnsi" w:eastAsiaTheme="majorEastAsia" w:cstheme="majorBidi"/>
      <w:color w:val="2F5597"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0">
    <w:name w:val="标题 4 字符"/>
    <w:basedOn w:val="16"/>
    <w:link w:val="5"/>
    <w:semiHidden/>
    <w:qFormat/>
    <w:uiPriority w:val="9"/>
    <w:rPr>
      <w:rFonts w:cstheme="majorBidi"/>
      <w:color w:val="2F5597" w:themeColor="accent1" w:themeShade="BF"/>
      <w:sz w:val="28"/>
      <w:szCs w:val="28"/>
    </w:rPr>
  </w:style>
  <w:style w:type="character" w:customStyle="1" w:styleId="21">
    <w:name w:val="标题 5 字符"/>
    <w:basedOn w:val="16"/>
    <w:link w:val="6"/>
    <w:semiHidden/>
    <w:qFormat/>
    <w:uiPriority w:val="9"/>
    <w:rPr>
      <w:rFonts w:cstheme="majorBidi"/>
      <w:color w:val="2F5597" w:themeColor="accent1" w:themeShade="BF"/>
      <w:sz w:val="24"/>
    </w:rPr>
  </w:style>
  <w:style w:type="character" w:customStyle="1" w:styleId="22">
    <w:name w:val="标题 6 字符"/>
    <w:basedOn w:val="16"/>
    <w:link w:val="7"/>
    <w:semiHidden/>
    <w:qFormat/>
    <w:uiPriority w:val="9"/>
    <w:rPr>
      <w:rFonts w:cstheme="majorBidi"/>
      <w:b/>
      <w:bCs/>
      <w:color w:val="2F5597"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line="278" w:lineRule="auto"/>
      <w:jc w:val="center"/>
    </w:pPr>
    <w:rPr>
      <w:rFonts w:asciiTheme="minorHAnsi" w:hAnsiTheme="minorHAnsi" w:eastAsiaTheme="minorEastAsia" w:cstheme="minorBidi"/>
      <w:i/>
      <w:iCs/>
      <w:color w:val="404040" w:themeColor="text1" w:themeTint="BF"/>
      <w:sz w:val="22"/>
      <w14:textFill>
        <w14:solidFill>
          <w14:schemeClr w14:val="tx1">
            <w14:lumMod w14:val="75000"/>
            <w14:lumOff w14:val="25000"/>
          </w14:schemeClr>
        </w14:solidFill>
      </w14:textFill>
      <w14:ligatures w14:val="standardContextua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spacing w:after="160" w:line="278" w:lineRule="auto"/>
      <w:ind w:left="720"/>
      <w:contextualSpacing/>
      <w:jc w:val="left"/>
    </w:pPr>
    <w:rPr>
      <w:rFonts w:asciiTheme="minorHAnsi" w:hAnsiTheme="minorHAnsi" w:eastAsiaTheme="minorEastAsia" w:cstheme="minorBidi"/>
      <w:sz w:val="22"/>
      <w14:ligatures w14:val="standardContextual"/>
    </w:rPr>
  </w:style>
  <w:style w:type="character" w:customStyle="1" w:styleId="31">
    <w:name w:val="Intense Emphasis"/>
    <w:basedOn w:val="16"/>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line="278" w:lineRule="auto"/>
      <w:ind w:left="864" w:right="864"/>
      <w:jc w:val="center"/>
    </w:pPr>
    <w:rPr>
      <w:rFonts w:asciiTheme="minorHAnsi" w:hAnsiTheme="minorHAnsi" w:eastAsiaTheme="minorEastAsia" w:cstheme="minorBidi"/>
      <w:i/>
      <w:iCs/>
      <w:color w:val="2F5597" w:themeColor="accent1" w:themeShade="BF"/>
      <w:sz w:val="22"/>
      <w14:ligatures w14:val="standardContextual"/>
    </w:rPr>
  </w:style>
  <w:style w:type="character" w:customStyle="1" w:styleId="33">
    <w:name w:val="明显引用 字符"/>
    <w:basedOn w:val="16"/>
    <w:link w:val="32"/>
    <w:qFormat/>
    <w:uiPriority w:val="30"/>
    <w:rPr>
      <w:i/>
      <w:iCs/>
      <w:color w:val="2F5597" w:themeColor="accent1" w:themeShade="BF"/>
    </w:rPr>
  </w:style>
  <w:style w:type="character" w:customStyle="1" w:styleId="34">
    <w:name w:val="Intense Reference"/>
    <w:basedOn w:val="16"/>
    <w:qFormat/>
    <w:uiPriority w:val="32"/>
    <w:rPr>
      <w:b/>
      <w:bCs/>
      <w:smallCaps/>
      <w:color w:val="2F5597" w:themeColor="accent1" w:themeShade="BF"/>
      <w:spacing w:val="5"/>
    </w:rPr>
  </w:style>
  <w:style w:type="character" w:customStyle="1" w:styleId="35">
    <w:name w:val="页眉 字符"/>
    <w:basedOn w:val="16"/>
    <w:link w:val="12"/>
    <w:qFormat/>
    <w:uiPriority w:val="99"/>
    <w:rPr>
      <w:sz w:val="18"/>
      <w:szCs w:val="18"/>
    </w:rPr>
  </w:style>
  <w:style w:type="character" w:customStyle="1" w:styleId="36">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3520</Words>
  <Characters>3699</Characters>
  <Lines>50</Lines>
  <Paragraphs>17</Paragraphs>
  <TotalTime>27</TotalTime>
  <ScaleCrop>false</ScaleCrop>
  <LinksUpToDate>false</LinksUpToDate>
  <CharactersWithSpaces>3777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2026-07-17T04:54:00Z</dcterms:created>
  <dc:creator>英娜 吴</dc:creator>
  <cp:lastModifiedBy>Crystal-YU</cp:lastModifiedBy>
  <dcterms:modified xsi:type="dcterms:W3CDTF">2026-08-25T06:26:56Z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eyJoZGlkIjoiY2M3OGQ1ZmRlMWFiODg3N2U0OWRmZDYyMTZhMmJlYjIifQ==</vt:lpwstr>
  </property>
  <property fmtid="{D5CDD505-2E9C-101B-9397-08002B2CF9AE}" pid="3" name="KSOProductBuildVer">
    <vt:lpwstr>2052-12.1.0.23542</vt:lpwstr>
  </property>
  <property fmtid="{D5CDD505-2E9C-101B-9397-08002B2CF9AE}" pid="4" name="ICV">
    <vt:lpwstr>CADE2FEEE2364FB18522D1A076FE3A6F_12</vt:lpwstr>
  </property>
</Properties>
</file>