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E64603">
      <w:pPr>
        <w:tabs>
          <w:tab w:val="left" w:pos="720"/>
        </w:tabs>
        <w:adjustRightInd w:val="0"/>
        <w:snapToGrid w:val="0"/>
        <w:spacing w:line="320" w:lineRule="exact"/>
        <w:ind w:firstLine="360" w:firstLineChars="200"/>
        <w:rPr>
          <w:rFonts w:ascii="黑体" w:hAnsi="黑体" w:eastAsia="黑体"/>
          <w:sz w:val="18"/>
          <w:szCs w:val="18"/>
        </w:rPr>
      </w:pPr>
      <w:r>
        <w:rPr>
          <w:rFonts w:hint="eastAsia" w:ascii="黑体" w:hAnsi="黑体" w:eastAsia="黑体"/>
          <w:sz w:val="18"/>
          <w:szCs w:val="18"/>
        </w:rPr>
        <w:t>附件</w:t>
      </w:r>
      <w:r>
        <w:rPr>
          <w:rFonts w:ascii="黑体" w:hAnsi="黑体" w:eastAsia="黑体"/>
          <w:sz w:val="18"/>
          <w:szCs w:val="18"/>
        </w:rPr>
        <w:t>5</w:t>
      </w:r>
    </w:p>
    <w:p w14:paraId="7FD85F91"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560" w:firstLineChars="200"/>
        <w:jc w:val="center"/>
        <w:textAlignment w:val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推免生综合成绩计算方法及奖励加分说明</w:t>
      </w:r>
    </w:p>
    <w:p w14:paraId="3BC96BAB"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22" w:firstLineChars="200"/>
        <w:textAlignment w:val="auto"/>
        <w:rPr>
          <w:rFonts w:asciiTheme="minorEastAsia" w:hAnsiTheme="minorEastAsia" w:eastAsia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/>
          <w:b/>
          <w:sz w:val="21"/>
          <w:szCs w:val="21"/>
        </w:rPr>
        <w:t>一、综合成绩计算方法</w:t>
      </w:r>
    </w:p>
    <w:p w14:paraId="3C751D9D"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20" w:firstLineChars="200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公式：综合成绩=学业成绩×85%+综合测评成绩×7%+奖励分成绩×8%。</w:t>
      </w:r>
    </w:p>
    <w:p w14:paraId="58105E55"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20" w:firstLineChars="200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1、学业成绩</w:t>
      </w:r>
    </w:p>
    <w:p w14:paraId="6EBF934A">
      <w:pPr>
        <w:keepNext w:val="0"/>
        <w:keepLines w:val="0"/>
        <w:pageBreakBefore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80" w:lineRule="exact"/>
        <w:ind w:firstLine="420" w:firstLineChars="200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学业成绩为学生培养方案有学分要求的所有已修课程（学业成绩单上的所有课程）的平均成绩，换算公式为：学业成绩=50+平均学分绩点（GPA）×10。不得专门组织考察学生学业表现的考试（包括笔试、面试）。</w:t>
      </w:r>
    </w:p>
    <w:p w14:paraId="59CA10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jc w:val="left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2、综合测评成绩</w:t>
      </w:r>
    </w:p>
    <w:p w14:paraId="431FBA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jc w:val="left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综合测评成绩总分为100分，包含专业素质（包括专业基础和创新创业能力）、科研素质、政治思想素质（包括政治学习、思想品德修养、参加集体活动表现等）、身心素质（包括身体素质、心理素质）等环节，同时要考虑学生在校期间参军入伍服兵役情况、参加志愿服务、到国际组织实习等情况，综合测评成绩按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百</w:t>
      </w:r>
      <w:r>
        <w:rPr>
          <w:rFonts w:hint="eastAsia" w:asciiTheme="minorEastAsia" w:hAnsiTheme="minorEastAsia" w:eastAsiaTheme="minorEastAsia"/>
          <w:sz w:val="21"/>
          <w:szCs w:val="21"/>
        </w:rPr>
        <w:t>分制给分，且各项目权重系数及分数等必须在学院推免工作实施细则中明确。</w:t>
      </w:r>
    </w:p>
    <w:p w14:paraId="6433B5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jc w:val="left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3、奖励分成绩</w:t>
      </w:r>
    </w:p>
    <w:p w14:paraId="61215E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jc w:val="left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奖励分成绩总分为100分，换算公式为：奖励分成绩=奖励分之和÷15×100。</w:t>
      </w:r>
    </w:p>
    <w:p w14:paraId="24CA38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textAlignment w:val="auto"/>
        <w:rPr>
          <w:rFonts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4、</w:t>
      </w:r>
      <w:r>
        <w:rPr>
          <w:rFonts w:hint="eastAsia" w:cs="宋体" w:asciiTheme="minorEastAsia" w:hAnsiTheme="minorEastAsia" w:eastAsiaTheme="minorEastAsia"/>
          <w:kern w:val="0"/>
          <w:sz w:val="21"/>
          <w:szCs w:val="21"/>
        </w:rPr>
        <w:t>学生</w:t>
      </w:r>
      <w:r>
        <w:rPr>
          <w:rFonts w:hint="eastAsia" w:asciiTheme="minorEastAsia" w:hAnsiTheme="minorEastAsia" w:eastAsiaTheme="minorEastAsia"/>
          <w:sz w:val="21"/>
          <w:szCs w:val="21"/>
        </w:rPr>
        <w:t>各项成绩一律保留两位小数。</w:t>
      </w:r>
    </w:p>
    <w:p w14:paraId="4EE8C7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ind w:firstLine="422" w:firstLineChars="200"/>
        <w:textAlignment w:val="auto"/>
        <w:rPr>
          <w:rFonts w:asciiTheme="minorEastAsia" w:hAnsiTheme="minorEastAsia" w:eastAsia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/>
          <w:b/>
          <w:sz w:val="21"/>
          <w:szCs w:val="21"/>
        </w:rPr>
        <w:t>二、奖励加分项目说明</w:t>
      </w:r>
    </w:p>
    <w:p w14:paraId="03533B7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textAlignment w:val="auto"/>
        <w:rPr>
          <w:rFonts w:hint="eastAsia" w:asciiTheme="minorEastAsia" w:hAnsiTheme="minorEastAsia" w:eastAsiaTheme="minorEastAsia"/>
          <w:sz w:val="21"/>
          <w:szCs w:val="21"/>
        </w:rPr>
      </w:pPr>
      <w:r>
        <w:rPr>
          <w:rFonts w:hint="eastAsia" w:asciiTheme="minorEastAsia" w:hAnsiTheme="minorEastAsia" w:eastAsiaTheme="minorEastAsia"/>
          <w:sz w:val="21"/>
          <w:szCs w:val="21"/>
        </w:rPr>
        <w:t>学校按照一定标准对获得表彰、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获</w:t>
      </w:r>
      <w:r>
        <w:rPr>
          <w:rFonts w:hint="eastAsia" w:asciiTheme="minorEastAsia" w:hAnsiTheme="minorEastAsia" w:eastAsiaTheme="minorEastAsia"/>
          <w:sz w:val="21"/>
          <w:szCs w:val="21"/>
        </w:rPr>
        <w:t>学科竞赛奖项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、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参军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eastAsia="zh-CN"/>
        </w:rPr>
        <w:t>入伍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情况、赴国际组织实习、</w:t>
      </w:r>
      <w:r>
        <w:rPr>
          <w:rFonts w:hint="eastAsia" w:asciiTheme="minorEastAsia" w:hAnsiTheme="minorEastAsia" w:eastAsiaTheme="minorEastAsia"/>
          <w:sz w:val="21"/>
          <w:szCs w:val="21"/>
        </w:rPr>
        <w:t>公开发表学术论文、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获</w:t>
      </w:r>
      <w:r>
        <w:rPr>
          <w:rFonts w:hint="eastAsia" w:asciiTheme="minorEastAsia" w:hAnsiTheme="minorEastAsia" w:eastAsiaTheme="minorEastAsia"/>
          <w:sz w:val="21"/>
          <w:szCs w:val="21"/>
        </w:rPr>
        <w:t>发明</w:t>
      </w:r>
      <w:r>
        <w:rPr>
          <w:rFonts w:hint="eastAsia" w:asciiTheme="minorEastAsia" w:hAnsiTheme="minorEastAsia" w:eastAsiaTheme="minorEastAsia"/>
          <w:sz w:val="21"/>
          <w:szCs w:val="21"/>
          <w:lang w:val="en-US" w:eastAsia="zh-CN"/>
        </w:rPr>
        <w:t>专利</w:t>
      </w:r>
      <w:r>
        <w:rPr>
          <w:rFonts w:hint="eastAsia" w:asciiTheme="minorEastAsia" w:hAnsiTheme="minorEastAsia" w:eastAsiaTheme="minorEastAsia"/>
          <w:sz w:val="21"/>
          <w:szCs w:val="21"/>
        </w:rPr>
        <w:t>的学生给予奖励加分，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val="en-US"/>
        </w:rPr>
        <w:t>6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</w:rPr>
        <w:t>类奖励中每一类只取一项最高奖励分</w:t>
      </w:r>
      <w:r>
        <w:rPr>
          <w:rFonts w:hint="eastAsia" w:asciiTheme="minorEastAsia" w:hAnsiTheme="minorEastAsia" w:eastAsiaTheme="minorEastAsia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/>
          <w:sz w:val="21"/>
          <w:szCs w:val="21"/>
        </w:rPr>
        <w:t>但各项奖励积分累计不超过15分。</w:t>
      </w:r>
    </w:p>
    <w:p w14:paraId="4E85EA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textAlignment w:val="auto"/>
        <w:rPr>
          <w:rFonts w:asciiTheme="minorEastAsia" w:hAnsiTheme="minorEastAsia" w:eastAsiaTheme="minorEastAsia"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其中，</w:t>
      </w:r>
      <w:bookmarkStart w:id="0" w:name="_GoBack"/>
      <w:bookmarkEnd w:id="0"/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表彰由团委进行认定。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1"/>
          <w:szCs w:val="21"/>
          <w:lang w:val="en-US" w:eastAsia="zh-CN"/>
        </w:rPr>
        <w:t>学科</w:t>
      </w:r>
      <w:r>
        <w:rPr>
          <w:rFonts w:hint="eastAsia" w:asciiTheme="minorEastAsia" w:hAnsiTheme="minorEastAsia" w:eastAsiaTheme="minorEastAsia"/>
          <w:b w:val="0"/>
          <w:bCs w:val="0"/>
          <w:color w:val="auto"/>
          <w:sz w:val="21"/>
          <w:szCs w:val="21"/>
        </w:rPr>
        <w:t>参赛获奖为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</w:rPr>
        <w:t>独立参加或作为主力成员参加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与学业相关的国内权威竞赛，并获得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val="en-US" w:eastAsia="zh-CN"/>
        </w:rPr>
        <w:t>三等奖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及以上奖励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国内权威竞赛限定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为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val="en-US" w:eastAsia="zh-CN"/>
        </w:rPr>
        <w:t>全国赛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国际赛事参照执行，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其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标准不低于国内赛事相关标准和要求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eastAsia="zh-CN"/>
        </w:rPr>
        <w:t>；竞赛范围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参照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val="en-US" w:eastAsia="zh-CN"/>
        </w:rPr>
        <w:t>《中南民族大学大学生创新科技活动管理办法（修订）》（民大发〔2021〕37 号）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及当年最新版学科竞赛目录（国家级D等及以上竞赛），由创新创业学院认定。参军入伍等情况参照</w:t>
      </w:r>
      <w:r>
        <w:rPr>
          <w:rFonts w:ascii="宋体" w:hAnsi="宋体" w:eastAsia="宋体" w:cs="宋体"/>
          <w:color w:val="auto"/>
          <w:sz w:val="21"/>
          <w:szCs w:val="21"/>
        </w:rPr>
        <w:t>部队颁发证书</w:t>
      </w:r>
      <w:r>
        <w:rPr>
          <w:rFonts w:hint="eastAsia" w:ascii="宋体" w:hAnsi="宋体" w:cs="宋体"/>
          <w:color w:val="auto"/>
          <w:sz w:val="21"/>
          <w:szCs w:val="21"/>
          <w:lang w:val="en-US" w:eastAsia="zh-CN"/>
        </w:rPr>
        <w:t>证明等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由党委学生工作部（处）认定。赴国际组织实习等情况由国际合作与交流处认定。学术论文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为学生本科阶段在高水平期刊上，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val="en-US" w:eastAsia="zh-CN"/>
        </w:rPr>
        <w:t>独撰或以第一作者发表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</w:rPr>
        <w:t>的与学业相关的科研论文，学生与其亲属或其他利益相关者合作的科研成果，不纳入加分指标认定范围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学术论文及发明专利参照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val="en-US" w:eastAsia="zh-CN"/>
        </w:rPr>
        <w:t>《中南民族大学科研成果评价指导方案》（民大发〔2022〕59号）</w:t>
      </w:r>
      <w:r>
        <w:rPr>
          <w:rFonts w:hint="eastAsia" w:asciiTheme="minorEastAsia" w:hAnsiTheme="minorEastAsia" w:eastAsiaTheme="minorEastAsia"/>
          <w:color w:val="auto"/>
          <w:sz w:val="21"/>
          <w:szCs w:val="21"/>
          <w:lang w:val="en-US" w:eastAsia="zh-CN"/>
        </w:rPr>
        <w:t>，由科学研究发展院认定。</w:t>
      </w:r>
    </w:p>
    <w:p w14:paraId="2A8770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textAlignment w:val="auto"/>
        <w:rPr>
          <w:rFonts w:asciiTheme="minorEastAsia" w:hAnsiTheme="minorEastAsia" w:eastAsiaTheme="minorEastAsia"/>
          <w:b/>
          <w:bCs w:val="0"/>
          <w:color w:val="auto"/>
          <w:sz w:val="21"/>
          <w:szCs w:val="21"/>
        </w:rPr>
      </w:pP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说明：各学院以上述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val="en-US" w:eastAsia="zh-CN"/>
        </w:rPr>
        <w:t>单位所规定的相关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范围为准受理学生奖励加分申请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val="en-US" w:eastAsia="zh-CN"/>
        </w:rPr>
        <w:t>学生须同时提交《奖励加分申报材料诚信承诺书》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并组织初审，将审核通过的项目填入奖励加分统计表后按通知规定时间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eastAsia="zh-CN"/>
        </w:rPr>
        <w:t>以学院为单位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统一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eastAsia="zh-CN"/>
        </w:rPr>
        <w:t>交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至相应部门进行复审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eastAsia="zh-CN"/>
        </w:rPr>
        <w:t>，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并核实更正学生报名时在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  <w:lang w:val="en-US" w:eastAsia="zh-CN"/>
        </w:rPr>
        <w:t>教务</w:t>
      </w:r>
      <w:r>
        <w:rPr>
          <w:rFonts w:hint="eastAsia" w:asciiTheme="minorEastAsia" w:hAnsiTheme="minorEastAsia" w:eastAsiaTheme="minorEastAsia"/>
          <w:b w:val="0"/>
          <w:bCs/>
          <w:color w:val="auto"/>
          <w:sz w:val="21"/>
          <w:szCs w:val="21"/>
        </w:rPr>
        <w:t>系统中填写的各类奖励加分信息。</w:t>
      </w:r>
      <w:r>
        <w:rPr>
          <w:rFonts w:hint="eastAsia" w:ascii="黑体" w:hAnsi="黑体" w:eastAsia="黑体" w:cs="黑体"/>
          <w:b/>
          <w:bCs/>
          <w:color w:val="auto"/>
          <w:sz w:val="21"/>
          <w:szCs w:val="21"/>
          <w:lang w:eastAsia="zh-CN"/>
        </w:rPr>
        <w:t>相关部门对个人提交的材料不予受理</w:t>
      </w:r>
      <w:r>
        <w:rPr>
          <w:rFonts w:hint="eastAsia" w:asciiTheme="minorEastAsia" w:hAnsiTheme="minorEastAsia" w:eastAsiaTheme="minorEastAsia"/>
          <w:b/>
          <w:bCs w:val="0"/>
          <w:color w:val="auto"/>
          <w:sz w:val="21"/>
          <w:szCs w:val="21"/>
          <w:lang w:eastAsia="zh-CN"/>
        </w:rPr>
        <w:t>。</w:t>
      </w:r>
    </w:p>
    <w:p w14:paraId="4B009C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380" w:lineRule="exact"/>
        <w:ind w:firstLine="420" w:firstLineChars="200"/>
        <w:textAlignment w:val="auto"/>
        <w:rPr>
          <w:rFonts w:ascii="仿宋_GB2312" w:eastAsia="仿宋_GB2312"/>
          <w:b w:val="0"/>
          <w:bCs/>
          <w:color w:val="auto"/>
          <w:sz w:val="21"/>
          <w:szCs w:val="21"/>
        </w:rPr>
      </w:pPr>
      <w:r>
        <w:rPr>
          <w:rFonts w:asciiTheme="minorEastAsia" w:hAnsiTheme="minorEastAsia" w:eastAsiaTheme="minorEastAsia"/>
          <w:b w:val="0"/>
          <w:bCs/>
          <w:color w:val="auto"/>
          <w:sz w:val="21"/>
          <w:szCs w:val="21"/>
        </w:rPr>
        <w:t>三、奖励加分复审安排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1442"/>
        <w:gridCol w:w="2910"/>
        <w:gridCol w:w="2100"/>
        <w:gridCol w:w="1248"/>
      </w:tblGrid>
      <w:tr w14:paraId="403BB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</w:tcPr>
          <w:p w14:paraId="22C4B7DB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szCs w:val="21"/>
              </w:rPr>
            </w:pPr>
            <w:r>
              <w:rPr>
                <w:rFonts w:asciiTheme="majorEastAsia" w:hAnsiTheme="majorEastAsia" w:eastAsiaTheme="majorEastAsia"/>
                <w:color w:val="auto"/>
                <w:szCs w:val="21"/>
              </w:rPr>
              <w:t>单位</w:t>
            </w:r>
          </w:p>
        </w:tc>
        <w:tc>
          <w:tcPr>
            <w:tcW w:w="1442" w:type="dxa"/>
          </w:tcPr>
          <w:p w14:paraId="7E9C9190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szCs w:val="21"/>
              </w:rPr>
            </w:pPr>
            <w:r>
              <w:rPr>
                <w:rFonts w:asciiTheme="majorEastAsia" w:hAnsiTheme="majorEastAsia" w:eastAsiaTheme="majorEastAsia"/>
                <w:color w:val="auto"/>
                <w:szCs w:val="21"/>
              </w:rPr>
              <w:t>负责教师</w:t>
            </w:r>
          </w:p>
        </w:tc>
        <w:tc>
          <w:tcPr>
            <w:tcW w:w="2910" w:type="dxa"/>
          </w:tcPr>
          <w:p w14:paraId="1B6F2BEF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Cs w:val="21"/>
              </w:rPr>
              <w:t>地点</w:t>
            </w:r>
          </w:p>
        </w:tc>
        <w:tc>
          <w:tcPr>
            <w:tcW w:w="2100" w:type="dxa"/>
          </w:tcPr>
          <w:p w14:paraId="57C495C8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Cs w:val="21"/>
                <w:lang w:val="en-US" w:eastAsia="zh-CN"/>
              </w:rPr>
              <w:t>审核</w:t>
            </w:r>
            <w:r>
              <w:rPr>
                <w:rFonts w:asciiTheme="majorEastAsia" w:hAnsiTheme="majorEastAsia" w:eastAsiaTheme="majorEastAsia"/>
                <w:color w:val="auto"/>
                <w:szCs w:val="21"/>
              </w:rPr>
              <w:t>时间</w:t>
            </w:r>
          </w:p>
        </w:tc>
        <w:tc>
          <w:tcPr>
            <w:tcW w:w="1248" w:type="dxa"/>
          </w:tcPr>
          <w:p w14:paraId="6A8149CD">
            <w:pPr>
              <w:spacing w:line="320" w:lineRule="exact"/>
              <w:jc w:val="center"/>
              <w:rPr>
                <w:rFonts w:asciiTheme="majorEastAsia" w:hAnsiTheme="majorEastAsia" w:eastAsiaTheme="majorEastAsia"/>
                <w:color w:val="auto"/>
                <w:szCs w:val="21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Cs w:val="21"/>
                <w:lang w:val="en-US" w:eastAsia="zh-CN"/>
              </w:rPr>
              <w:t>联系</w:t>
            </w:r>
            <w:r>
              <w:rPr>
                <w:rFonts w:asciiTheme="majorEastAsia" w:hAnsiTheme="majorEastAsia" w:eastAsiaTheme="majorEastAsia"/>
                <w:color w:val="auto"/>
                <w:szCs w:val="21"/>
              </w:rPr>
              <w:t>电话</w:t>
            </w:r>
          </w:p>
        </w:tc>
      </w:tr>
      <w:tr w14:paraId="216D6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2842AD03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团委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565D7440">
            <w:pPr>
              <w:spacing w:line="320" w:lineRule="exact"/>
              <w:jc w:val="center"/>
              <w:rPr>
                <w:rFonts w:hint="default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陈鹏冰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18F2BC83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大学生活动中心三楼团委/创新实践与志愿者服务部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453DAD34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9月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14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日上班时间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46A9A9F0">
            <w:pPr>
              <w:spacing w:line="320" w:lineRule="exact"/>
              <w:jc w:val="center"/>
              <w:rPr>
                <w:rFonts w:hint="default"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6784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3037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</w:tc>
      </w:tr>
      <w:tr w14:paraId="5E124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59F52291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创新创业学院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46AAA509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舒翠翠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6E8314E3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16号楼734办公室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615D3137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9月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14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日上班时间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09B2DB3B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67842548</w:t>
            </w:r>
          </w:p>
        </w:tc>
      </w:tr>
      <w:tr w14:paraId="3C616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2459F41A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学生工作部（处）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440390C3">
            <w:pPr>
              <w:spacing w:line="320" w:lineRule="exact"/>
              <w:jc w:val="center"/>
              <w:rPr>
                <w:rFonts w:hint="default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刘甜甜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2AC13B05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大活三楼学工部教育宣传科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171628FA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9月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14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日上班时间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6EA32CFD">
            <w:pPr>
              <w:spacing w:line="320" w:lineRule="exact"/>
              <w:jc w:val="center"/>
              <w:rPr>
                <w:rFonts w:hint="default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67842747</w:t>
            </w:r>
          </w:p>
        </w:tc>
      </w:tr>
      <w:tr w14:paraId="12A3D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3A23900B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国际合作与交流处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3F272A91">
            <w:pPr>
              <w:spacing w:line="320" w:lineRule="exact"/>
              <w:jc w:val="center"/>
              <w:rPr>
                <w:rFonts w:hint="default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覃仕双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7E2FDD83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南区20栋208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5BA8F969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9月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14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日上班时间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35807295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67841960</w:t>
            </w:r>
          </w:p>
        </w:tc>
      </w:tr>
      <w:tr w14:paraId="485F0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936" w:type="dxa"/>
            <w:shd w:val="clear" w:color="auto" w:fill="auto"/>
            <w:vAlign w:val="center"/>
          </w:tcPr>
          <w:p w14:paraId="66F542AC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科学研究发展院</w:t>
            </w:r>
          </w:p>
        </w:tc>
        <w:tc>
          <w:tcPr>
            <w:tcW w:w="1442" w:type="dxa"/>
            <w:shd w:val="clear" w:color="auto" w:fill="auto"/>
            <w:vAlign w:val="center"/>
          </w:tcPr>
          <w:p w14:paraId="7DF5EDFE">
            <w:pPr>
              <w:spacing w:line="320" w:lineRule="exact"/>
              <w:jc w:val="center"/>
              <w:rPr>
                <w:rFonts w:hint="default"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论文：</w:t>
            </w:r>
            <w:r>
              <w:rPr>
                <w:rFonts w:ascii="宋体" w:hAnsi="宋体" w:eastAsia="宋体" w:cs="宋体"/>
                <w:sz w:val="21"/>
                <w:szCs w:val="21"/>
              </w:rPr>
              <w:t>杨鸣明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 xml:space="preserve"> 专利：</w:t>
            </w:r>
            <w:r>
              <w:rPr>
                <w:rFonts w:ascii="宋体" w:hAnsi="宋体" w:eastAsia="宋体" w:cs="宋体"/>
                <w:sz w:val="21"/>
                <w:szCs w:val="21"/>
              </w:rPr>
              <w:t>邵祥东</w:t>
            </w:r>
          </w:p>
        </w:tc>
        <w:tc>
          <w:tcPr>
            <w:tcW w:w="2910" w:type="dxa"/>
            <w:shd w:val="clear" w:color="auto" w:fill="auto"/>
            <w:vAlign w:val="center"/>
          </w:tcPr>
          <w:p w14:paraId="3240EE6C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行政楼5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26办公室</w:t>
            </w:r>
          </w:p>
        </w:tc>
        <w:tc>
          <w:tcPr>
            <w:tcW w:w="2100" w:type="dxa"/>
            <w:shd w:val="clear" w:color="auto" w:fill="auto"/>
            <w:vAlign w:val="top"/>
          </w:tcPr>
          <w:p w14:paraId="6FE4A1AF">
            <w:pPr>
              <w:spacing w:line="320" w:lineRule="exact"/>
              <w:jc w:val="center"/>
              <w:rPr>
                <w:rFonts w:hint="eastAsia" w:cs="Times New Roman" w:asciiTheme="majorEastAsia" w:hAnsiTheme="majorEastAsia" w:eastAsiaTheme="majorEastAsia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</w:rPr>
              <w:t>9月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1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日-9月</w:t>
            </w:r>
            <w:r>
              <w:rPr>
                <w:rFonts w:hint="eastAsia" w:asciiTheme="majorEastAsia" w:hAnsiTheme="majorEastAsia" w:eastAsiaTheme="majorEastAsia"/>
                <w:color w:val="auto"/>
                <w:sz w:val="21"/>
                <w:szCs w:val="21"/>
                <w:lang w:val="en-US" w:eastAsia="zh-CN"/>
              </w:rPr>
              <w:t>14</w:t>
            </w: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日上班时间</w:t>
            </w:r>
          </w:p>
        </w:tc>
        <w:tc>
          <w:tcPr>
            <w:tcW w:w="1248" w:type="dxa"/>
            <w:shd w:val="clear" w:color="auto" w:fill="auto"/>
            <w:vAlign w:val="center"/>
          </w:tcPr>
          <w:p w14:paraId="5159C2AF">
            <w:pPr>
              <w:spacing w:line="320" w:lineRule="exact"/>
              <w:jc w:val="center"/>
              <w:rPr>
                <w:rFonts w:cs="Times New Roman" w:asciiTheme="majorEastAsia" w:hAnsiTheme="majorEastAsia" w:eastAsiaTheme="maj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Theme="majorEastAsia" w:hAnsiTheme="majorEastAsia" w:eastAsiaTheme="majorEastAsia"/>
                <w:color w:val="auto"/>
                <w:sz w:val="21"/>
                <w:szCs w:val="21"/>
              </w:rPr>
              <w:t>67843907</w:t>
            </w:r>
          </w:p>
        </w:tc>
      </w:tr>
    </w:tbl>
    <w:p w14:paraId="5382AE32">
      <w:pPr>
        <w:spacing w:line="320" w:lineRule="exact"/>
        <w:rPr>
          <w:rFonts w:ascii="仿宋_GB2312" w:eastAsia="仿宋_GB2312"/>
          <w:sz w:val="28"/>
          <w:szCs w:val="28"/>
        </w:rPr>
      </w:pPr>
    </w:p>
    <w:sectPr>
      <w:pgSz w:w="11906" w:h="16838"/>
      <w:pgMar w:top="284" w:right="1134" w:bottom="28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kyMzQ2OWExOWEyOWQ5MzQ2Zjc5OWJhMDJkNGQ2OTMifQ=="/>
  </w:docVars>
  <w:rsids>
    <w:rsidRoot w:val="000B3759"/>
    <w:rsid w:val="00037F06"/>
    <w:rsid w:val="000406D1"/>
    <w:rsid w:val="000828EF"/>
    <w:rsid w:val="000A7392"/>
    <w:rsid w:val="000B3759"/>
    <w:rsid w:val="000C5CC1"/>
    <w:rsid w:val="000E38EE"/>
    <w:rsid w:val="000F12E2"/>
    <w:rsid w:val="000F66C4"/>
    <w:rsid w:val="0011107F"/>
    <w:rsid w:val="001116CF"/>
    <w:rsid w:val="00114CBF"/>
    <w:rsid w:val="00123FEB"/>
    <w:rsid w:val="00132B6C"/>
    <w:rsid w:val="0014205C"/>
    <w:rsid w:val="001B5055"/>
    <w:rsid w:val="001E0DB2"/>
    <w:rsid w:val="001F6B73"/>
    <w:rsid w:val="002268D7"/>
    <w:rsid w:val="0025383F"/>
    <w:rsid w:val="0026703F"/>
    <w:rsid w:val="00292ACB"/>
    <w:rsid w:val="002B7B5F"/>
    <w:rsid w:val="00330257"/>
    <w:rsid w:val="00366E57"/>
    <w:rsid w:val="00381B31"/>
    <w:rsid w:val="003B198B"/>
    <w:rsid w:val="003D2462"/>
    <w:rsid w:val="003D355E"/>
    <w:rsid w:val="003D60B5"/>
    <w:rsid w:val="004114F2"/>
    <w:rsid w:val="00413EA3"/>
    <w:rsid w:val="004302B1"/>
    <w:rsid w:val="004361E2"/>
    <w:rsid w:val="00451CF0"/>
    <w:rsid w:val="0049372F"/>
    <w:rsid w:val="004B409B"/>
    <w:rsid w:val="004D097D"/>
    <w:rsid w:val="004E66B6"/>
    <w:rsid w:val="004F0BEE"/>
    <w:rsid w:val="004F5B30"/>
    <w:rsid w:val="00525FE7"/>
    <w:rsid w:val="00527BC3"/>
    <w:rsid w:val="00542855"/>
    <w:rsid w:val="00556664"/>
    <w:rsid w:val="00564C54"/>
    <w:rsid w:val="00565CE8"/>
    <w:rsid w:val="0057107E"/>
    <w:rsid w:val="00577EE1"/>
    <w:rsid w:val="005818AD"/>
    <w:rsid w:val="005D464F"/>
    <w:rsid w:val="005E116D"/>
    <w:rsid w:val="00607119"/>
    <w:rsid w:val="00624B10"/>
    <w:rsid w:val="00630B1B"/>
    <w:rsid w:val="00631FC6"/>
    <w:rsid w:val="00651AF6"/>
    <w:rsid w:val="006B171D"/>
    <w:rsid w:val="006C5470"/>
    <w:rsid w:val="006D0079"/>
    <w:rsid w:val="006D049B"/>
    <w:rsid w:val="006E634C"/>
    <w:rsid w:val="007024E4"/>
    <w:rsid w:val="00707CD1"/>
    <w:rsid w:val="0071365B"/>
    <w:rsid w:val="00714545"/>
    <w:rsid w:val="00722D2E"/>
    <w:rsid w:val="007279D8"/>
    <w:rsid w:val="00741D98"/>
    <w:rsid w:val="007448F9"/>
    <w:rsid w:val="00752713"/>
    <w:rsid w:val="0077394C"/>
    <w:rsid w:val="00785CFC"/>
    <w:rsid w:val="00794272"/>
    <w:rsid w:val="007A19B6"/>
    <w:rsid w:val="007C3EA0"/>
    <w:rsid w:val="007C4764"/>
    <w:rsid w:val="007D515A"/>
    <w:rsid w:val="00800119"/>
    <w:rsid w:val="00811AA2"/>
    <w:rsid w:val="008443EC"/>
    <w:rsid w:val="00872BFF"/>
    <w:rsid w:val="008A4DA1"/>
    <w:rsid w:val="008B5812"/>
    <w:rsid w:val="008F081E"/>
    <w:rsid w:val="008F731C"/>
    <w:rsid w:val="00922F2C"/>
    <w:rsid w:val="00982C7C"/>
    <w:rsid w:val="009B5F41"/>
    <w:rsid w:val="009F2988"/>
    <w:rsid w:val="00A04813"/>
    <w:rsid w:val="00A27CFE"/>
    <w:rsid w:val="00A33C83"/>
    <w:rsid w:val="00A36993"/>
    <w:rsid w:val="00A50589"/>
    <w:rsid w:val="00A50BF1"/>
    <w:rsid w:val="00A74947"/>
    <w:rsid w:val="00A90633"/>
    <w:rsid w:val="00AA01FD"/>
    <w:rsid w:val="00AB1567"/>
    <w:rsid w:val="00AD617E"/>
    <w:rsid w:val="00AE0A03"/>
    <w:rsid w:val="00B25740"/>
    <w:rsid w:val="00B304C0"/>
    <w:rsid w:val="00B456A8"/>
    <w:rsid w:val="00B462A0"/>
    <w:rsid w:val="00B46C9E"/>
    <w:rsid w:val="00B63345"/>
    <w:rsid w:val="00B74DB9"/>
    <w:rsid w:val="00BC04F4"/>
    <w:rsid w:val="00BE274A"/>
    <w:rsid w:val="00C13913"/>
    <w:rsid w:val="00C14824"/>
    <w:rsid w:val="00C62112"/>
    <w:rsid w:val="00C67546"/>
    <w:rsid w:val="00CA38BF"/>
    <w:rsid w:val="00CA582F"/>
    <w:rsid w:val="00CB3551"/>
    <w:rsid w:val="00CC000B"/>
    <w:rsid w:val="00CD253F"/>
    <w:rsid w:val="00D54BF0"/>
    <w:rsid w:val="00D83EE6"/>
    <w:rsid w:val="00D90C03"/>
    <w:rsid w:val="00DA06F6"/>
    <w:rsid w:val="00DC37AE"/>
    <w:rsid w:val="00DF10D4"/>
    <w:rsid w:val="00E02314"/>
    <w:rsid w:val="00E038E9"/>
    <w:rsid w:val="00E379C1"/>
    <w:rsid w:val="00E70DDF"/>
    <w:rsid w:val="00E72870"/>
    <w:rsid w:val="00E94A10"/>
    <w:rsid w:val="00EA50D1"/>
    <w:rsid w:val="00EA660C"/>
    <w:rsid w:val="00EA6B14"/>
    <w:rsid w:val="00EE2A26"/>
    <w:rsid w:val="00F0476F"/>
    <w:rsid w:val="00F10710"/>
    <w:rsid w:val="00F14C19"/>
    <w:rsid w:val="00F346E3"/>
    <w:rsid w:val="00F5116F"/>
    <w:rsid w:val="00F720B0"/>
    <w:rsid w:val="00F73A50"/>
    <w:rsid w:val="00FB2466"/>
    <w:rsid w:val="00FB5ACD"/>
    <w:rsid w:val="00FD6B17"/>
    <w:rsid w:val="00FE6BE4"/>
    <w:rsid w:val="00FF32BE"/>
    <w:rsid w:val="0111606A"/>
    <w:rsid w:val="069E344E"/>
    <w:rsid w:val="08514A4D"/>
    <w:rsid w:val="09581F9A"/>
    <w:rsid w:val="0A343A14"/>
    <w:rsid w:val="0A93614A"/>
    <w:rsid w:val="0D7215BF"/>
    <w:rsid w:val="0EA53D44"/>
    <w:rsid w:val="103435D2"/>
    <w:rsid w:val="10B04957"/>
    <w:rsid w:val="11586695"/>
    <w:rsid w:val="11BC22B8"/>
    <w:rsid w:val="124F46F3"/>
    <w:rsid w:val="147A532B"/>
    <w:rsid w:val="168356FE"/>
    <w:rsid w:val="17A35DDF"/>
    <w:rsid w:val="18D56FD4"/>
    <w:rsid w:val="1A8D2229"/>
    <w:rsid w:val="1BD50993"/>
    <w:rsid w:val="1C301DCD"/>
    <w:rsid w:val="1DD259EE"/>
    <w:rsid w:val="1F217679"/>
    <w:rsid w:val="207E62DF"/>
    <w:rsid w:val="2841322C"/>
    <w:rsid w:val="29AD578C"/>
    <w:rsid w:val="2B7D622E"/>
    <w:rsid w:val="2E600A5B"/>
    <w:rsid w:val="2E86325E"/>
    <w:rsid w:val="30366245"/>
    <w:rsid w:val="30540D68"/>
    <w:rsid w:val="339A4C4A"/>
    <w:rsid w:val="35217C3A"/>
    <w:rsid w:val="3527121A"/>
    <w:rsid w:val="35F51433"/>
    <w:rsid w:val="378A4BF6"/>
    <w:rsid w:val="378D6FA0"/>
    <w:rsid w:val="3AE55345"/>
    <w:rsid w:val="3D0D727F"/>
    <w:rsid w:val="3E70454D"/>
    <w:rsid w:val="3EC47395"/>
    <w:rsid w:val="41720FB5"/>
    <w:rsid w:val="433679F7"/>
    <w:rsid w:val="479325FB"/>
    <w:rsid w:val="47CE2BDD"/>
    <w:rsid w:val="48F055E1"/>
    <w:rsid w:val="49997A26"/>
    <w:rsid w:val="4A752C5B"/>
    <w:rsid w:val="4C1A5335"/>
    <w:rsid w:val="4E834801"/>
    <w:rsid w:val="4FDD1AB9"/>
    <w:rsid w:val="51844B18"/>
    <w:rsid w:val="52402727"/>
    <w:rsid w:val="52467195"/>
    <w:rsid w:val="55381ED8"/>
    <w:rsid w:val="55674E7D"/>
    <w:rsid w:val="5582107E"/>
    <w:rsid w:val="5714071F"/>
    <w:rsid w:val="589D2963"/>
    <w:rsid w:val="59061423"/>
    <w:rsid w:val="59306D68"/>
    <w:rsid w:val="59413C36"/>
    <w:rsid w:val="5D492BC3"/>
    <w:rsid w:val="5E053485"/>
    <w:rsid w:val="5F500E7C"/>
    <w:rsid w:val="62F11D39"/>
    <w:rsid w:val="6368244F"/>
    <w:rsid w:val="644A1063"/>
    <w:rsid w:val="64A75541"/>
    <w:rsid w:val="6C0028EB"/>
    <w:rsid w:val="6D3D63DC"/>
    <w:rsid w:val="71F87FE7"/>
    <w:rsid w:val="72247F25"/>
    <w:rsid w:val="74031DBD"/>
    <w:rsid w:val="750C5B34"/>
    <w:rsid w:val="755F36B3"/>
    <w:rsid w:val="76793527"/>
    <w:rsid w:val="7682521B"/>
    <w:rsid w:val="76AF7FDA"/>
    <w:rsid w:val="786D3B04"/>
    <w:rsid w:val="78C734CC"/>
    <w:rsid w:val="791626FB"/>
    <w:rsid w:val="7C5228B2"/>
    <w:rsid w:val="7F550560"/>
    <w:rsid w:val="7FDC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1202</Words>
  <Characters>1288</Characters>
  <Lines>7</Lines>
  <Paragraphs>2</Paragraphs>
  <TotalTime>23</TotalTime>
  <ScaleCrop>false</ScaleCrop>
  <LinksUpToDate>false</LinksUpToDate>
  <CharactersWithSpaces>1292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2015-07-15T05:43:00Z</dcterms:created>
  <dc:creator>冉阳(2012045)</dc:creator>
  <cp:lastModifiedBy>拎壶冲</cp:lastModifiedBy>
  <cp:lastPrinted>2024-09-08T02:22:00Z</cp:lastPrinted>
  <dcterms:modified xsi:type="dcterms:W3CDTF">2024-09-08T23:48:09Z</dcterms:modified>
  <cp:revision>110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10717A16CC1540C19ABBF2BB65FC5992_12</vt:lpwstr>
  </property>
</Properties>
</file>