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98ABB">
      <w:pPr>
        <w:pStyle w:val="2"/>
        <w:keepNext/>
        <w:keepLines/>
        <w:pageBreakBefore w:val="0"/>
        <w:widowControl w:val="0"/>
        <w:kinsoku/>
        <w:wordWrap/>
        <w:overflowPunct/>
        <w:topLinePunct w:val="0"/>
        <w:autoSpaceDE/>
        <w:autoSpaceDN/>
        <w:bidi w:val="0"/>
        <w:adjustRightInd/>
        <w:snapToGrid/>
        <w:spacing w:before="0" w:after="120" w:line="240" w:lineRule="auto"/>
        <w:jc w:val="center"/>
        <w:textAlignment w:val="auto"/>
        <w:rPr>
          <w:rFonts w:ascii="仿宋" w:hAnsi="仿宋" w:eastAsia="仿宋"/>
          <w:b w:val="0"/>
          <w:bCs w:val="0"/>
          <w:sz w:val="28"/>
          <w:szCs w:val="28"/>
        </w:rPr>
      </w:pPr>
      <w:r>
        <w:rPr>
          <w:rFonts w:hint="eastAsia"/>
          <w:sz w:val="36"/>
          <w:szCs w:val="36"/>
        </w:rPr>
        <w:t>电子信息工程学院</w:t>
      </w:r>
      <w:r>
        <w:rPr>
          <w:rFonts w:hint="eastAsia"/>
          <w:sz w:val="36"/>
          <w:szCs w:val="36"/>
          <w:lang w:eastAsia="zh-CN"/>
        </w:rPr>
        <w:t>（</w:t>
      </w:r>
      <w:r>
        <w:rPr>
          <w:rFonts w:hint="eastAsia"/>
          <w:sz w:val="36"/>
          <w:szCs w:val="36"/>
          <w:lang w:val="en-US" w:eastAsia="zh-CN"/>
        </w:rPr>
        <w:t>机器人学院</w:t>
      </w:r>
      <w:r>
        <w:rPr>
          <w:rFonts w:hint="eastAsia"/>
          <w:sz w:val="36"/>
          <w:szCs w:val="36"/>
          <w:lang w:eastAsia="zh-CN"/>
        </w:rPr>
        <w:t>）</w:t>
      </w:r>
      <w:r>
        <w:rPr>
          <w:rFonts w:hint="eastAsia"/>
          <w:sz w:val="36"/>
          <w:szCs w:val="36"/>
        </w:rPr>
        <w:t>2</w:t>
      </w:r>
      <w:r>
        <w:rPr>
          <w:sz w:val="36"/>
          <w:szCs w:val="36"/>
        </w:rPr>
        <w:t>02</w:t>
      </w:r>
      <w:r>
        <w:rPr>
          <w:rFonts w:hint="eastAsia"/>
          <w:sz w:val="36"/>
          <w:szCs w:val="36"/>
          <w:lang w:val="en-US" w:eastAsia="zh-CN"/>
        </w:rPr>
        <w:t>6</w:t>
      </w:r>
      <w:r>
        <w:rPr>
          <w:rFonts w:hint="eastAsia"/>
          <w:sz w:val="36"/>
          <w:szCs w:val="36"/>
        </w:rPr>
        <w:t>届研究生推免加分和综合测评办法</w:t>
      </w:r>
    </w:p>
    <w:p w14:paraId="0E2487C4">
      <w:pPr>
        <w:ind w:firstLine="420"/>
        <w:rPr>
          <w:rFonts w:ascii="仿宋" w:hAnsi="仿宋" w:eastAsia="仿宋"/>
          <w:sz w:val="24"/>
          <w:szCs w:val="24"/>
        </w:rPr>
      </w:pPr>
      <w:r>
        <w:rPr>
          <w:rFonts w:hint="eastAsia" w:ascii="仿宋" w:hAnsi="仿宋" w:eastAsia="仿宋"/>
          <w:sz w:val="24"/>
          <w:szCs w:val="24"/>
        </w:rPr>
        <w:t>按照《中南民族大学推荐优秀应届本科毕业生免试攻读硕士学位研究生工作管理办法（修订）》（民大教学〔202</w:t>
      </w:r>
      <w:r>
        <w:rPr>
          <w:rFonts w:hint="eastAsia" w:ascii="仿宋" w:hAnsi="仿宋" w:eastAsia="仿宋"/>
          <w:sz w:val="24"/>
          <w:szCs w:val="24"/>
          <w:lang w:val="en-US" w:eastAsia="zh-CN"/>
        </w:rPr>
        <w:t>4</w:t>
      </w:r>
      <w:r>
        <w:rPr>
          <w:rFonts w:hint="eastAsia" w:ascii="仿宋" w:hAnsi="仿宋" w:eastAsia="仿宋"/>
          <w:sz w:val="24"/>
          <w:szCs w:val="24"/>
        </w:rPr>
        <w:t>〕</w:t>
      </w:r>
      <w:r>
        <w:rPr>
          <w:rFonts w:hint="eastAsia" w:ascii="仿宋" w:hAnsi="仿宋" w:eastAsia="仿宋"/>
          <w:sz w:val="24"/>
          <w:szCs w:val="24"/>
          <w:lang w:val="en-US" w:eastAsia="zh-CN"/>
        </w:rPr>
        <w:t>49</w:t>
      </w:r>
      <w:r>
        <w:rPr>
          <w:rFonts w:hint="eastAsia" w:ascii="仿宋" w:hAnsi="仿宋" w:eastAsia="仿宋"/>
          <w:sz w:val="24"/>
          <w:szCs w:val="24"/>
        </w:rPr>
        <w:t>号）、中南民族大学《关于做好推荐202</w:t>
      </w:r>
      <w:r>
        <w:rPr>
          <w:rFonts w:hint="eastAsia" w:ascii="仿宋" w:hAnsi="仿宋" w:eastAsia="仿宋"/>
          <w:sz w:val="24"/>
          <w:szCs w:val="24"/>
          <w:lang w:val="en-US" w:eastAsia="zh-CN"/>
        </w:rPr>
        <w:t>6</w:t>
      </w:r>
      <w:r>
        <w:rPr>
          <w:rFonts w:hint="eastAsia" w:ascii="仿宋" w:hAnsi="仿宋" w:eastAsia="仿宋"/>
          <w:sz w:val="24"/>
          <w:szCs w:val="24"/>
        </w:rPr>
        <w:t>届优秀本科毕业生免试攻读硕士学位研究生工作的通知》中附件的《推免生综合成绩计算方法及奖励加分说明》等文件的规定，电子信息工程学院</w:t>
      </w:r>
      <w:r>
        <w:rPr>
          <w:rFonts w:hint="eastAsia" w:ascii="仿宋" w:hAnsi="仿宋" w:eastAsia="仿宋"/>
          <w:sz w:val="24"/>
          <w:szCs w:val="24"/>
          <w:lang w:val="en-US" w:eastAsia="zh-CN"/>
        </w:rPr>
        <w:t>(机器人学院)</w:t>
      </w:r>
      <w:r>
        <w:rPr>
          <w:rFonts w:hint="eastAsia" w:ascii="仿宋" w:hAnsi="仿宋" w:eastAsia="仿宋"/>
          <w:sz w:val="24"/>
          <w:szCs w:val="24"/>
        </w:rPr>
        <w:t>补充说明推免加分办法。</w:t>
      </w:r>
    </w:p>
    <w:p w14:paraId="31ACE665">
      <w:pPr>
        <w:rPr>
          <w:rFonts w:ascii="仿宋" w:hAnsi="仿宋" w:eastAsia="仿宋"/>
          <w:b/>
          <w:bCs/>
          <w:sz w:val="24"/>
          <w:szCs w:val="24"/>
        </w:rPr>
      </w:pPr>
      <w:r>
        <w:rPr>
          <w:rFonts w:hint="eastAsia" w:ascii="仿宋" w:hAnsi="仿宋" w:eastAsia="仿宋"/>
          <w:b/>
          <w:bCs/>
          <w:sz w:val="24"/>
          <w:szCs w:val="24"/>
        </w:rPr>
        <w:t>规则1：</w:t>
      </w:r>
    </w:p>
    <w:p w14:paraId="593AB8BD">
      <w:pPr>
        <w:ind w:firstLine="420"/>
        <w:rPr>
          <w:rFonts w:ascii="仿宋" w:hAnsi="仿宋" w:eastAsia="仿宋"/>
          <w:sz w:val="24"/>
          <w:szCs w:val="24"/>
        </w:rPr>
      </w:pPr>
      <w:r>
        <w:rPr>
          <w:rFonts w:hint="eastAsia" w:ascii="仿宋" w:hAnsi="仿宋" w:eastAsia="仿宋"/>
          <w:sz w:val="24"/>
          <w:szCs w:val="24"/>
        </w:rPr>
        <w:t>学校按照一定标准对获得表彰、获学科竞赛奖项、参军入伍情况、赴国际组织实习、公开发表学术论文、获发明专利的学生</w:t>
      </w:r>
      <w:bookmarkStart w:id="0" w:name="_GoBack"/>
      <w:bookmarkEnd w:id="0"/>
      <w:r>
        <w:rPr>
          <w:rFonts w:hint="eastAsia" w:ascii="仿宋" w:hAnsi="仿宋" w:eastAsia="仿宋"/>
          <w:sz w:val="24"/>
          <w:szCs w:val="24"/>
        </w:rPr>
        <w:t>给予奖励加分，</w:t>
      </w:r>
      <w:r>
        <w:rPr>
          <w:rFonts w:hint="eastAsia" w:ascii="仿宋" w:hAnsi="仿宋" w:eastAsia="仿宋"/>
          <w:b/>
          <w:sz w:val="24"/>
          <w:szCs w:val="24"/>
        </w:rPr>
        <w:t>6类奖励中每一类只取一项最高奖励分</w:t>
      </w:r>
      <w:r>
        <w:rPr>
          <w:rFonts w:hint="eastAsia" w:ascii="仿宋" w:hAnsi="仿宋" w:eastAsia="仿宋"/>
          <w:sz w:val="24"/>
          <w:szCs w:val="24"/>
        </w:rPr>
        <w:t>，</w:t>
      </w:r>
      <w:r>
        <w:rPr>
          <w:rFonts w:hint="eastAsia" w:ascii="仿宋" w:hAnsi="仿宋" w:eastAsia="仿宋"/>
          <w:b/>
          <w:sz w:val="24"/>
          <w:szCs w:val="24"/>
        </w:rPr>
        <w:t>但各项奖励积分累计不超过15分</w:t>
      </w:r>
      <w:r>
        <w:rPr>
          <w:rFonts w:hint="eastAsia" w:ascii="仿宋" w:hAnsi="仿宋" w:eastAsia="仿宋"/>
          <w:sz w:val="24"/>
          <w:szCs w:val="24"/>
        </w:rPr>
        <w:t>。</w:t>
      </w:r>
    </w:p>
    <w:p w14:paraId="4838E108">
      <w:pPr>
        <w:rPr>
          <w:rFonts w:ascii="仿宋" w:hAnsi="仿宋" w:eastAsia="仿宋"/>
          <w:b/>
          <w:bCs/>
          <w:sz w:val="24"/>
          <w:szCs w:val="24"/>
        </w:rPr>
      </w:pPr>
      <w:r>
        <w:rPr>
          <w:rFonts w:hint="eastAsia" w:ascii="仿宋" w:hAnsi="仿宋" w:eastAsia="仿宋"/>
          <w:b/>
          <w:bCs/>
          <w:sz w:val="24"/>
          <w:szCs w:val="24"/>
        </w:rPr>
        <w:t>规则</w:t>
      </w:r>
      <w:r>
        <w:rPr>
          <w:rFonts w:ascii="仿宋" w:hAnsi="仿宋" w:eastAsia="仿宋"/>
          <w:b/>
          <w:bCs/>
          <w:sz w:val="24"/>
          <w:szCs w:val="24"/>
        </w:rPr>
        <w:t>2</w:t>
      </w:r>
      <w:r>
        <w:rPr>
          <w:rFonts w:hint="eastAsia" w:ascii="仿宋" w:hAnsi="仿宋" w:eastAsia="仿宋"/>
          <w:b/>
          <w:bCs/>
          <w:sz w:val="24"/>
          <w:szCs w:val="24"/>
        </w:rPr>
        <w:t>：</w:t>
      </w:r>
    </w:p>
    <w:p w14:paraId="22A5F252">
      <w:pPr>
        <w:ind w:firstLine="420"/>
        <w:rPr>
          <w:rFonts w:ascii="仿宋" w:hAnsi="仿宋" w:eastAsia="仿宋" w:cstheme="minorBidi"/>
          <w:sz w:val="24"/>
          <w:szCs w:val="24"/>
        </w:rPr>
      </w:pPr>
      <w:r>
        <w:rPr>
          <w:rFonts w:hint="eastAsia" w:ascii="仿宋" w:hAnsi="仿宋" w:eastAsia="仿宋"/>
          <w:sz w:val="24"/>
          <w:szCs w:val="24"/>
        </w:rPr>
        <w:t>对学生奖励加分涉及的科研创新成果、论文、专利、竞赛获奖奖项及内容等需进行审核鉴定，并组织公开答辩，要求成果</w:t>
      </w:r>
      <w:r>
        <w:rPr>
          <w:rFonts w:hint="eastAsia" w:ascii="仿宋" w:hAnsi="仿宋" w:eastAsia="仿宋"/>
          <w:b/>
          <w:bCs/>
          <w:sz w:val="24"/>
          <w:szCs w:val="24"/>
        </w:rPr>
        <w:t>属于电子信息类学科方向</w:t>
      </w:r>
      <w:r>
        <w:rPr>
          <w:rFonts w:hint="eastAsia" w:ascii="仿宋" w:hAnsi="仿宋" w:eastAsia="仿宋"/>
          <w:sz w:val="24"/>
          <w:szCs w:val="24"/>
        </w:rPr>
        <w:t>，并确保奖励加分项目的真实性。</w:t>
      </w:r>
    </w:p>
    <w:p w14:paraId="4B103F54">
      <w:pPr>
        <w:rPr>
          <w:rFonts w:ascii="仿宋" w:hAnsi="仿宋" w:eastAsia="仿宋"/>
          <w:b/>
          <w:bCs/>
          <w:sz w:val="24"/>
          <w:szCs w:val="24"/>
        </w:rPr>
      </w:pPr>
      <w:r>
        <w:rPr>
          <w:rFonts w:hint="eastAsia" w:ascii="仿宋" w:hAnsi="仿宋" w:eastAsia="仿宋"/>
          <w:b/>
          <w:bCs/>
          <w:sz w:val="24"/>
          <w:szCs w:val="24"/>
        </w:rPr>
        <w:t>规则</w:t>
      </w:r>
      <w:r>
        <w:rPr>
          <w:rFonts w:ascii="仿宋" w:hAnsi="仿宋" w:eastAsia="仿宋"/>
          <w:b/>
          <w:bCs/>
          <w:sz w:val="24"/>
          <w:szCs w:val="24"/>
        </w:rPr>
        <w:t>3</w:t>
      </w:r>
      <w:r>
        <w:rPr>
          <w:rFonts w:hint="eastAsia" w:ascii="仿宋" w:hAnsi="仿宋" w:eastAsia="仿宋"/>
          <w:b/>
          <w:bCs/>
          <w:sz w:val="24"/>
          <w:szCs w:val="24"/>
        </w:rPr>
        <w:t>：</w:t>
      </w:r>
    </w:p>
    <w:p w14:paraId="2F7297D6">
      <w:pPr>
        <w:ind w:firstLine="420"/>
        <w:rPr>
          <w:rFonts w:ascii="仿宋" w:hAnsi="仿宋" w:eastAsia="仿宋"/>
          <w:sz w:val="24"/>
          <w:szCs w:val="24"/>
        </w:rPr>
      </w:pPr>
      <w:r>
        <w:rPr>
          <w:rFonts w:hint="eastAsia" w:ascii="仿宋" w:hAnsi="仿宋" w:eastAsia="仿宋"/>
          <w:sz w:val="24"/>
          <w:szCs w:val="24"/>
        </w:rPr>
        <w:t>学生与直系亲属或学历、职称、职务明显高于本人者合作的科研成果、竞赛奖项等仅作参考，不作为学生个人的成果、奖项用以申请推免资格。</w:t>
      </w:r>
    </w:p>
    <w:p w14:paraId="40539DA9">
      <w:pPr>
        <w:rPr>
          <w:rFonts w:ascii="仿宋" w:hAnsi="仿宋" w:eastAsia="仿宋"/>
          <w:b/>
          <w:bCs/>
          <w:sz w:val="24"/>
          <w:szCs w:val="24"/>
        </w:rPr>
      </w:pPr>
      <w:r>
        <w:rPr>
          <w:rFonts w:hint="eastAsia" w:ascii="仿宋" w:hAnsi="仿宋" w:eastAsia="仿宋"/>
          <w:b/>
          <w:bCs/>
          <w:sz w:val="24"/>
          <w:szCs w:val="24"/>
        </w:rPr>
        <w:t>规则</w:t>
      </w:r>
      <w:r>
        <w:rPr>
          <w:rFonts w:ascii="仿宋" w:hAnsi="仿宋" w:eastAsia="仿宋"/>
          <w:b/>
          <w:bCs/>
          <w:sz w:val="24"/>
          <w:szCs w:val="24"/>
        </w:rPr>
        <w:t>4</w:t>
      </w:r>
      <w:r>
        <w:rPr>
          <w:rFonts w:hint="eastAsia" w:ascii="仿宋" w:hAnsi="仿宋" w:eastAsia="仿宋"/>
          <w:b/>
          <w:bCs/>
          <w:sz w:val="24"/>
          <w:szCs w:val="24"/>
        </w:rPr>
        <w:t>：</w:t>
      </w:r>
    </w:p>
    <w:p w14:paraId="4AF113D5">
      <w:pPr>
        <w:ind w:firstLine="420"/>
        <w:rPr>
          <w:rFonts w:ascii="仿宋" w:hAnsi="仿宋" w:eastAsia="仿宋"/>
          <w:sz w:val="24"/>
          <w:szCs w:val="24"/>
        </w:rPr>
      </w:pPr>
      <w:r>
        <w:rPr>
          <w:rFonts w:hint="eastAsia" w:ascii="仿宋" w:hAnsi="仿宋" w:eastAsia="仿宋"/>
          <w:sz w:val="24"/>
          <w:szCs w:val="24"/>
        </w:rPr>
        <w:t>测评工作组将对申请学生政治态度、思想表现、道德品质、诚实守信、遵纪守法</w:t>
      </w:r>
      <w:r>
        <w:rPr>
          <w:rFonts w:hint="eastAsia" w:ascii="仿宋" w:hAnsi="仿宋" w:eastAsia="仿宋"/>
          <w:kern w:val="0"/>
          <w:sz w:val="24"/>
          <w:lang w:eastAsia="zh-CN"/>
        </w:rPr>
        <w:t>、</w:t>
      </w:r>
      <w:r>
        <w:rPr>
          <w:rFonts w:hint="eastAsia" w:ascii="仿宋" w:hAnsi="仿宋" w:eastAsia="仿宋"/>
          <w:kern w:val="0"/>
          <w:sz w:val="24"/>
          <w:lang w:val="en-US" w:eastAsia="zh-CN"/>
        </w:rPr>
        <w:t>专业素质、科研素质、身心素质</w:t>
      </w:r>
      <w:r>
        <w:rPr>
          <w:rFonts w:hint="eastAsia" w:ascii="仿宋" w:hAnsi="仿宋" w:eastAsia="仿宋"/>
          <w:sz w:val="24"/>
          <w:szCs w:val="24"/>
        </w:rPr>
        <w:t>等方面进行综合考核。推荐过程既要注重学生的学习成绩，又要注重学生的科研创新潜质和专业素质能力，要将学生的思想品德考核、在校期间</w:t>
      </w:r>
      <w:r>
        <w:rPr>
          <w:rFonts w:hint="eastAsia" w:ascii="仿宋" w:hAnsi="仿宋" w:eastAsia="仿宋" w:cs="Times New Roman"/>
          <w:kern w:val="0"/>
          <w:sz w:val="24"/>
          <w:lang w:val="en-US" w:eastAsia="zh-CN"/>
        </w:rPr>
        <w:t>表彰、竞赛获奖、</w:t>
      </w:r>
      <w:r>
        <w:rPr>
          <w:rFonts w:hint="eastAsia" w:ascii="仿宋" w:hAnsi="仿宋" w:eastAsia="仿宋" w:cs="Times New Roman"/>
          <w:kern w:val="0"/>
          <w:sz w:val="24"/>
        </w:rPr>
        <w:t>公开发表学术论文、</w:t>
      </w:r>
      <w:r>
        <w:rPr>
          <w:rFonts w:hint="eastAsia" w:ascii="仿宋" w:hAnsi="仿宋" w:eastAsia="仿宋" w:cs="Times New Roman"/>
          <w:kern w:val="0"/>
          <w:sz w:val="24"/>
          <w:lang w:val="en-US" w:eastAsia="zh-CN"/>
        </w:rPr>
        <w:t>获</w:t>
      </w:r>
      <w:r>
        <w:rPr>
          <w:rFonts w:hint="eastAsia" w:ascii="仿宋" w:hAnsi="仿宋" w:eastAsia="仿宋" w:cs="Times New Roman"/>
          <w:kern w:val="0"/>
          <w:sz w:val="24"/>
        </w:rPr>
        <w:t>发明</w:t>
      </w:r>
      <w:r>
        <w:rPr>
          <w:rFonts w:hint="eastAsia" w:ascii="仿宋" w:hAnsi="仿宋" w:eastAsia="仿宋" w:cs="Times New Roman"/>
          <w:kern w:val="0"/>
          <w:sz w:val="24"/>
          <w:lang w:val="en-US" w:eastAsia="zh-CN"/>
        </w:rPr>
        <w:t>专利、</w:t>
      </w:r>
      <w:r>
        <w:rPr>
          <w:rFonts w:hint="eastAsia" w:ascii="仿宋" w:hAnsi="仿宋" w:eastAsia="仿宋"/>
          <w:sz w:val="24"/>
          <w:szCs w:val="24"/>
        </w:rPr>
        <w:t>参军入伍服兵役情况、参加志愿服务情况、到国际组织实习情况纳入学院综合测评体系。</w:t>
      </w:r>
    </w:p>
    <w:p w14:paraId="40214E15">
      <w:pPr>
        <w:rPr>
          <w:rFonts w:ascii="仿宋" w:hAnsi="仿宋" w:eastAsia="仿宋"/>
          <w:b/>
          <w:bCs/>
          <w:sz w:val="24"/>
          <w:szCs w:val="24"/>
        </w:rPr>
      </w:pPr>
      <w:r>
        <w:rPr>
          <w:rFonts w:hint="eastAsia" w:ascii="仿宋" w:hAnsi="仿宋" w:eastAsia="仿宋"/>
          <w:b/>
          <w:bCs/>
          <w:sz w:val="24"/>
          <w:szCs w:val="24"/>
        </w:rPr>
        <w:t>规则</w:t>
      </w:r>
      <w:r>
        <w:rPr>
          <w:rFonts w:hint="eastAsia" w:ascii="仿宋" w:hAnsi="仿宋" w:eastAsia="仿宋"/>
          <w:b/>
          <w:bCs/>
          <w:sz w:val="24"/>
          <w:szCs w:val="24"/>
          <w:lang w:val="en-US" w:eastAsia="zh-CN"/>
        </w:rPr>
        <w:t>5</w:t>
      </w:r>
      <w:r>
        <w:rPr>
          <w:rFonts w:hint="eastAsia" w:ascii="仿宋" w:hAnsi="仿宋" w:eastAsia="仿宋"/>
          <w:b/>
          <w:bCs/>
          <w:sz w:val="24"/>
          <w:szCs w:val="24"/>
        </w:rPr>
        <w:t>：</w:t>
      </w:r>
    </w:p>
    <w:p w14:paraId="2F9D630E">
      <w:pPr>
        <w:ind w:firstLine="420"/>
        <w:rPr>
          <w:rFonts w:ascii="仿宋" w:hAnsi="仿宋" w:eastAsia="仿宋"/>
          <w:sz w:val="24"/>
          <w:szCs w:val="24"/>
        </w:rPr>
      </w:pPr>
      <w:r>
        <w:rPr>
          <w:rFonts w:hint="eastAsia" w:ascii="仿宋" w:hAnsi="仿宋" w:eastAsia="仿宋"/>
          <w:sz w:val="24"/>
          <w:szCs w:val="24"/>
        </w:rPr>
        <w:t>推免相关工作人员有直系亲属或利益相关人员报名参加本校推免的应主动申请回避，有非直系亲属等报名参加推免的要主动报备，相关学生申请推免资格时要主动向学校报备申明。未按规定报备申明回避关系的推免相关工作人员，学院将上报学校依规依纪严肃处理；未按规定报备申明回避关系且影响推免过程和结果公平公正的学生，学院将取消其推免资格。</w:t>
      </w:r>
    </w:p>
    <w:p w14:paraId="0D0456EF">
      <w:pPr>
        <w:rPr>
          <w:rFonts w:ascii="仿宋" w:hAnsi="仿宋" w:eastAsia="仿宋"/>
          <w:b/>
          <w:bCs/>
          <w:sz w:val="24"/>
          <w:szCs w:val="24"/>
        </w:rPr>
      </w:pPr>
      <w:r>
        <w:rPr>
          <w:rFonts w:hint="eastAsia" w:ascii="仿宋" w:hAnsi="仿宋" w:eastAsia="仿宋"/>
          <w:b/>
          <w:bCs/>
          <w:sz w:val="24"/>
          <w:szCs w:val="24"/>
        </w:rPr>
        <w:t>规则</w:t>
      </w:r>
      <w:r>
        <w:rPr>
          <w:rFonts w:hint="eastAsia" w:ascii="仿宋" w:hAnsi="仿宋" w:eastAsia="仿宋"/>
          <w:b/>
          <w:bCs/>
          <w:sz w:val="24"/>
          <w:szCs w:val="24"/>
          <w:lang w:val="en-US" w:eastAsia="zh-CN"/>
        </w:rPr>
        <w:t>6</w:t>
      </w:r>
      <w:r>
        <w:rPr>
          <w:rFonts w:hint="eastAsia" w:ascii="仿宋" w:hAnsi="仿宋" w:eastAsia="仿宋"/>
          <w:b/>
          <w:bCs/>
          <w:sz w:val="24"/>
          <w:szCs w:val="24"/>
        </w:rPr>
        <w:t>：</w:t>
      </w:r>
    </w:p>
    <w:p w14:paraId="2FC88055">
      <w:pPr>
        <w:keepNext w:val="0"/>
        <w:keepLines w:val="0"/>
        <w:pageBreakBefore w:val="0"/>
        <w:widowControl w:val="0"/>
        <w:kinsoku/>
        <w:wordWrap/>
        <w:overflowPunct/>
        <w:topLinePunct w:val="0"/>
        <w:autoSpaceDE/>
        <w:autoSpaceDN/>
        <w:bidi w:val="0"/>
        <w:adjustRightInd/>
        <w:snapToGrid w:val="0"/>
        <w:ind w:firstLine="420"/>
        <w:textAlignment w:val="auto"/>
        <w:rPr>
          <w:rFonts w:ascii="仿宋" w:hAnsi="仿宋" w:eastAsia="仿宋"/>
          <w:sz w:val="24"/>
          <w:szCs w:val="24"/>
        </w:rPr>
      </w:pPr>
      <w:r>
        <w:rPr>
          <w:rFonts w:hint="eastAsia" w:ascii="仿宋" w:hAnsi="仿宋" w:eastAsia="仿宋"/>
          <w:sz w:val="24"/>
          <w:szCs w:val="24"/>
        </w:rPr>
        <w:t>学科参赛获奖为</w:t>
      </w:r>
      <w:r>
        <w:rPr>
          <w:rFonts w:hint="eastAsia" w:ascii="黑体" w:hAnsi="黑体" w:eastAsia="黑体"/>
          <w:b/>
          <w:bCs/>
          <w:sz w:val="24"/>
          <w:szCs w:val="24"/>
        </w:rPr>
        <w:t>独立参加或作为主力成员参加与学业相关的</w:t>
      </w:r>
      <w:r>
        <w:rPr>
          <w:rFonts w:hint="eastAsia" w:ascii="仿宋" w:hAnsi="仿宋" w:eastAsia="仿宋"/>
          <w:sz w:val="24"/>
          <w:szCs w:val="24"/>
        </w:rPr>
        <w:t>国内权威竞赛，并获得</w:t>
      </w:r>
      <w:r>
        <w:rPr>
          <w:rFonts w:hint="eastAsia" w:ascii="黑体" w:hAnsi="黑体" w:eastAsia="黑体"/>
          <w:b/>
          <w:bCs/>
          <w:sz w:val="24"/>
          <w:szCs w:val="24"/>
        </w:rPr>
        <w:t>三等奖</w:t>
      </w:r>
      <w:r>
        <w:rPr>
          <w:rFonts w:hint="eastAsia" w:ascii="仿宋" w:hAnsi="仿宋" w:eastAsia="仿宋"/>
          <w:sz w:val="24"/>
          <w:szCs w:val="24"/>
        </w:rPr>
        <w:t>及以上奖励，国内权威竞赛限定为</w:t>
      </w:r>
      <w:r>
        <w:rPr>
          <w:rFonts w:hint="eastAsia" w:ascii="黑体" w:hAnsi="黑体" w:eastAsia="黑体"/>
          <w:b/>
          <w:bCs/>
          <w:sz w:val="24"/>
          <w:szCs w:val="24"/>
        </w:rPr>
        <w:t>全国赛</w:t>
      </w:r>
      <w:r>
        <w:rPr>
          <w:rFonts w:hint="eastAsia" w:ascii="仿宋" w:hAnsi="仿宋" w:eastAsia="仿宋"/>
          <w:sz w:val="24"/>
          <w:szCs w:val="24"/>
        </w:rPr>
        <w:t>，国际赛事参照执行，其标准不低于国内赛事相关标准和要求</w:t>
      </w:r>
      <w:r>
        <w:rPr>
          <w:rFonts w:hint="eastAsia" w:ascii="宋体" w:hAnsi="宋体"/>
          <w:sz w:val="24"/>
          <w:szCs w:val="24"/>
        </w:rPr>
        <w:t>。</w:t>
      </w:r>
      <w:r>
        <w:rPr>
          <w:rFonts w:hint="eastAsia" w:ascii="仿宋" w:hAnsi="仿宋" w:eastAsia="仿宋"/>
          <w:sz w:val="24"/>
          <w:szCs w:val="24"/>
        </w:rPr>
        <w:t>按照</w:t>
      </w:r>
      <w:r>
        <w:rPr>
          <w:rFonts w:hint="eastAsia" w:ascii="仿宋" w:hAnsi="仿宋" w:eastAsia="仿宋"/>
          <w:sz w:val="24"/>
          <w:szCs w:val="24"/>
          <w:lang w:val="en-US" w:eastAsia="zh-CN"/>
        </w:rPr>
        <w:t>2025年</w:t>
      </w:r>
      <w:r>
        <w:rPr>
          <w:rFonts w:hint="eastAsia" w:ascii="仿宋" w:hAnsi="仿宋" w:eastAsia="仿宋"/>
          <w:sz w:val="24"/>
          <w:szCs w:val="24"/>
        </w:rPr>
        <w:t>中南民族大学学科竞赛级别等次划分目录</w:t>
      </w:r>
      <w:r>
        <w:rPr>
          <w:rFonts w:hint="eastAsia" w:ascii="仿宋" w:hAnsi="仿宋" w:eastAsia="仿宋"/>
          <w:sz w:val="24"/>
          <w:szCs w:val="24"/>
          <w:lang w:eastAsia="zh-CN"/>
        </w:rPr>
        <w:t>（</w:t>
      </w:r>
      <w:r>
        <w:rPr>
          <w:rFonts w:hint="eastAsia" w:ascii="仿宋" w:hAnsi="仿宋" w:eastAsia="仿宋"/>
          <w:b/>
          <w:bCs/>
          <w:sz w:val="24"/>
          <w:szCs w:val="24"/>
        </w:rPr>
        <w:t>附件</w:t>
      </w:r>
      <w:r>
        <w:rPr>
          <w:rFonts w:hint="eastAsia" w:ascii="仿宋" w:hAnsi="仿宋" w:eastAsia="仿宋"/>
          <w:b/>
          <w:bCs/>
          <w:sz w:val="24"/>
          <w:szCs w:val="24"/>
          <w:lang w:val="en-US" w:eastAsia="zh-CN"/>
        </w:rPr>
        <w:t>1</w:t>
      </w:r>
      <w:r>
        <w:rPr>
          <w:rFonts w:hint="eastAsia" w:ascii="仿宋" w:hAnsi="仿宋" w:eastAsia="仿宋"/>
          <w:sz w:val="24"/>
          <w:szCs w:val="24"/>
          <w:lang w:eastAsia="zh-CN"/>
        </w:rPr>
        <w:t>）</w:t>
      </w:r>
      <w:r>
        <w:rPr>
          <w:rFonts w:hint="eastAsia" w:ascii="仿宋" w:hAnsi="仿宋" w:eastAsia="仿宋"/>
          <w:b/>
          <w:bCs/>
          <w:sz w:val="24"/>
          <w:szCs w:val="24"/>
          <w:lang w:eastAsia="zh-CN"/>
        </w:rPr>
        <w:t>，</w:t>
      </w:r>
      <w:r>
        <w:rPr>
          <w:rFonts w:hint="eastAsia" w:ascii="仿宋" w:hAnsi="仿宋" w:eastAsia="仿宋"/>
          <w:b/>
          <w:bCs/>
          <w:sz w:val="24"/>
          <w:szCs w:val="24"/>
        </w:rPr>
        <w:t>分类为国家级A、B类</w:t>
      </w:r>
      <w:r>
        <w:rPr>
          <w:rFonts w:hint="eastAsia" w:ascii="仿宋" w:hAnsi="仿宋" w:eastAsia="仿宋"/>
          <w:sz w:val="24"/>
          <w:szCs w:val="24"/>
        </w:rPr>
        <w:t>(由创新创业学院认定)</w:t>
      </w:r>
      <w:r>
        <w:rPr>
          <w:rFonts w:hint="eastAsia" w:ascii="仿宋" w:hAnsi="仿宋" w:eastAsia="仿宋"/>
          <w:sz w:val="24"/>
          <w:szCs w:val="24"/>
          <w:lang w:val="en-US" w:eastAsia="zh-CN"/>
        </w:rPr>
        <w:t>且</w:t>
      </w:r>
      <w:r>
        <w:rPr>
          <w:rFonts w:hint="eastAsia" w:ascii="仿宋" w:hAnsi="仿宋" w:eastAsia="仿宋"/>
          <w:b/>
          <w:bCs/>
          <w:sz w:val="24"/>
          <w:szCs w:val="24"/>
        </w:rPr>
        <w:t>属于电子信息类的学科竞赛</w:t>
      </w:r>
      <w:r>
        <w:rPr>
          <w:rFonts w:hint="eastAsia" w:ascii="仿宋" w:hAnsi="仿宋" w:eastAsia="仿宋"/>
          <w:sz w:val="24"/>
          <w:szCs w:val="24"/>
        </w:rPr>
        <w:t>(由学院奖励加分审核小组认定)</w:t>
      </w:r>
      <w:r>
        <w:rPr>
          <w:rFonts w:hint="eastAsia" w:ascii="仿宋" w:hAnsi="仿宋" w:eastAsia="仿宋"/>
          <w:b/>
          <w:bCs/>
          <w:sz w:val="24"/>
          <w:szCs w:val="24"/>
        </w:rPr>
        <w:t>获奖</w:t>
      </w:r>
      <w:r>
        <w:rPr>
          <w:rFonts w:hint="eastAsia" w:ascii="仿宋" w:hAnsi="仿宋" w:eastAsia="仿宋"/>
          <w:b/>
          <w:bCs/>
          <w:sz w:val="24"/>
          <w:szCs w:val="24"/>
          <w:lang w:val="en-US" w:eastAsia="zh-CN"/>
        </w:rPr>
        <w:t>的国家级奖</w:t>
      </w:r>
      <w:r>
        <w:rPr>
          <w:rFonts w:hint="eastAsia" w:ascii="仿宋" w:hAnsi="仿宋" w:eastAsia="仿宋"/>
          <w:sz w:val="24"/>
          <w:szCs w:val="24"/>
        </w:rPr>
        <w:t>可以加分；</w:t>
      </w:r>
      <w:r>
        <w:rPr>
          <w:rFonts w:hint="eastAsia" w:ascii="仿宋" w:hAnsi="仿宋" w:eastAsia="仿宋"/>
          <w:b/>
          <w:bCs/>
          <w:sz w:val="24"/>
          <w:szCs w:val="24"/>
        </w:rPr>
        <w:t>获得多个竞赛奖项的，只取一项最高奖励加分。</w:t>
      </w:r>
      <w:r>
        <w:rPr>
          <w:rFonts w:hint="eastAsia" w:ascii="仿宋" w:hAnsi="仿宋" w:eastAsia="仿宋"/>
          <w:b/>
          <w:bCs/>
          <w:sz w:val="24"/>
          <w:szCs w:val="24"/>
          <w:lang w:val="en-US" w:eastAsia="zh-CN"/>
        </w:rPr>
        <w:t>学科竞赛团体获奖的，只对前五名分别按100%、</w:t>
      </w:r>
      <w:r>
        <w:rPr>
          <w:rFonts w:hint="default" w:ascii="仿宋" w:hAnsi="仿宋" w:eastAsia="仿宋"/>
          <w:b/>
          <w:bCs/>
          <w:sz w:val="24"/>
          <w:szCs w:val="24"/>
          <w:lang w:val="en-US" w:eastAsia="zh-CN"/>
        </w:rPr>
        <w:t>80%、60%、40%、20%比例参照上表给予奖励分值</w:t>
      </w:r>
      <w:r>
        <w:rPr>
          <w:rFonts w:hint="default" w:ascii="仿宋" w:hAnsi="仿宋" w:eastAsia="仿宋"/>
          <w:sz w:val="24"/>
          <w:szCs w:val="24"/>
          <w:lang w:val="en-US" w:eastAsia="zh-CN"/>
        </w:rPr>
        <w:t>。</w:t>
      </w:r>
    </w:p>
    <w:tbl>
      <w:tblPr>
        <w:tblStyle w:val="6"/>
        <w:tblW w:w="0" w:type="auto"/>
        <w:tblInd w:w="15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8"/>
        <w:gridCol w:w="638"/>
        <w:gridCol w:w="1388"/>
        <w:gridCol w:w="1388"/>
        <w:gridCol w:w="1388"/>
        <w:gridCol w:w="1390"/>
      </w:tblGrid>
      <w:tr w14:paraId="0D85A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trPr>
        <w:tc>
          <w:tcPr>
            <w:tcW w:w="2026" w:type="dxa"/>
            <w:gridSpan w:val="2"/>
            <w:tcBorders>
              <w:top w:val="single" w:color="888E93" w:sz="8" w:space="0"/>
              <w:left w:val="single" w:color="474747" w:sz="8" w:space="0"/>
              <w:bottom w:val="single" w:color="888E93" w:sz="8" w:space="0"/>
              <w:right w:val="single" w:color="888E93" w:sz="8" w:space="0"/>
            </w:tcBorders>
            <w:shd w:val="clear" w:color="auto" w:fill="FFFFFF"/>
            <w:vAlign w:val="center"/>
          </w:tcPr>
          <w:p w14:paraId="5D6AF894">
            <w:pPr>
              <w:keepNext w:val="0"/>
              <w:keepLines w:val="0"/>
              <w:widowControl/>
              <w:suppressLineNumbers w:val="0"/>
              <w:jc w:val="center"/>
              <w:textAlignment w:val="center"/>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竞赛等级</w:t>
            </w:r>
          </w:p>
        </w:tc>
        <w:tc>
          <w:tcPr>
            <w:tcW w:w="138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25B9F854">
            <w:pPr>
              <w:keepNext w:val="0"/>
              <w:keepLines w:val="0"/>
              <w:widowControl/>
              <w:suppressLineNumbers w:val="0"/>
              <w:jc w:val="center"/>
              <w:textAlignment w:val="center"/>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特等奖</w:t>
            </w:r>
          </w:p>
        </w:tc>
        <w:tc>
          <w:tcPr>
            <w:tcW w:w="138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308F7F41">
            <w:pPr>
              <w:keepNext w:val="0"/>
              <w:keepLines w:val="0"/>
              <w:widowControl/>
              <w:suppressLineNumbers w:val="0"/>
              <w:jc w:val="center"/>
              <w:textAlignment w:val="center"/>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一等奖</w:t>
            </w:r>
          </w:p>
        </w:tc>
        <w:tc>
          <w:tcPr>
            <w:tcW w:w="138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3ECB879D">
            <w:pPr>
              <w:keepNext w:val="0"/>
              <w:keepLines w:val="0"/>
              <w:widowControl/>
              <w:suppressLineNumbers w:val="0"/>
              <w:jc w:val="center"/>
              <w:textAlignment w:val="center"/>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二等奖</w:t>
            </w:r>
          </w:p>
        </w:tc>
        <w:tc>
          <w:tcPr>
            <w:tcW w:w="1390"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51B087AD">
            <w:pPr>
              <w:keepNext w:val="0"/>
              <w:keepLines w:val="0"/>
              <w:widowControl/>
              <w:suppressLineNumbers w:val="0"/>
              <w:jc w:val="center"/>
              <w:textAlignment w:val="center"/>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三等奖</w:t>
            </w:r>
          </w:p>
        </w:tc>
      </w:tr>
      <w:tr w14:paraId="26792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trPr>
        <w:tc>
          <w:tcPr>
            <w:tcW w:w="1388" w:type="dxa"/>
            <w:vMerge w:val="restart"/>
            <w:tcBorders>
              <w:top w:val="single" w:color="888E93" w:sz="8" w:space="0"/>
              <w:left w:val="single" w:color="474747" w:sz="8" w:space="0"/>
              <w:bottom w:val="single" w:color="888E93" w:sz="8" w:space="0"/>
              <w:right w:val="single" w:color="888E93" w:sz="8" w:space="0"/>
            </w:tcBorders>
            <w:shd w:val="clear" w:color="auto" w:fill="FFFFFF"/>
            <w:vAlign w:val="center"/>
          </w:tcPr>
          <w:p w14:paraId="260FC145">
            <w:pPr>
              <w:keepNext w:val="0"/>
              <w:keepLines w:val="0"/>
              <w:widowControl/>
              <w:suppressLineNumbers w:val="0"/>
              <w:jc w:val="center"/>
              <w:textAlignment w:val="center"/>
              <w:rPr>
                <w:rFonts w:hint="eastAsia" w:ascii="宋体" w:hAnsi="宋体" w:eastAsia="宋体" w:cs="宋体"/>
                <w:b/>
                <w:bCs/>
                <w:i w:val="0"/>
                <w:iCs w:val="0"/>
                <w:color w:val="000000"/>
                <w:sz w:val="23"/>
                <w:szCs w:val="23"/>
                <w:u w:val="none"/>
              </w:rPr>
            </w:pPr>
            <w:r>
              <w:rPr>
                <w:rFonts w:hint="eastAsia" w:ascii="宋体" w:hAnsi="宋体" w:eastAsia="宋体" w:cs="宋体"/>
                <w:b/>
                <w:bCs/>
                <w:i w:val="0"/>
                <w:iCs w:val="0"/>
                <w:color w:val="000000"/>
                <w:kern w:val="0"/>
                <w:sz w:val="23"/>
                <w:szCs w:val="23"/>
                <w:u w:val="none"/>
                <w:lang w:val="en-US" w:eastAsia="zh-CN" w:bidi="ar"/>
              </w:rPr>
              <w:t>国家级</w:t>
            </w:r>
          </w:p>
        </w:tc>
        <w:tc>
          <w:tcPr>
            <w:tcW w:w="63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46E6710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w:t>
            </w:r>
          </w:p>
        </w:tc>
        <w:tc>
          <w:tcPr>
            <w:tcW w:w="2776" w:type="dxa"/>
            <w:gridSpan w:val="2"/>
            <w:tcBorders>
              <w:top w:val="single" w:color="888E93" w:sz="8" w:space="0"/>
              <w:left w:val="single" w:color="888E93" w:sz="8" w:space="0"/>
              <w:bottom w:val="single" w:color="888E93" w:sz="8" w:space="0"/>
              <w:right w:val="single" w:color="888E93" w:sz="8" w:space="0"/>
            </w:tcBorders>
            <w:shd w:val="clear" w:color="auto" w:fill="FFFFFF"/>
            <w:vAlign w:val="center"/>
          </w:tcPr>
          <w:p w14:paraId="7745FED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15</w:t>
            </w:r>
          </w:p>
        </w:tc>
        <w:tc>
          <w:tcPr>
            <w:tcW w:w="138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5E545C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9</w:t>
            </w:r>
          </w:p>
        </w:tc>
        <w:tc>
          <w:tcPr>
            <w:tcW w:w="1390"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588D141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7</w:t>
            </w:r>
          </w:p>
        </w:tc>
      </w:tr>
      <w:tr w14:paraId="41F05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trPr>
        <w:tc>
          <w:tcPr>
            <w:tcW w:w="1388" w:type="dxa"/>
            <w:vMerge w:val="continue"/>
            <w:tcBorders>
              <w:top w:val="single" w:color="888E93" w:sz="8" w:space="0"/>
              <w:left w:val="single" w:color="474747" w:sz="8" w:space="0"/>
              <w:bottom w:val="single" w:color="888E93" w:sz="8" w:space="0"/>
              <w:right w:val="single" w:color="888E93" w:sz="8" w:space="0"/>
            </w:tcBorders>
            <w:shd w:val="clear" w:color="auto" w:fill="FFFFFF"/>
            <w:vAlign w:val="center"/>
          </w:tcPr>
          <w:p w14:paraId="783E8D08">
            <w:pPr>
              <w:jc w:val="center"/>
              <w:rPr>
                <w:rFonts w:hint="eastAsia" w:ascii="宋体" w:hAnsi="宋体" w:eastAsia="宋体" w:cs="宋体"/>
                <w:b/>
                <w:bCs/>
                <w:i w:val="0"/>
                <w:iCs w:val="0"/>
                <w:color w:val="000000"/>
                <w:sz w:val="23"/>
                <w:szCs w:val="23"/>
                <w:u w:val="none"/>
              </w:rPr>
            </w:pPr>
          </w:p>
        </w:tc>
        <w:tc>
          <w:tcPr>
            <w:tcW w:w="63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CE146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w:t>
            </w:r>
          </w:p>
        </w:tc>
        <w:tc>
          <w:tcPr>
            <w:tcW w:w="138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B3B77E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9</w:t>
            </w:r>
          </w:p>
        </w:tc>
        <w:tc>
          <w:tcPr>
            <w:tcW w:w="138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C3CC21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7</w:t>
            </w:r>
          </w:p>
        </w:tc>
        <w:tc>
          <w:tcPr>
            <w:tcW w:w="1388"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24B97C5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6</w:t>
            </w:r>
          </w:p>
        </w:tc>
        <w:tc>
          <w:tcPr>
            <w:tcW w:w="1390"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30A1A29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5</w:t>
            </w:r>
          </w:p>
        </w:tc>
      </w:tr>
    </w:tbl>
    <w:p w14:paraId="11D145DE">
      <w:pPr>
        <w:rPr>
          <w:rFonts w:hint="eastAsia" w:ascii="仿宋" w:hAnsi="仿宋" w:eastAsia="仿宋"/>
          <w:b/>
          <w:bCs/>
          <w:sz w:val="24"/>
          <w:szCs w:val="24"/>
        </w:rPr>
      </w:pPr>
    </w:p>
    <w:p w14:paraId="75C71A71">
      <w:pPr>
        <w:rPr>
          <w:rFonts w:ascii="仿宋" w:hAnsi="仿宋" w:eastAsia="仿宋"/>
          <w:b/>
          <w:bCs/>
          <w:sz w:val="24"/>
          <w:szCs w:val="24"/>
        </w:rPr>
      </w:pPr>
      <w:r>
        <w:rPr>
          <w:rFonts w:hint="eastAsia" w:ascii="仿宋" w:hAnsi="仿宋" w:eastAsia="仿宋"/>
          <w:b/>
          <w:bCs/>
          <w:sz w:val="24"/>
          <w:szCs w:val="24"/>
        </w:rPr>
        <w:t>规则</w:t>
      </w:r>
      <w:r>
        <w:rPr>
          <w:rFonts w:ascii="仿宋" w:hAnsi="仿宋" w:eastAsia="仿宋"/>
          <w:b/>
          <w:bCs/>
          <w:sz w:val="24"/>
          <w:szCs w:val="24"/>
        </w:rPr>
        <w:t>7</w:t>
      </w:r>
      <w:r>
        <w:rPr>
          <w:rFonts w:hint="eastAsia" w:ascii="仿宋" w:hAnsi="仿宋" w:eastAsia="仿宋"/>
          <w:b/>
          <w:bCs/>
          <w:sz w:val="24"/>
          <w:szCs w:val="24"/>
        </w:rPr>
        <w:t>：</w:t>
      </w:r>
    </w:p>
    <w:p w14:paraId="3FF48504">
      <w:pPr>
        <w:ind w:firstLine="420"/>
        <w:rPr>
          <w:rFonts w:ascii="仿宋" w:hAnsi="仿宋" w:eastAsia="仿宋"/>
          <w:sz w:val="24"/>
          <w:szCs w:val="24"/>
        </w:rPr>
      </w:pPr>
      <w:r>
        <w:rPr>
          <w:rFonts w:ascii="仿宋" w:hAnsi="仿宋" w:eastAsia="仿宋"/>
          <w:sz w:val="24"/>
          <w:szCs w:val="24"/>
        </w:rPr>
        <w:t>在奖励分值计算时，</w:t>
      </w:r>
      <w:r>
        <w:rPr>
          <w:rFonts w:hint="eastAsia" w:ascii="仿宋" w:hAnsi="仿宋" w:eastAsia="仿宋"/>
          <w:sz w:val="24"/>
          <w:szCs w:val="24"/>
        </w:rPr>
        <w:t>若存在</w:t>
      </w:r>
      <w:r>
        <w:rPr>
          <w:rFonts w:ascii="仿宋" w:hAnsi="仿宋" w:eastAsia="仿宋"/>
          <w:sz w:val="24"/>
          <w:szCs w:val="24"/>
        </w:rPr>
        <w:t>争议，学院将组织</w:t>
      </w:r>
      <w:r>
        <w:rPr>
          <w:rFonts w:hint="eastAsia" w:ascii="仿宋" w:hAnsi="仿宋" w:eastAsia="仿宋"/>
          <w:sz w:val="24"/>
          <w:szCs w:val="24"/>
        </w:rPr>
        <w:t>奖励加分</w:t>
      </w:r>
      <w:r>
        <w:rPr>
          <w:rFonts w:ascii="仿宋" w:hAnsi="仿宋" w:eastAsia="仿宋"/>
          <w:sz w:val="24"/>
          <w:szCs w:val="24"/>
        </w:rPr>
        <w:t>专家</w:t>
      </w:r>
      <w:r>
        <w:rPr>
          <w:rFonts w:hint="eastAsia" w:ascii="仿宋" w:hAnsi="仿宋" w:eastAsia="仿宋"/>
          <w:sz w:val="24"/>
          <w:szCs w:val="24"/>
        </w:rPr>
        <w:t>小组</w:t>
      </w:r>
      <w:r>
        <w:rPr>
          <w:rFonts w:ascii="仿宋" w:hAnsi="仿宋" w:eastAsia="仿宋"/>
          <w:sz w:val="24"/>
          <w:szCs w:val="24"/>
        </w:rPr>
        <w:t>、会同学院推免工作组做出裁决。</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mNmIwODQ5ODQ4ZmFlNzg3NThhNjk5M2ViMTNjYjEifQ=="/>
  </w:docVars>
  <w:rsids>
    <w:rsidRoot w:val="00F53559"/>
    <w:rsid w:val="00005E0D"/>
    <w:rsid w:val="0002502A"/>
    <w:rsid w:val="00074E19"/>
    <w:rsid w:val="000A2C71"/>
    <w:rsid w:val="000F60F5"/>
    <w:rsid w:val="00123AE8"/>
    <w:rsid w:val="001B2C58"/>
    <w:rsid w:val="001D47A7"/>
    <w:rsid w:val="00203209"/>
    <w:rsid w:val="00253E05"/>
    <w:rsid w:val="0025550A"/>
    <w:rsid w:val="00261675"/>
    <w:rsid w:val="0028375A"/>
    <w:rsid w:val="002A35F4"/>
    <w:rsid w:val="002A6051"/>
    <w:rsid w:val="002B6B1B"/>
    <w:rsid w:val="002F4A59"/>
    <w:rsid w:val="003201C9"/>
    <w:rsid w:val="003305B9"/>
    <w:rsid w:val="0036625E"/>
    <w:rsid w:val="003826E5"/>
    <w:rsid w:val="0039359F"/>
    <w:rsid w:val="003C5A89"/>
    <w:rsid w:val="003C7201"/>
    <w:rsid w:val="00402203"/>
    <w:rsid w:val="00447A6A"/>
    <w:rsid w:val="00460A79"/>
    <w:rsid w:val="004B54B1"/>
    <w:rsid w:val="004E6B3B"/>
    <w:rsid w:val="005E2846"/>
    <w:rsid w:val="00605E5E"/>
    <w:rsid w:val="00611369"/>
    <w:rsid w:val="006122E6"/>
    <w:rsid w:val="00627A5E"/>
    <w:rsid w:val="00632192"/>
    <w:rsid w:val="00653C72"/>
    <w:rsid w:val="0065537B"/>
    <w:rsid w:val="006D030E"/>
    <w:rsid w:val="007073C5"/>
    <w:rsid w:val="007A3762"/>
    <w:rsid w:val="007D4842"/>
    <w:rsid w:val="0082116B"/>
    <w:rsid w:val="00834861"/>
    <w:rsid w:val="00842675"/>
    <w:rsid w:val="008F3EF3"/>
    <w:rsid w:val="009552EB"/>
    <w:rsid w:val="00962471"/>
    <w:rsid w:val="009706B1"/>
    <w:rsid w:val="009B18BA"/>
    <w:rsid w:val="009D5909"/>
    <w:rsid w:val="00A15CE6"/>
    <w:rsid w:val="00A22D97"/>
    <w:rsid w:val="00A53C4E"/>
    <w:rsid w:val="00A7351C"/>
    <w:rsid w:val="00A94CC6"/>
    <w:rsid w:val="00AD45BE"/>
    <w:rsid w:val="00B20FC0"/>
    <w:rsid w:val="00B412E8"/>
    <w:rsid w:val="00B44B56"/>
    <w:rsid w:val="00B5031C"/>
    <w:rsid w:val="00B52AF1"/>
    <w:rsid w:val="00BA14B9"/>
    <w:rsid w:val="00C36239"/>
    <w:rsid w:val="00C53FAA"/>
    <w:rsid w:val="00C72040"/>
    <w:rsid w:val="00C77309"/>
    <w:rsid w:val="00C84453"/>
    <w:rsid w:val="00CA6204"/>
    <w:rsid w:val="00CD5DCD"/>
    <w:rsid w:val="00CF3C2D"/>
    <w:rsid w:val="00D776EC"/>
    <w:rsid w:val="00D84C15"/>
    <w:rsid w:val="00E36897"/>
    <w:rsid w:val="00E6017D"/>
    <w:rsid w:val="00E77BB6"/>
    <w:rsid w:val="00EF3EA7"/>
    <w:rsid w:val="00EF60FA"/>
    <w:rsid w:val="00F53559"/>
    <w:rsid w:val="00F773AC"/>
    <w:rsid w:val="00FA1C66"/>
    <w:rsid w:val="00FB06E7"/>
    <w:rsid w:val="04197DC7"/>
    <w:rsid w:val="0430337D"/>
    <w:rsid w:val="06941AEA"/>
    <w:rsid w:val="10491698"/>
    <w:rsid w:val="10E541BB"/>
    <w:rsid w:val="121376D1"/>
    <w:rsid w:val="15A04DA9"/>
    <w:rsid w:val="199A06EF"/>
    <w:rsid w:val="1AD125C1"/>
    <w:rsid w:val="1C493415"/>
    <w:rsid w:val="292B04CB"/>
    <w:rsid w:val="2A5209D7"/>
    <w:rsid w:val="2ABB0E07"/>
    <w:rsid w:val="2C926C66"/>
    <w:rsid w:val="2DBF3015"/>
    <w:rsid w:val="31656417"/>
    <w:rsid w:val="352D43D7"/>
    <w:rsid w:val="38D75A4F"/>
    <w:rsid w:val="3E9C6F0E"/>
    <w:rsid w:val="48D54098"/>
    <w:rsid w:val="50AF187A"/>
    <w:rsid w:val="51F85BBB"/>
    <w:rsid w:val="5B1911A2"/>
    <w:rsid w:val="5CB5787C"/>
    <w:rsid w:val="64547AE3"/>
    <w:rsid w:val="75887974"/>
    <w:rsid w:val="79B07E5A"/>
    <w:rsid w:val="7A0F720D"/>
    <w:rsid w:val="7DD82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semiHidden/>
    <w:unhideWhenUsed/>
    <w:qFormat/>
    <w:uiPriority w:val="99"/>
    <w:rPr>
      <w:color w:val="0000FF"/>
      <w:u w:val="single"/>
    </w:rPr>
  </w:style>
  <w:style w:type="character" w:customStyle="1" w:styleId="10">
    <w:name w:val="标题 1 字符"/>
    <w:basedOn w:val="8"/>
    <w:link w:val="2"/>
    <w:qFormat/>
    <w:uiPriority w:val="9"/>
    <w:rPr>
      <w:b/>
      <w:bCs/>
      <w:kern w:val="44"/>
      <w:sz w:val="44"/>
      <w:szCs w:val="44"/>
    </w:rPr>
  </w:style>
  <w:style w:type="character" w:customStyle="1" w:styleId="11">
    <w:name w:val="页眉 字符"/>
    <w:basedOn w:val="8"/>
    <w:link w:val="5"/>
    <w:qFormat/>
    <w:uiPriority w:val="99"/>
    <w:rPr>
      <w:rFonts w:asciiTheme="minorHAnsi" w:hAnsiTheme="minorHAnsi" w:eastAsiaTheme="minorEastAsia" w:cstheme="minorBidi"/>
      <w:kern w:val="2"/>
      <w:sz w:val="18"/>
      <w:szCs w:val="18"/>
    </w:rPr>
  </w:style>
  <w:style w:type="character" w:customStyle="1" w:styleId="12">
    <w:name w:val="页脚 字符"/>
    <w:basedOn w:val="8"/>
    <w:link w:val="4"/>
    <w:qFormat/>
    <w:uiPriority w:val="99"/>
    <w:rPr>
      <w:rFonts w:asciiTheme="minorHAnsi" w:hAnsiTheme="minorHAnsi" w:eastAsiaTheme="minorEastAsia" w:cstheme="minorBidi"/>
      <w:kern w:val="2"/>
      <w:sz w:val="18"/>
      <w:szCs w:val="18"/>
    </w:rPr>
  </w:style>
  <w:style w:type="character" w:customStyle="1" w:styleId="13">
    <w:name w:val="批注框文本 字符"/>
    <w:basedOn w:val="8"/>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1087</Words>
  <Characters>1113</Characters>
  <Lines>11</Lines>
  <Paragraphs>3</Paragraphs>
  <TotalTime>3</TotalTime>
  <ScaleCrop>false</ScaleCrop>
  <LinksUpToDate>false</LinksUpToDate>
  <CharactersWithSpaces>1113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2020-09-24T06:25:00Z</dcterms:created>
  <dc:creator>chenkun</dc:creator>
  <cp:lastModifiedBy>爱吃花饭</cp:lastModifiedBy>
  <dcterms:modified xsi:type="dcterms:W3CDTF">2025-09-08T11:13:55Z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3C5D05DFEEA54006BCCA214F8E46E324_13</vt:lpwstr>
  </property>
  <property fmtid="{D5CDD505-2E9C-101B-9397-08002B2CF9AE}" pid="4" name="KSOTemplateDocerSaveRecord">
    <vt:lpwstr>eyJoZGlkIjoiZTlmNmIwODQ5ODQ4ZmFlNzg3NThhNjk5M2ViMTNjYjEiLCJ1c2VySWQiOiIxODYzNjE5MSJ9</vt:lpwstr>
  </property>
</Properties>
</file>