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0039AB">
      <w:pPr>
        <w:spacing w:line="360" w:lineRule="auto"/>
        <w:jc w:val="center"/>
        <w:rPr>
          <w:rFonts w:ascii="Times New Roman" w:hAnsi="Times New Roman" w:cs="Times New Roman"/>
          <w:b/>
          <w:sz w:val="30"/>
          <w:szCs w:val="30"/>
        </w:rPr>
      </w:pPr>
      <w:r>
        <w:rPr>
          <w:rFonts w:ascii="Times New Roman" w:hAnsi="Times New Roman" w:cs="Times New Roman"/>
          <w:b/>
          <w:sz w:val="30"/>
          <w:szCs w:val="30"/>
        </w:rPr>
        <w:t>中南民族大学高分子材料与工程</w:t>
      </w:r>
      <w:r>
        <w:rPr>
          <w:rFonts w:hint="eastAsia" w:ascii="Times New Roman" w:hAnsi="Times New Roman" w:cs="Times New Roman"/>
          <w:b/>
          <w:sz w:val="30"/>
          <w:szCs w:val="30"/>
          <w:lang w:val="en-US" w:eastAsia="zh-CN"/>
        </w:rPr>
        <w:t>专业</w:t>
      </w:r>
      <w:r>
        <w:rPr>
          <w:rFonts w:ascii="Times New Roman" w:hAnsi="Times New Roman" w:cs="Times New Roman"/>
          <w:b/>
          <w:sz w:val="30"/>
          <w:szCs w:val="30"/>
        </w:rPr>
        <w:t>“</w:t>
      </w:r>
      <w:r>
        <w:rPr>
          <w:rFonts w:hint="eastAsia" w:ascii="Times New Roman" w:hAnsi="Times New Roman" w:cs="Times New Roman"/>
          <w:b/>
          <w:sz w:val="30"/>
          <w:szCs w:val="30"/>
        </w:rPr>
        <w:t>卓越人才实验班</w:t>
      </w:r>
      <w:r>
        <w:rPr>
          <w:rFonts w:ascii="Times New Roman" w:hAnsi="Times New Roman" w:cs="Times New Roman"/>
          <w:b/>
          <w:sz w:val="30"/>
          <w:szCs w:val="30"/>
        </w:rPr>
        <w:t>”学生选拔与管理办法</w:t>
      </w:r>
    </w:p>
    <w:p w14:paraId="16B10A66">
      <w:pPr>
        <w:spacing w:line="360" w:lineRule="auto"/>
        <w:ind w:firstLine="480" w:firstLineChars="200"/>
        <w:rPr>
          <w:rFonts w:ascii="Times New Roman" w:hAnsi="Times New Roman" w:cs="Times New Roman"/>
          <w:sz w:val="24"/>
          <w:szCs w:val="24"/>
        </w:rPr>
      </w:pPr>
      <w:r>
        <w:rPr>
          <w:rFonts w:hint="eastAsia" w:ascii="Times New Roman" w:hAnsi="Times New Roman" w:cs="Times New Roman"/>
          <w:sz w:val="24"/>
          <w:szCs w:val="24"/>
          <w:lang w:val="en-US" w:eastAsia="zh-CN"/>
        </w:rPr>
        <w:t>为深入贯彻</w:t>
      </w:r>
      <w:r>
        <w:rPr>
          <w:rFonts w:ascii="Times New Roman" w:hAnsi="Times New Roman" w:cs="Times New Roman"/>
          <w:sz w:val="24"/>
          <w:szCs w:val="24"/>
        </w:rPr>
        <w:t>落实《国家中长期教育改革和发展规划纲要（2010-2020年）》</w:t>
      </w:r>
      <w:r>
        <w:rPr>
          <w:rFonts w:hint="eastAsia" w:ascii="Times New Roman" w:hAnsi="Times New Roman" w:cs="Times New Roman"/>
          <w:sz w:val="24"/>
          <w:szCs w:val="24"/>
        </w:rPr>
        <w:t>、</w:t>
      </w:r>
      <w:r>
        <w:rPr>
          <w:rFonts w:ascii="Times New Roman" w:hAnsi="Times New Roman" w:cs="Times New Roman"/>
          <w:sz w:val="24"/>
          <w:szCs w:val="24"/>
        </w:rPr>
        <w:t>《国家中长期人才发展规划纲要（2010-2020年）》和</w:t>
      </w:r>
      <w:r>
        <w:rPr>
          <w:rFonts w:hint="eastAsia" w:ascii="Times New Roman" w:hAnsi="Times New Roman" w:cs="Times New Roman"/>
          <w:sz w:val="24"/>
          <w:szCs w:val="24"/>
        </w:rPr>
        <w:t>《教育部关于加快建设高水平本科教育全面提高人才培养能力的意见》</w:t>
      </w:r>
      <w:r>
        <w:rPr>
          <w:rFonts w:ascii="Times New Roman" w:hAnsi="Times New Roman" w:cs="Times New Roman"/>
          <w:sz w:val="24"/>
          <w:szCs w:val="24"/>
        </w:rPr>
        <w:t>等</w:t>
      </w:r>
      <w:r>
        <w:rPr>
          <w:rFonts w:hint="eastAsia" w:ascii="Times New Roman" w:hAnsi="Times New Roman" w:cs="Times New Roman"/>
          <w:sz w:val="24"/>
          <w:szCs w:val="24"/>
          <w:lang w:val="en-US" w:eastAsia="zh-CN"/>
        </w:rPr>
        <w:t>文件精神</w:t>
      </w:r>
      <w:r>
        <w:rPr>
          <w:rFonts w:hint="eastAsia" w:ascii="Times New Roman" w:hAnsi="Times New Roman" w:cs="Times New Roman"/>
          <w:sz w:val="24"/>
          <w:szCs w:val="24"/>
        </w:rPr>
        <w:t>，全面实施“六卓越</w:t>
      </w:r>
      <w:r>
        <w:rPr>
          <w:rFonts w:hint="eastAsia" w:ascii="Times New Roman" w:hAnsi="Times New Roman" w:cs="Times New Roman"/>
          <w:sz w:val="24"/>
          <w:szCs w:val="24"/>
          <w:lang w:val="en-US" w:eastAsia="zh-CN"/>
        </w:rPr>
        <w:t>一</w:t>
      </w:r>
      <w:r>
        <w:rPr>
          <w:rFonts w:hint="eastAsia" w:ascii="Times New Roman" w:hAnsi="Times New Roman" w:cs="Times New Roman"/>
          <w:sz w:val="24"/>
          <w:szCs w:val="24"/>
        </w:rPr>
        <w:t>拔尖”计划2.0</w:t>
      </w:r>
      <w:r>
        <w:rPr>
          <w:rFonts w:hint="eastAsia" w:ascii="Times New Roman" w:hAnsi="Times New Roman" w:cs="Times New Roman"/>
          <w:sz w:val="24"/>
          <w:szCs w:val="24"/>
          <w:lang w:eastAsia="zh-CN"/>
        </w:rPr>
        <w:t>，</w:t>
      </w:r>
      <w:r>
        <w:rPr>
          <w:rFonts w:ascii="Times New Roman" w:hAnsi="Times New Roman" w:cs="Times New Roman"/>
          <w:sz w:val="24"/>
          <w:szCs w:val="24"/>
        </w:rPr>
        <w:t>根据教育部和湖北省有关文件精神和我校“卓越计划”工作方案，特</w:t>
      </w:r>
      <w:r>
        <w:rPr>
          <w:rFonts w:hint="eastAsia" w:ascii="Times New Roman" w:hAnsi="Times New Roman" w:cs="Times New Roman"/>
          <w:sz w:val="24"/>
          <w:szCs w:val="24"/>
          <w:lang w:eastAsia="zh-CN"/>
        </w:rPr>
        <w:t>制定</w:t>
      </w:r>
      <w:r>
        <w:rPr>
          <w:rFonts w:ascii="Times New Roman" w:hAnsi="Times New Roman" w:cs="Times New Roman"/>
          <w:sz w:val="24"/>
          <w:szCs w:val="24"/>
        </w:rPr>
        <w:t>我院高分子材料与工程</w:t>
      </w:r>
      <w:r>
        <w:rPr>
          <w:rFonts w:hint="eastAsia" w:ascii="Times New Roman" w:hAnsi="Times New Roman" w:cs="Times New Roman"/>
          <w:sz w:val="24"/>
          <w:szCs w:val="24"/>
          <w:lang w:val="en-US" w:eastAsia="zh-CN"/>
        </w:rPr>
        <w:t>专业</w:t>
      </w:r>
      <w:r>
        <w:rPr>
          <w:rFonts w:hint="eastAsia" w:ascii="Times New Roman" w:hAnsi="Times New Roman" w:cs="Times New Roman"/>
          <w:sz w:val="24"/>
          <w:szCs w:val="24"/>
          <w:lang w:eastAsia="zh-CN"/>
        </w:rPr>
        <w:t>“</w:t>
      </w:r>
      <w:r>
        <w:rPr>
          <w:rFonts w:ascii="Times New Roman" w:hAnsi="Times New Roman" w:cs="Times New Roman"/>
          <w:sz w:val="24"/>
          <w:szCs w:val="24"/>
        </w:rPr>
        <w:t>卓越</w:t>
      </w:r>
      <w:r>
        <w:rPr>
          <w:rFonts w:hint="eastAsia" w:ascii="Times New Roman" w:hAnsi="Times New Roman" w:cs="Times New Roman"/>
          <w:sz w:val="24"/>
          <w:szCs w:val="24"/>
          <w:lang w:val="en-US" w:eastAsia="zh-CN"/>
        </w:rPr>
        <w:t>人才</w:t>
      </w:r>
      <w:r>
        <w:rPr>
          <w:rFonts w:ascii="Times New Roman" w:hAnsi="Times New Roman" w:cs="Times New Roman"/>
          <w:sz w:val="24"/>
          <w:szCs w:val="24"/>
        </w:rPr>
        <w:t>实验班</w:t>
      </w:r>
      <w:r>
        <w:rPr>
          <w:rFonts w:hint="eastAsia" w:ascii="Times New Roman" w:hAnsi="Times New Roman" w:cs="Times New Roman"/>
          <w:sz w:val="24"/>
          <w:szCs w:val="24"/>
          <w:lang w:eastAsia="zh-CN"/>
        </w:rPr>
        <w:t>”（以下简称“</w:t>
      </w:r>
      <w:r>
        <w:rPr>
          <w:rFonts w:hint="eastAsia" w:ascii="Times New Roman" w:hAnsi="Times New Roman" w:cs="Times New Roman"/>
          <w:sz w:val="24"/>
          <w:szCs w:val="24"/>
          <w:lang w:val="en-US" w:eastAsia="zh-CN"/>
        </w:rPr>
        <w:t>实验</w:t>
      </w:r>
      <w:r>
        <w:rPr>
          <w:rFonts w:hint="eastAsia" w:ascii="Times New Roman" w:hAnsi="Times New Roman" w:cs="Times New Roman"/>
          <w:sz w:val="24"/>
          <w:szCs w:val="24"/>
          <w:lang w:eastAsia="zh-CN"/>
        </w:rPr>
        <w:t>班”）</w:t>
      </w:r>
      <w:r>
        <w:rPr>
          <w:rFonts w:ascii="Times New Roman" w:hAnsi="Times New Roman" w:cs="Times New Roman"/>
          <w:sz w:val="24"/>
          <w:szCs w:val="24"/>
        </w:rPr>
        <w:t>学生选拔与学业管理办法。</w:t>
      </w:r>
    </w:p>
    <w:p w14:paraId="20E8A427">
      <w:pPr>
        <w:spacing w:line="360" w:lineRule="auto"/>
        <w:rPr>
          <w:rFonts w:ascii="Times New Roman" w:hAnsi="Times New Roman" w:cs="Times New Roman"/>
          <w:sz w:val="24"/>
          <w:szCs w:val="24"/>
        </w:rPr>
      </w:pPr>
      <w:r>
        <w:rPr>
          <w:rFonts w:ascii="Times New Roman" w:hAnsi="Times New Roman" w:cs="Times New Roman"/>
          <w:sz w:val="24"/>
          <w:szCs w:val="24"/>
        </w:rPr>
        <w:t>一、招生专业及招生名额</w:t>
      </w:r>
    </w:p>
    <w:p w14:paraId="17EE2F62">
      <w:pPr>
        <w:spacing w:line="360" w:lineRule="auto"/>
        <w:ind w:firstLine="480" w:firstLineChars="200"/>
        <w:rPr>
          <w:rFonts w:ascii="Times New Roman" w:hAnsi="Times New Roman" w:cs="Times New Roman"/>
          <w:sz w:val="24"/>
          <w:szCs w:val="24"/>
        </w:rPr>
      </w:pPr>
      <w:r>
        <w:rPr>
          <w:rFonts w:ascii="Times New Roman" w:hAnsi="Times New Roman" w:cs="Times New Roman"/>
          <w:sz w:val="24"/>
          <w:szCs w:val="24"/>
        </w:rPr>
        <w:t>学院将在化学与材料科学学院每年级开设1个</w:t>
      </w:r>
      <w:r>
        <w:rPr>
          <w:rFonts w:hint="eastAsia" w:ascii="Times New Roman" w:hAnsi="Times New Roman" w:cs="Times New Roman"/>
          <w:sz w:val="24"/>
          <w:szCs w:val="24"/>
          <w:lang w:eastAsia="zh-CN"/>
        </w:rPr>
        <w:t>实验班</w:t>
      </w:r>
      <w:r>
        <w:rPr>
          <w:rFonts w:ascii="Times New Roman" w:hAnsi="Times New Roman" w:cs="Times New Roman"/>
          <w:sz w:val="24"/>
          <w:szCs w:val="24"/>
        </w:rPr>
        <w:t>，每班招生</w:t>
      </w:r>
      <w:r>
        <w:rPr>
          <w:rFonts w:hint="eastAsia" w:ascii="Times New Roman" w:hAnsi="Times New Roman" w:cs="Times New Roman"/>
          <w:sz w:val="24"/>
          <w:szCs w:val="24"/>
        </w:rPr>
        <w:t>不超过</w:t>
      </w:r>
      <w:r>
        <w:rPr>
          <w:rFonts w:hint="eastAsia" w:ascii="Times New Roman" w:hAnsi="Times New Roman" w:cs="Times New Roman"/>
          <w:sz w:val="24"/>
          <w:szCs w:val="24"/>
          <w:lang w:val="en-US" w:eastAsia="zh-CN"/>
        </w:rPr>
        <w:t>30</w:t>
      </w:r>
      <w:r>
        <w:rPr>
          <w:rFonts w:ascii="Times New Roman" w:hAnsi="Times New Roman" w:cs="Times New Roman"/>
          <w:sz w:val="24"/>
          <w:szCs w:val="24"/>
        </w:rPr>
        <w:t>人。</w:t>
      </w:r>
    </w:p>
    <w:p w14:paraId="279C7375">
      <w:pPr>
        <w:spacing w:line="360" w:lineRule="auto"/>
        <w:rPr>
          <w:rFonts w:ascii="Times New Roman" w:hAnsi="Times New Roman" w:cs="Times New Roman"/>
          <w:sz w:val="24"/>
          <w:szCs w:val="24"/>
        </w:rPr>
      </w:pPr>
      <w:r>
        <w:rPr>
          <w:rFonts w:ascii="Times New Roman" w:hAnsi="Times New Roman" w:cs="Times New Roman"/>
          <w:sz w:val="24"/>
          <w:szCs w:val="24"/>
        </w:rPr>
        <w:t>二、</w:t>
      </w:r>
      <w:r>
        <w:rPr>
          <w:rFonts w:hint="eastAsia" w:ascii="Times New Roman" w:hAnsi="Times New Roman" w:cs="Times New Roman"/>
          <w:kern w:val="2"/>
          <w:sz w:val="24"/>
          <w:szCs w:val="24"/>
          <w:lang w:val="en-US" w:eastAsia="zh-CN" w:bidi="ar-SA"/>
        </w:rPr>
        <w:t>实验班</w:t>
      </w:r>
      <w:r>
        <w:rPr>
          <w:rFonts w:ascii="Times New Roman" w:hAnsi="Times New Roman" w:cs="Times New Roman"/>
          <w:sz w:val="24"/>
          <w:szCs w:val="24"/>
        </w:rPr>
        <w:t>学生选拔办法</w:t>
      </w:r>
    </w:p>
    <w:p w14:paraId="38061377">
      <w:pPr>
        <w:spacing w:line="360" w:lineRule="auto"/>
        <w:rPr>
          <w:rFonts w:ascii="Times New Roman" w:hAnsi="Times New Roman" w:cs="Times New Roman"/>
          <w:sz w:val="24"/>
          <w:szCs w:val="24"/>
        </w:rPr>
      </w:pPr>
      <w:r>
        <w:rPr>
          <w:rFonts w:ascii="Times New Roman" w:hAnsi="Times New Roman" w:cs="Times New Roman"/>
          <w:sz w:val="24"/>
          <w:szCs w:val="24"/>
        </w:rPr>
        <w:t>1、学生选拔基本原则</w:t>
      </w:r>
    </w:p>
    <w:p w14:paraId="5C258C67">
      <w:pPr>
        <w:spacing w:line="360" w:lineRule="auto"/>
        <w:ind w:firstLine="480" w:firstLineChars="200"/>
        <w:rPr>
          <w:rFonts w:ascii="Times New Roman" w:hAnsi="Times New Roman" w:cs="Times New Roman"/>
          <w:sz w:val="24"/>
          <w:szCs w:val="24"/>
        </w:rPr>
      </w:pPr>
      <w:r>
        <w:rPr>
          <w:rFonts w:ascii="Times New Roman" w:hAnsi="Times New Roman" w:cs="Times New Roman"/>
          <w:sz w:val="24"/>
          <w:szCs w:val="24"/>
        </w:rPr>
        <w:t>选拔工作坚持贯彻“公开、公平、公正”的原则，做到信息公开、流程规范、沟通及时。在学生自愿的基础上，以学生综合能力为主要参考指标，注重对学习状况和态度的考察。</w:t>
      </w:r>
    </w:p>
    <w:p w14:paraId="278832E5">
      <w:pPr>
        <w:spacing w:line="360" w:lineRule="auto"/>
        <w:rPr>
          <w:rFonts w:ascii="Times New Roman" w:hAnsi="Times New Roman" w:cs="Times New Roman"/>
          <w:sz w:val="24"/>
          <w:szCs w:val="24"/>
        </w:rPr>
      </w:pPr>
      <w:r>
        <w:rPr>
          <w:rFonts w:ascii="Times New Roman" w:hAnsi="Times New Roman" w:cs="Times New Roman"/>
          <w:sz w:val="24"/>
          <w:szCs w:val="24"/>
        </w:rPr>
        <w:t>2、选拔方案</w:t>
      </w:r>
    </w:p>
    <w:p w14:paraId="4E002648">
      <w:pPr>
        <w:spacing w:line="360" w:lineRule="auto"/>
        <w:ind w:firstLine="480" w:firstLineChars="200"/>
        <w:rPr>
          <w:rFonts w:ascii="Times New Roman" w:hAnsi="Times New Roman" w:cs="Times New Roman"/>
          <w:sz w:val="24"/>
          <w:szCs w:val="24"/>
        </w:rPr>
      </w:pPr>
      <w:r>
        <w:rPr>
          <w:rFonts w:ascii="Times New Roman" w:hAnsi="Times New Roman" w:cs="Times New Roman"/>
          <w:sz w:val="24"/>
          <w:szCs w:val="24"/>
        </w:rPr>
        <w:t>化学与材料科学学院本科生均可自愿报名参加</w:t>
      </w:r>
      <w:r>
        <w:rPr>
          <w:rFonts w:hint="eastAsia" w:ascii="Times New Roman" w:hAnsi="Times New Roman" w:cs="Times New Roman"/>
          <w:kern w:val="2"/>
          <w:sz w:val="24"/>
          <w:szCs w:val="24"/>
          <w:lang w:val="en-US" w:eastAsia="zh-CN" w:bidi="ar-SA"/>
        </w:rPr>
        <w:t>实验班</w:t>
      </w:r>
      <w:r>
        <w:rPr>
          <w:rFonts w:ascii="Times New Roman" w:hAnsi="Times New Roman" w:cs="Times New Roman"/>
          <w:sz w:val="24"/>
          <w:szCs w:val="24"/>
        </w:rPr>
        <w:t>的选拔，报名学生应品德优良，身体健康，无违规违纪记录，立志从事工程实践工作，具有成为卓越工程师的培养潜质。</w:t>
      </w:r>
      <w:r>
        <w:rPr>
          <w:rFonts w:hint="eastAsia" w:ascii="Times New Roman" w:hAnsi="Times New Roman" w:cs="Times New Roman"/>
          <w:sz w:val="24"/>
          <w:szCs w:val="24"/>
        </w:rPr>
        <w:t>已完成所在专业分流前培养方案学分要求。除通识选修课外，已修读的培养方案要求的课程无不及格记录。</w:t>
      </w:r>
    </w:p>
    <w:p w14:paraId="5F88CFCB">
      <w:pPr>
        <w:spacing w:line="360" w:lineRule="auto"/>
        <w:ind w:firstLine="480" w:firstLineChars="200"/>
        <w:rPr>
          <w:rFonts w:ascii="Times New Roman" w:hAnsi="Times New Roman" w:cs="Times New Roman"/>
          <w:sz w:val="24"/>
          <w:szCs w:val="24"/>
        </w:rPr>
      </w:pPr>
      <w:r>
        <w:rPr>
          <w:rFonts w:ascii="Times New Roman" w:hAnsi="Times New Roman" w:cs="Times New Roman"/>
          <w:sz w:val="24"/>
          <w:szCs w:val="24"/>
        </w:rPr>
        <w:t>学院成立</w:t>
      </w:r>
      <w:r>
        <w:rPr>
          <w:rFonts w:hint="eastAsia" w:ascii="Times New Roman" w:hAnsi="Times New Roman" w:cs="Times New Roman"/>
          <w:kern w:val="2"/>
          <w:sz w:val="24"/>
          <w:szCs w:val="24"/>
          <w:lang w:val="en-US" w:eastAsia="zh-CN" w:bidi="ar-SA"/>
        </w:rPr>
        <w:t>实验班</w:t>
      </w:r>
      <w:r>
        <w:rPr>
          <w:rFonts w:ascii="Times New Roman" w:hAnsi="Times New Roman" w:cs="Times New Roman"/>
          <w:sz w:val="24"/>
          <w:szCs w:val="24"/>
        </w:rPr>
        <w:t>综合测评工作专家组，组织进行综合测评工作。综合测评工作专家组一般由5</w:t>
      </w:r>
      <w:r>
        <w:rPr>
          <w:rFonts w:hint="eastAsia" w:ascii="Times New Roman" w:hAnsi="Times New Roman" w:cs="Times New Roman"/>
          <w:sz w:val="24"/>
          <w:szCs w:val="24"/>
        </w:rPr>
        <w:t>-</w:t>
      </w:r>
      <w:r>
        <w:rPr>
          <w:rFonts w:ascii="Times New Roman" w:hAnsi="Times New Roman" w:cs="Times New Roman"/>
          <w:sz w:val="24"/>
          <w:szCs w:val="24"/>
        </w:rPr>
        <w:t>7人组成，综合测评内容应包括职业素质及从业意愿、知识面、逻辑思维能力、表达能力、心理承受能力、团队精神、实践动手能力等。采用学生自主报名，对报名者进行面试，再结合其以前的课程成绩和综合素质能力最终确定</w:t>
      </w:r>
      <w:r>
        <w:rPr>
          <w:rFonts w:hint="eastAsia" w:ascii="Times New Roman" w:hAnsi="Times New Roman" w:cs="Times New Roman"/>
          <w:kern w:val="2"/>
          <w:sz w:val="24"/>
          <w:szCs w:val="24"/>
          <w:lang w:val="en-US" w:eastAsia="zh-CN" w:bidi="ar-SA"/>
        </w:rPr>
        <w:t>实验班</w:t>
      </w:r>
      <w:r>
        <w:rPr>
          <w:rFonts w:ascii="Times New Roman" w:hAnsi="Times New Roman" w:cs="Times New Roman"/>
          <w:sz w:val="24"/>
          <w:szCs w:val="24"/>
        </w:rPr>
        <w:t>入选学生。学院依据申请学生第一学年综合成绩，按照不低于1:1.2的比例确定进入面试的学生。综合测评成绩总分为100分。按照综合成绩高低进行择优录取。选拔进入</w:t>
      </w:r>
      <w:r>
        <w:rPr>
          <w:rFonts w:hint="eastAsia" w:ascii="Times New Roman" w:hAnsi="Times New Roman" w:cs="Times New Roman"/>
          <w:kern w:val="2"/>
          <w:sz w:val="24"/>
          <w:szCs w:val="24"/>
          <w:lang w:val="en-US" w:eastAsia="zh-CN" w:bidi="ar-SA"/>
        </w:rPr>
        <w:t>实验班</w:t>
      </w:r>
      <w:r>
        <w:rPr>
          <w:rFonts w:ascii="Times New Roman" w:hAnsi="Times New Roman" w:cs="Times New Roman"/>
          <w:sz w:val="24"/>
          <w:szCs w:val="24"/>
        </w:rPr>
        <w:t>的学生名单，在全院范围内公示三个工作日，无异议后方能生效。</w:t>
      </w:r>
    </w:p>
    <w:p w14:paraId="1E988ACC">
      <w:pPr>
        <w:spacing w:line="360" w:lineRule="auto"/>
        <w:rPr>
          <w:rFonts w:ascii="Times New Roman" w:hAnsi="Times New Roman" w:cs="Times New Roman"/>
          <w:sz w:val="24"/>
          <w:szCs w:val="24"/>
        </w:rPr>
      </w:pPr>
      <w:r>
        <w:rPr>
          <w:rFonts w:ascii="Times New Roman" w:hAnsi="Times New Roman" w:cs="Times New Roman"/>
          <w:sz w:val="24"/>
          <w:szCs w:val="24"/>
        </w:rPr>
        <w:t>3、综合成绩计算方法</w:t>
      </w:r>
    </w:p>
    <w:p w14:paraId="5D1164BD">
      <w:pPr>
        <w:spacing w:line="360" w:lineRule="auto"/>
        <w:ind w:firstLine="480" w:firstLineChars="200"/>
        <w:rPr>
          <w:rFonts w:ascii="Times New Roman" w:hAnsi="Times New Roman" w:cs="Times New Roman"/>
          <w:sz w:val="24"/>
          <w:szCs w:val="24"/>
        </w:rPr>
      </w:pPr>
      <w:r>
        <w:rPr>
          <w:rFonts w:ascii="Times New Roman" w:hAnsi="Times New Roman" w:cs="Times New Roman"/>
          <w:sz w:val="24"/>
          <w:szCs w:val="24"/>
        </w:rPr>
        <w:t>综合成绩由学生的学业成绩、奖励分成绩和综合测评成绩组成，计算公式为：综合成绩=学业成绩×</w:t>
      </w:r>
      <w:r>
        <w:rPr>
          <w:rFonts w:hint="eastAsia" w:ascii="Times New Roman" w:hAnsi="Times New Roman" w:cs="Times New Roman"/>
          <w:sz w:val="24"/>
          <w:szCs w:val="24"/>
          <w:lang w:val="en-US" w:eastAsia="zh-CN"/>
        </w:rPr>
        <w:t>7</w:t>
      </w:r>
      <w:r>
        <w:rPr>
          <w:rFonts w:ascii="Times New Roman" w:hAnsi="Times New Roman" w:cs="Times New Roman"/>
          <w:sz w:val="24"/>
          <w:szCs w:val="24"/>
        </w:rPr>
        <w:t>5%+奖励分成绩×</w:t>
      </w:r>
      <w:r>
        <w:rPr>
          <w:rFonts w:hint="eastAsia" w:ascii="Times New Roman" w:hAnsi="Times New Roman" w:cs="Times New Roman"/>
          <w:sz w:val="24"/>
          <w:szCs w:val="24"/>
          <w:lang w:val="en-US" w:eastAsia="zh-CN"/>
        </w:rPr>
        <w:t>10</w:t>
      </w:r>
      <w:r>
        <w:rPr>
          <w:rFonts w:ascii="Times New Roman" w:hAnsi="Times New Roman" w:cs="Times New Roman"/>
          <w:sz w:val="24"/>
          <w:szCs w:val="24"/>
        </w:rPr>
        <w:t>% +综合测评成绩×</w:t>
      </w:r>
      <w:r>
        <w:rPr>
          <w:rFonts w:hint="eastAsia" w:ascii="Times New Roman" w:hAnsi="Times New Roman" w:cs="Times New Roman"/>
          <w:sz w:val="24"/>
          <w:szCs w:val="24"/>
          <w:lang w:val="en-US" w:eastAsia="zh-CN"/>
        </w:rPr>
        <w:t>15</w:t>
      </w:r>
      <w:r>
        <w:rPr>
          <w:rFonts w:ascii="Times New Roman" w:hAnsi="Times New Roman" w:cs="Times New Roman"/>
          <w:sz w:val="24"/>
          <w:szCs w:val="24"/>
        </w:rPr>
        <w:t>%。</w:t>
      </w:r>
    </w:p>
    <w:p w14:paraId="7F527C13">
      <w:pPr>
        <w:spacing w:line="360" w:lineRule="auto"/>
        <w:ind w:firstLine="480" w:firstLineChars="200"/>
        <w:rPr>
          <w:rFonts w:ascii="Times New Roman" w:hAnsi="Times New Roman" w:cs="Times New Roman"/>
          <w:sz w:val="24"/>
          <w:szCs w:val="24"/>
        </w:rPr>
      </w:pPr>
      <w:r>
        <w:rPr>
          <w:rFonts w:ascii="Times New Roman" w:hAnsi="Times New Roman" w:cs="Times New Roman"/>
          <w:sz w:val="24"/>
          <w:szCs w:val="24"/>
        </w:rPr>
        <w:t>学业成绩为学生培养方案有学分要求的所有已修课程的平均成绩，换算公式为：学业成绩=50+平均学分绩点（GPA）×10。</w:t>
      </w:r>
    </w:p>
    <w:p w14:paraId="1A6EE7CE">
      <w:pPr>
        <w:spacing w:line="360" w:lineRule="auto"/>
        <w:ind w:firstLine="480" w:firstLineChars="200"/>
        <w:rPr>
          <w:rFonts w:ascii="Times New Roman" w:hAnsi="Times New Roman" w:cs="Times New Roman"/>
          <w:sz w:val="24"/>
          <w:szCs w:val="24"/>
        </w:rPr>
      </w:pPr>
      <w:r>
        <w:rPr>
          <w:rFonts w:ascii="Times New Roman" w:hAnsi="Times New Roman" w:cs="Times New Roman"/>
          <w:sz w:val="24"/>
          <w:szCs w:val="24"/>
        </w:rPr>
        <w:t>奖励分成绩总分为100分，换算公式为：奖励分成绩=奖励分之和÷15×100，奖励分为学生获得各级表彰、学科竞赛奖项以及公开发表学术论文、各类发明等，学校按照</w:t>
      </w:r>
      <w:r>
        <w:rPr>
          <w:rFonts w:hint="eastAsia" w:ascii="Times New Roman" w:hAnsi="Times New Roman" w:cs="Times New Roman"/>
          <w:sz w:val="24"/>
          <w:szCs w:val="24"/>
          <w:lang w:val="en-US" w:eastAsia="zh-CN"/>
        </w:rPr>
        <w:t>一</w:t>
      </w:r>
      <w:r>
        <w:rPr>
          <w:rFonts w:ascii="Times New Roman" w:hAnsi="Times New Roman" w:cs="Times New Roman"/>
          <w:sz w:val="24"/>
          <w:szCs w:val="24"/>
        </w:rPr>
        <w:t>定的标准给予奖励积分，但各项奖励分累计不超过15分。</w:t>
      </w:r>
    </w:p>
    <w:p w14:paraId="2BBF89E7">
      <w:pPr>
        <w:spacing w:line="360" w:lineRule="auto"/>
        <w:rPr>
          <w:rFonts w:ascii="Times New Roman" w:hAnsi="Times New Roman" w:cs="Times New Roman"/>
          <w:sz w:val="24"/>
          <w:szCs w:val="24"/>
        </w:rPr>
      </w:pPr>
      <w:r>
        <w:rPr>
          <w:rFonts w:ascii="Times New Roman" w:hAnsi="Times New Roman" w:cs="Times New Roman"/>
          <w:sz w:val="24"/>
          <w:szCs w:val="24"/>
        </w:rPr>
        <w:t>4、奖励分具体计分办法为：</w:t>
      </w:r>
    </w:p>
    <w:p w14:paraId="5EF36DA4">
      <w:pPr>
        <w:spacing w:line="360" w:lineRule="auto"/>
        <w:ind w:firstLine="480" w:firstLineChars="200"/>
        <w:rPr>
          <w:rFonts w:ascii="Times New Roman" w:hAnsi="Times New Roman" w:cs="Times New Roman"/>
          <w:sz w:val="24"/>
          <w:szCs w:val="24"/>
        </w:rPr>
      </w:pPr>
      <w:r>
        <w:rPr>
          <w:rFonts w:hint="eastAsia" w:ascii="Times New Roman" w:hAnsi="Times New Roman" w:cs="Times New Roman"/>
          <w:sz w:val="24"/>
          <w:szCs w:val="24"/>
        </w:rPr>
        <w:t>(1)获全国、湖北省优秀共青团员（团干部）荣誉称号者分别奖励5分、3分；获中国、湖北省青年五四奖章者分别奖励5分、3分；获中国青年志愿者优秀个人奖、湖北省青年志愿者优秀个人奖分别奖励5分、3分；获全国、湖北向上向善好青年荣誉称号者分别奖励5分、3分；获全国、省部级铸牢中华民族共同体意识类荣誉表彰者分别奖励5分、3分。以团委认定的为准。</w:t>
      </w:r>
    </w:p>
    <w:p w14:paraId="0CF14EAF">
      <w:pPr>
        <w:spacing w:line="360" w:lineRule="auto"/>
        <w:ind w:firstLine="480" w:firstLineChars="200"/>
        <w:rPr>
          <w:rFonts w:ascii="Times New Roman" w:hAnsi="Times New Roman" w:cs="Times New Roman"/>
          <w:sz w:val="24"/>
          <w:szCs w:val="24"/>
        </w:rPr>
      </w:pPr>
      <w:r>
        <w:rPr>
          <w:rFonts w:hint="eastAsia" w:ascii="Times New Roman" w:hAnsi="Times New Roman" w:cs="Times New Roman"/>
          <w:sz w:val="24"/>
          <w:szCs w:val="24"/>
        </w:rPr>
        <w:t>(2)创新创业类学科竞赛获奖按下表计算奖励分值：</w:t>
      </w:r>
    </w:p>
    <w:tbl>
      <w:tblPr>
        <w:tblStyle w:val="4"/>
        <w:tblW w:w="0" w:type="auto"/>
        <w:tblCellSpacing w:w="0" w:type="dxa"/>
        <w:tblInd w:w="0" w:type="dxa"/>
        <w:shd w:val="clear" w:color="auto" w:fill="FFFFFF"/>
        <w:tblLayout w:type="autofit"/>
        <w:tblCellMar>
          <w:top w:w="0" w:type="dxa"/>
          <w:left w:w="0" w:type="dxa"/>
          <w:bottom w:w="0" w:type="dxa"/>
          <w:right w:w="0" w:type="dxa"/>
        </w:tblCellMar>
      </w:tblPr>
      <w:tblGrid>
        <w:gridCol w:w="1095"/>
        <w:gridCol w:w="1740"/>
        <w:gridCol w:w="1425"/>
        <w:gridCol w:w="1425"/>
        <w:gridCol w:w="1425"/>
        <w:gridCol w:w="1425"/>
      </w:tblGrid>
      <w:tr w14:paraId="32DAEC11">
        <w:tblPrEx>
          <w:tblCellMar>
            <w:top w:w="0" w:type="dxa"/>
            <w:left w:w="0" w:type="dxa"/>
            <w:bottom w:w="0" w:type="dxa"/>
            <w:right w:w="0" w:type="dxa"/>
          </w:tblCellMar>
        </w:tblPrEx>
        <w:trPr>
          <w:tblCellSpacing w:w="0" w:type="dxa"/>
        </w:trPr>
        <w:tc>
          <w:tcPr>
            <w:tcW w:w="8535" w:type="dxa"/>
            <w:gridSpan w:val="6"/>
            <w:tcBorders>
              <w:top w:val="single" w:color="000000" w:sz="6" w:space="0"/>
              <w:left w:val="single" w:color="000000" w:sz="6" w:space="0"/>
              <w:bottom w:val="single" w:color="000000" w:sz="6" w:space="0"/>
              <w:right w:val="single" w:color="000000" w:sz="6" w:space="0"/>
            </w:tcBorders>
            <w:shd w:val="clear" w:color="auto" w:fill="FFFFFF"/>
            <w:tcMar>
              <w:top w:w="0" w:type="dxa"/>
              <w:left w:w="105" w:type="dxa"/>
              <w:bottom w:w="0" w:type="dxa"/>
              <w:right w:w="105" w:type="dxa"/>
            </w:tcMar>
          </w:tcPr>
          <w:p w14:paraId="6BC655EA">
            <w:pPr>
              <w:spacing w:line="360" w:lineRule="auto"/>
              <w:jc w:val="center"/>
              <w:rPr>
                <w:rFonts w:ascii="Times New Roman" w:hAnsi="Times New Roman" w:cs="Times New Roman"/>
                <w:sz w:val="24"/>
                <w:szCs w:val="24"/>
              </w:rPr>
            </w:pPr>
            <w:r>
              <w:rPr>
                <w:rFonts w:hint="eastAsia" w:ascii="Times New Roman" w:hAnsi="Times New Roman" w:cs="Times New Roman"/>
                <w:b/>
                <w:bCs/>
                <w:sz w:val="24"/>
                <w:szCs w:val="24"/>
              </w:rPr>
              <w:t>创新创业类竞赛奖励分值表</w:t>
            </w:r>
          </w:p>
        </w:tc>
      </w:tr>
      <w:tr w14:paraId="41D50580">
        <w:tblPrEx>
          <w:shd w:val="clear" w:color="auto" w:fill="FFFFFF"/>
          <w:tblCellMar>
            <w:top w:w="0" w:type="dxa"/>
            <w:left w:w="0" w:type="dxa"/>
            <w:bottom w:w="0" w:type="dxa"/>
            <w:right w:w="0" w:type="dxa"/>
          </w:tblCellMar>
        </w:tblPrEx>
        <w:trPr>
          <w:tblCellSpacing w:w="0" w:type="dxa"/>
        </w:trPr>
        <w:tc>
          <w:tcPr>
            <w:tcW w:w="2835" w:type="dxa"/>
            <w:gridSpan w:val="2"/>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tcPr>
          <w:p w14:paraId="139F1DF9">
            <w:pPr>
              <w:spacing w:line="360" w:lineRule="auto"/>
              <w:jc w:val="center"/>
              <w:rPr>
                <w:rFonts w:ascii="Times New Roman" w:hAnsi="Times New Roman" w:cs="Times New Roman"/>
                <w:sz w:val="24"/>
                <w:szCs w:val="24"/>
              </w:rPr>
            </w:pPr>
            <w:r>
              <w:rPr>
                <w:rFonts w:hint="eastAsia" w:ascii="Times New Roman" w:hAnsi="Times New Roman" w:cs="Times New Roman"/>
                <w:b/>
                <w:bCs/>
                <w:sz w:val="24"/>
                <w:szCs w:val="24"/>
              </w:rPr>
              <w:t>竞赛等级</w:t>
            </w:r>
          </w:p>
        </w:tc>
        <w:tc>
          <w:tcPr>
            <w:tcW w:w="1425"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5A4D8C1B">
            <w:pPr>
              <w:spacing w:line="360" w:lineRule="auto"/>
              <w:jc w:val="center"/>
              <w:rPr>
                <w:rFonts w:ascii="Times New Roman" w:hAnsi="Times New Roman" w:cs="Times New Roman"/>
                <w:sz w:val="24"/>
                <w:szCs w:val="24"/>
              </w:rPr>
            </w:pPr>
            <w:r>
              <w:rPr>
                <w:rFonts w:hint="eastAsia" w:ascii="Times New Roman" w:hAnsi="Times New Roman" w:cs="Times New Roman"/>
                <w:b/>
                <w:bCs/>
                <w:sz w:val="24"/>
                <w:szCs w:val="24"/>
              </w:rPr>
              <w:t>特等奖</w:t>
            </w:r>
          </w:p>
        </w:tc>
        <w:tc>
          <w:tcPr>
            <w:tcW w:w="1425"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6C04DFEB">
            <w:pPr>
              <w:spacing w:line="360" w:lineRule="auto"/>
              <w:jc w:val="center"/>
              <w:rPr>
                <w:rFonts w:ascii="Times New Roman" w:hAnsi="Times New Roman" w:cs="Times New Roman"/>
                <w:sz w:val="24"/>
                <w:szCs w:val="24"/>
              </w:rPr>
            </w:pPr>
            <w:r>
              <w:rPr>
                <w:rFonts w:hint="eastAsia" w:ascii="Times New Roman" w:hAnsi="Times New Roman" w:cs="Times New Roman"/>
                <w:b/>
                <w:bCs/>
                <w:sz w:val="24"/>
                <w:szCs w:val="24"/>
              </w:rPr>
              <w:t>一等奖</w:t>
            </w:r>
          </w:p>
        </w:tc>
        <w:tc>
          <w:tcPr>
            <w:tcW w:w="1425"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120F1ABB">
            <w:pPr>
              <w:spacing w:line="360" w:lineRule="auto"/>
              <w:jc w:val="center"/>
              <w:rPr>
                <w:rFonts w:ascii="Times New Roman" w:hAnsi="Times New Roman" w:cs="Times New Roman"/>
                <w:sz w:val="24"/>
                <w:szCs w:val="24"/>
              </w:rPr>
            </w:pPr>
            <w:r>
              <w:rPr>
                <w:rFonts w:hint="eastAsia" w:ascii="Times New Roman" w:hAnsi="Times New Roman" w:cs="Times New Roman"/>
                <w:b/>
                <w:bCs/>
                <w:sz w:val="24"/>
                <w:szCs w:val="24"/>
              </w:rPr>
              <w:t>二等奖</w:t>
            </w:r>
          </w:p>
        </w:tc>
        <w:tc>
          <w:tcPr>
            <w:tcW w:w="1425"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6881422F">
            <w:pPr>
              <w:spacing w:line="360" w:lineRule="auto"/>
              <w:jc w:val="center"/>
              <w:rPr>
                <w:rFonts w:ascii="Times New Roman" w:hAnsi="Times New Roman" w:cs="Times New Roman"/>
                <w:sz w:val="24"/>
                <w:szCs w:val="24"/>
              </w:rPr>
            </w:pPr>
            <w:r>
              <w:rPr>
                <w:rFonts w:hint="eastAsia" w:ascii="Times New Roman" w:hAnsi="Times New Roman" w:cs="Times New Roman"/>
                <w:b/>
                <w:bCs/>
                <w:sz w:val="24"/>
                <w:szCs w:val="24"/>
              </w:rPr>
              <w:t>三等奖</w:t>
            </w:r>
          </w:p>
        </w:tc>
      </w:tr>
      <w:tr w14:paraId="493CAF8B">
        <w:tblPrEx>
          <w:shd w:val="clear" w:color="auto" w:fill="FFFFFF"/>
          <w:tblCellMar>
            <w:top w:w="0" w:type="dxa"/>
            <w:left w:w="0" w:type="dxa"/>
            <w:bottom w:w="0" w:type="dxa"/>
            <w:right w:w="0" w:type="dxa"/>
          </w:tblCellMar>
        </w:tblPrEx>
        <w:trPr>
          <w:trHeight w:val="173" w:hRule="atLeast"/>
          <w:tblCellSpacing w:w="0" w:type="dxa"/>
        </w:trPr>
        <w:tc>
          <w:tcPr>
            <w:tcW w:w="1095" w:type="dxa"/>
            <w:vMerge w:val="restart"/>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14:paraId="2440E614">
            <w:pPr>
              <w:spacing w:line="360" w:lineRule="auto"/>
              <w:jc w:val="center"/>
              <w:rPr>
                <w:rFonts w:ascii="Times New Roman" w:hAnsi="Times New Roman" w:cs="Times New Roman"/>
                <w:sz w:val="24"/>
                <w:szCs w:val="24"/>
              </w:rPr>
            </w:pPr>
            <w:r>
              <w:rPr>
                <w:rFonts w:hint="eastAsia" w:ascii="Times New Roman" w:hAnsi="Times New Roman" w:cs="Times New Roman"/>
                <w:b/>
                <w:bCs/>
                <w:sz w:val="24"/>
                <w:szCs w:val="24"/>
              </w:rPr>
              <w:t>国</w:t>
            </w:r>
          </w:p>
          <w:p w14:paraId="68C75A4A">
            <w:pPr>
              <w:spacing w:line="360" w:lineRule="auto"/>
              <w:jc w:val="center"/>
              <w:rPr>
                <w:rFonts w:ascii="Times New Roman" w:hAnsi="Times New Roman" w:cs="Times New Roman"/>
                <w:sz w:val="24"/>
                <w:szCs w:val="24"/>
              </w:rPr>
            </w:pPr>
            <w:r>
              <w:rPr>
                <w:rFonts w:hint="eastAsia" w:ascii="Times New Roman" w:hAnsi="Times New Roman" w:cs="Times New Roman"/>
                <w:b/>
                <w:bCs/>
                <w:sz w:val="24"/>
                <w:szCs w:val="24"/>
              </w:rPr>
              <w:t>家</w:t>
            </w:r>
          </w:p>
          <w:p w14:paraId="42DFBE98">
            <w:pPr>
              <w:spacing w:line="360" w:lineRule="auto"/>
              <w:jc w:val="center"/>
              <w:rPr>
                <w:rFonts w:ascii="Times New Roman" w:hAnsi="Times New Roman" w:cs="Times New Roman"/>
                <w:sz w:val="24"/>
                <w:szCs w:val="24"/>
              </w:rPr>
            </w:pPr>
            <w:r>
              <w:rPr>
                <w:rFonts w:hint="eastAsia" w:ascii="Times New Roman" w:hAnsi="Times New Roman" w:cs="Times New Roman"/>
                <w:b/>
                <w:bCs/>
                <w:sz w:val="24"/>
                <w:szCs w:val="24"/>
              </w:rPr>
              <w:t>级</w:t>
            </w:r>
          </w:p>
        </w:tc>
        <w:tc>
          <w:tcPr>
            <w:tcW w:w="1740"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14:paraId="1C9FB4C6">
            <w:pPr>
              <w:spacing w:line="360" w:lineRule="auto"/>
              <w:jc w:val="center"/>
              <w:rPr>
                <w:rFonts w:ascii="Times New Roman" w:hAnsi="Times New Roman" w:cs="Times New Roman"/>
                <w:sz w:val="24"/>
                <w:szCs w:val="24"/>
              </w:rPr>
            </w:pPr>
            <w:r>
              <w:rPr>
                <w:rFonts w:ascii="Times New Roman" w:hAnsi="Times New Roman" w:cs="Times New Roman"/>
                <w:sz w:val="24"/>
                <w:szCs w:val="24"/>
              </w:rPr>
              <w:t>A</w:t>
            </w:r>
          </w:p>
        </w:tc>
        <w:tc>
          <w:tcPr>
            <w:tcW w:w="2850" w:type="dxa"/>
            <w:gridSpan w:val="2"/>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35E6C475">
            <w:pPr>
              <w:spacing w:line="360" w:lineRule="auto"/>
              <w:jc w:val="center"/>
              <w:rPr>
                <w:rFonts w:ascii="Times New Roman" w:hAnsi="Times New Roman" w:cs="Times New Roman"/>
                <w:sz w:val="24"/>
                <w:szCs w:val="24"/>
              </w:rPr>
            </w:pPr>
            <w:r>
              <w:rPr>
                <w:rFonts w:ascii="Times New Roman" w:hAnsi="Times New Roman" w:cs="Times New Roman"/>
                <w:b/>
                <w:bCs/>
                <w:sz w:val="24"/>
                <w:szCs w:val="24"/>
              </w:rPr>
              <w:t>15</w:t>
            </w:r>
          </w:p>
        </w:tc>
        <w:tc>
          <w:tcPr>
            <w:tcW w:w="1425"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710B7CA4">
            <w:pPr>
              <w:spacing w:line="360" w:lineRule="auto"/>
              <w:jc w:val="center"/>
              <w:rPr>
                <w:rFonts w:ascii="Times New Roman" w:hAnsi="Times New Roman" w:cs="Times New Roman"/>
                <w:sz w:val="24"/>
                <w:szCs w:val="24"/>
              </w:rPr>
            </w:pPr>
            <w:r>
              <w:rPr>
                <w:rFonts w:ascii="Times New Roman" w:hAnsi="Times New Roman" w:cs="Times New Roman"/>
                <w:b/>
                <w:bCs/>
                <w:sz w:val="24"/>
                <w:szCs w:val="24"/>
              </w:rPr>
              <w:t>9</w:t>
            </w:r>
          </w:p>
        </w:tc>
        <w:tc>
          <w:tcPr>
            <w:tcW w:w="1425"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60B98BFF">
            <w:pPr>
              <w:spacing w:line="360" w:lineRule="auto"/>
              <w:jc w:val="center"/>
              <w:rPr>
                <w:rFonts w:ascii="Times New Roman" w:hAnsi="Times New Roman" w:cs="Times New Roman"/>
                <w:sz w:val="24"/>
                <w:szCs w:val="24"/>
              </w:rPr>
            </w:pPr>
            <w:r>
              <w:rPr>
                <w:rFonts w:ascii="Times New Roman" w:hAnsi="Times New Roman" w:cs="Times New Roman"/>
                <w:b/>
                <w:bCs/>
                <w:sz w:val="24"/>
                <w:szCs w:val="24"/>
              </w:rPr>
              <w:t>7</w:t>
            </w:r>
          </w:p>
        </w:tc>
      </w:tr>
      <w:tr w14:paraId="5169733E">
        <w:tblPrEx>
          <w:tblCellMar>
            <w:top w:w="0" w:type="dxa"/>
            <w:left w:w="0" w:type="dxa"/>
            <w:bottom w:w="0" w:type="dxa"/>
            <w:right w:w="0" w:type="dxa"/>
          </w:tblCellMar>
        </w:tblPrEx>
        <w:trPr>
          <w:tblCellSpacing w:w="0" w:type="dxa"/>
        </w:trPr>
        <w:tc>
          <w:tcPr>
            <w:tcW w:w="0" w:type="auto"/>
            <w:vMerge w:val="continue"/>
            <w:tcBorders>
              <w:top w:val="nil"/>
              <w:left w:val="single" w:color="000000" w:sz="6" w:space="0"/>
              <w:bottom w:val="single" w:color="000000" w:sz="6" w:space="0"/>
              <w:right w:val="single" w:color="000000" w:sz="6" w:space="0"/>
            </w:tcBorders>
            <w:shd w:val="clear" w:color="auto" w:fill="FFFFFF"/>
            <w:vAlign w:val="center"/>
          </w:tcPr>
          <w:p w14:paraId="382755A4">
            <w:pPr>
              <w:spacing w:line="360" w:lineRule="auto"/>
              <w:ind w:firstLine="480" w:firstLineChars="200"/>
              <w:jc w:val="center"/>
              <w:rPr>
                <w:rFonts w:ascii="Times New Roman" w:hAnsi="Times New Roman" w:cs="Times New Roman"/>
                <w:sz w:val="24"/>
                <w:szCs w:val="24"/>
              </w:rPr>
            </w:pPr>
          </w:p>
        </w:tc>
        <w:tc>
          <w:tcPr>
            <w:tcW w:w="1740"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14:paraId="580D4EDE">
            <w:pPr>
              <w:spacing w:line="360" w:lineRule="auto"/>
              <w:jc w:val="center"/>
              <w:rPr>
                <w:rFonts w:ascii="Times New Roman" w:hAnsi="Times New Roman" w:cs="Times New Roman"/>
                <w:sz w:val="24"/>
                <w:szCs w:val="24"/>
              </w:rPr>
            </w:pPr>
            <w:r>
              <w:rPr>
                <w:rFonts w:ascii="Times New Roman" w:hAnsi="Times New Roman" w:cs="Times New Roman"/>
                <w:sz w:val="24"/>
                <w:szCs w:val="24"/>
              </w:rPr>
              <w:t>B</w:t>
            </w:r>
          </w:p>
        </w:tc>
        <w:tc>
          <w:tcPr>
            <w:tcW w:w="1425"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11976FC5">
            <w:pPr>
              <w:spacing w:line="360" w:lineRule="auto"/>
              <w:jc w:val="center"/>
              <w:rPr>
                <w:rFonts w:ascii="Times New Roman" w:hAnsi="Times New Roman" w:cs="Times New Roman"/>
                <w:sz w:val="24"/>
                <w:szCs w:val="24"/>
              </w:rPr>
            </w:pPr>
            <w:r>
              <w:rPr>
                <w:rFonts w:ascii="Times New Roman" w:hAnsi="Times New Roman" w:cs="Times New Roman"/>
                <w:b/>
                <w:bCs/>
                <w:sz w:val="24"/>
                <w:szCs w:val="24"/>
              </w:rPr>
              <w:t>9</w:t>
            </w:r>
          </w:p>
        </w:tc>
        <w:tc>
          <w:tcPr>
            <w:tcW w:w="1425"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79A7993A">
            <w:pPr>
              <w:spacing w:line="360" w:lineRule="auto"/>
              <w:jc w:val="center"/>
              <w:rPr>
                <w:rFonts w:ascii="Times New Roman" w:hAnsi="Times New Roman" w:cs="Times New Roman"/>
                <w:sz w:val="24"/>
                <w:szCs w:val="24"/>
              </w:rPr>
            </w:pPr>
            <w:r>
              <w:rPr>
                <w:rFonts w:ascii="Times New Roman" w:hAnsi="Times New Roman" w:cs="Times New Roman"/>
                <w:b/>
                <w:bCs/>
                <w:sz w:val="24"/>
                <w:szCs w:val="24"/>
              </w:rPr>
              <w:t>7</w:t>
            </w:r>
          </w:p>
        </w:tc>
        <w:tc>
          <w:tcPr>
            <w:tcW w:w="1425"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2DAE3CE8">
            <w:pPr>
              <w:spacing w:line="360" w:lineRule="auto"/>
              <w:jc w:val="center"/>
              <w:rPr>
                <w:rFonts w:ascii="Times New Roman" w:hAnsi="Times New Roman" w:cs="Times New Roman"/>
                <w:sz w:val="24"/>
                <w:szCs w:val="24"/>
              </w:rPr>
            </w:pPr>
            <w:r>
              <w:rPr>
                <w:rFonts w:ascii="Times New Roman" w:hAnsi="Times New Roman" w:cs="Times New Roman"/>
                <w:b/>
                <w:bCs/>
                <w:sz w:val="24"/>
                <w:szCs w:val="24"/>
              </w:rPr>
              <w:t>6</w:t>
            </w:r>
          </w:p>
        </w:tc>
        <w:tc>
          <w:tcPr>
            <w:tcW w:w="1425"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10636D6C">
            <w:pPr>
              <w:spacing w:line="360" w:lineRule="auto"/>
              <w:jc w:val="center"/>
              <w:rPr>
                <w:rFonts w:ascii="Times New Roman" w:hAnsi="Times New Roman" w:cs="Times New Roman"/>
                <w:sz w:val="24"/>
                <w:szCs w:val="24"/>
              </w:rPr>
            </w:pPr>
            <w:r>
              <w:rPr>
                <w:rFonts w:ascii="Times New Roman" w:hAnsi="Times New Roman" w:cs="Times New Roman"/>
                <w:b/>
                <w:bCs/>
                <w:sz w:val="24"/>
                <w:szCs w:val="24"/>
              </w:rPr>
              <w:t>5</w:t>
            </w:r>
          </w:p>
        </w:tc>
      </w:tr>
      <w:tr w14:paraId="73DC08E5">
        <w:tblPrEx>
          <w:tblCellMar>
            <w:top w:w="0" w:type="dxa"/>
            <w:left w:w="0" w:type="dxa"/>
            <w:bottom w:w="0" w:type="dxa"/>
            <w:right w:w="0" w:type="dxa"/>
          </w:tblCellMar>
        </w:tblPrEx>
        <w:trPr>
          <w:tblCellSpacing w:w="0" w:type="dxa"/>
        </w:trPr>
        <w:tc>
          <w:tcPr>
            <w:tcW w:w="0" w:type="auto"/>
            <w:vMerge w:val="continue"/>
            <w:tcBorders>
              <w:top w:val="nil"/>
              <w:left w:val="single" w:color="000000" w:sz="6" w:space="0"/>
              <w:bottom w:val="single" w:color="000000" w:sz="6" w:space="0"/>
              <w:right w:val="single" w:color="000000" w:sz="6" w:space="0"/>
            </w:tcBorders>
            <w:shd w:val="clear" w:color="auto" w:fill="FFFFFF"/>
            <w:vAlign w:val="center"/>
          </w:tcPr>
          <w:p w14:paraId="5576F567">
            <w:pPr>
              <w:spacing w:line="360" w:lineRule="auto"/>
              <w:ind w:firstLine="480" w:firstLineChars="200"/>
              <w:jc w:val="center"/>
              <w:rPr>
                <w:rFonts w:ascii="Times New Roman" w:hAnsi="Times New Roman" w:cs="Times New Roman"/>
                <w:sz w:val="24"/>
                <w:szCs w:val="24"/>
              </w:rPr>
            </w:pPr>
          </w:p>
        </w:tc>
        <w:tc>
          <w:tcPr>
            <w:tcW w:w="1740"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14:paraId="4FB14F20">
            <w:pPr>
              <w:spacing w:line="360" w:lineRule="auto"/>
              <w:jc w:val="center"/>
              <w:rPr>
                <w:rFonts w:ascii="Times New Roman" w:hAnsi="Times New Roman" w:cs="Times New Roman"/>
                <w:sz w:val="24"/>
                <w:szCs w:val="24"/>
              </w:rPr>
            </w:pPr>
            <w:r>
              <w:rPr>
                <w:rFonts w:ascii="Times New Roman" w:hAnsi="Times New Roman" w:cs="Times New Roman"/>
                <w:sz w:val="24"/>
                <w:szCs w:val="24"/>
              </w:rPr>
              <w:t>C</w:t>
            </w:r>
          </w:p>
        </w:tc>
        <w:tc>
          <w:tcPr>
            <w:tcW w:w="1425"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60356F3E">
            <w:pPr>
              <w:spacing w:line="360" w:lineRule="auto"/>
              <w:jc w:val="center"/>
              <w:rPr>
                <w:rFonts w:ascii="Times New Roman" w:hAnsi="Times New Roman" w:cs="Times New Roman"/>
                <w:sz w:val="24"/>
                <w:szCs w:val="24"/>
              </w:rPr>
            </w:pPr>
            <w:r>
              <w:rPr>
                <w:rFonts w:ascii="Times New Roman" w:hAnsi="Times New Roman" w:cs="Times New Roman"/>
                <w:b/>
                <w:bCs/>
                <w:sz w:val="24"/>
                <w:szCs w:val="24"/>
              </w:rPr>
              <w:t>7</w:t>
            </w:r>
          </w:p>
        </w:tc>
        <w:tc>
          <w:tcPr>
            <w:tcW w:w="1425"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7CF97795">
            <w:pPr>
              <w:spacing w:line="360" w:lineRule="auto"/>
              <w:jc w:val="center"/>
              <w:rPr>
                <w:rFonts w:ascii="Times New Roman" w:hAnsi="Times New Roman" w:cs="Times New Roman"/>
                <w:sz w:val="24"/>
                <w:szCs w:val="24"/>
              </w:rPr>
            </w:pPr>
            <w:r>
              <w:rPr>
                <w:rFonts w:ascii="Times New Roman" w:hAnsi="Times New Roman" w:cs="Times New Roman"/>
                <w:b/>
                <w:bCs/>
                <w:sz w:val="24"/>
                <w:szCs w:val="24"/>
              </w:rPr>
              <w:t>6</w:t>
            </w:r>
          </w:p>
        </w:tc>
        <w:tc>
          <w:tcPr>
            <w:tcW w:w="1425"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096D9C13">
            <w:pPr>
              <w:spacing w:line="360" w:lineRule="auto"/>
              <w:jc w:val="center"/>
              <w:rPr>
                <w:rFonts w:ascii="Times New Roman" w:hAnsi="Times New Roman" w:cs="Times New Roman"/>
                <w:sz w:val="24"/>
                <w:szCs w:val="24"/>
              </w:rPr>
            </w:pPr>
            <w:r>
              <w:rPr>
                <w:rFonts w:ascii="Times New Roman" w:hAnsi="Times New Roman" w:cs="Times New Roman"/>
                <w:b/>
                <w:bCs/>
                <w:sz w:val="24"/>
                <w:szCs w:val="24"/>
              </w:rPr>
              <w:t>5</w:t>
            </w:r>
          </w:p>
        </w:tc>
        <w:tc>
          <w:tcPr>
            <w:tcW w:w="1425"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4D092BA4">
            <w:pPr>
              <w:spacing w:line="360" w:lineRule="auto"/>
              <w:jc w:val="center"/>
              <w:rPr>
                <w:rFonts w:ascii="Times New Roman" w:hAnsi="Times New Roman" w:cs="Times New Roman"/>
                <w:sz w:val="24"/>
                <w:szCs w:val="24"/>
              </w:rPr>
            </w:pPr>
            <w:r>
              <w:rPr>
                <w:rFonts w:ascii="Times New Roman" w:hAnsi="Times New Roman" w:cs="Times New Roman"/>
                <w:b/>
                <w:bCs/>
                <w:sz w:val="24"/>
                <w:szCs w:val="24"/>
              </w:rPr>
              <w:t>4</w:t>
            </w:r>
          </w:p>
        </w:tc>
      </w:tr>
      <w:tr w14:paraId="1BD7BAB5">
        <w:tblPrEx>
          <w:shd w:val="clear" w:color="auto" w:fill="FFFFFF"/>
          <w:tblCellMar>
            <w:top w:w="0" w:type="dxa"/>
            <w:left w:w="0" w:type="dxa"/>
            <w:bottom w:w="0" w:type="dxa"/>
            <w:right w:w="0" w:type="dxa"/>
          </w:tblCellMar>
        </w:tblPrEx>
        <w:trPr>
          <w:tblCellSpacing w:w="0" w:type="dxa"/>
        </w:trPr>
        <w:tc>
          <w:tcPr>
            <w:tcW w:w="0" w:type="auto"/>
            <w:vMerge w:val="continue"/>
            <w:tcBorders>
              <w:top w:val="nil"/>
              <w:left w:val="single" w:color="000000" w:sz="6" w:space="0"/>
              <w:bottom w:val="single" w:color="000000" w:sz="6" w:space="0"/>
              <w:right w:val="single" w:color="000000" w:sz="6" w:space="0"/>
            </w:tcBorders>
            <w:shd w:val="clear" w:color="auto" w:fill="FFFFFF"/>
            <w:vAlign w:val="center"/>
          </w:tcPr>
          <w:p w14:paraId="5B4E1C9F">
            <w:pPr>
              <w:spacing w:line="360" w:lineRule="auto"/>
              <w:ind w:firstLine="480" w:firstLineChars="200"/>
              <w:jc w:val="center"/>
              <w:rPr>
                <w:rFonts w:ascii="Times New Roman" w:hAnsi="Times New Roman" w:cs="Times New Roman"/>
                <w:sz w:val="24"/>
                <w:szCs w:val="24"/>
              </w:rPr>
            </w:pPr>
          </w:p>
        </w:tc>
        <w:tc>
          <w:tcPr>
            <w:tcW w:w="1740"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14:paraId="5EACDB19">
            <w:pPr>
              <w:spacing w:line="360" w:lineRule="auto"/>
              <w:jc w:val="center"/>
              <w:rPr>
                <w:rFonts w:ascii="Times New Roman" w:hAnsi="Times New Roman" w:cs="Times New Roman"/>
                <w:sz w:val="24"/>
                <w:szCs w:val="24"/>
              </w:rPr>
            </w:pPr>
            <w:r>
              <w:rPr>
                <w:rFonts w:ascii="Times New Roman" w:hAnsi="Times New Roman" w:cs="Times New Roman"/>
                <w:sz w:val="24"/>
                <w:szCs w:val="24"/>
              </w:rPr>
              <w:t>D</w:t>
            </w:r>
          </w:p>
        </w:tc>
        <w:tc>
          <w:tcPr>
            <w:tcW w:w="1425"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285E3808">
            <w:pPr>
              <w:spacing w:line="360" w:lineRule="auto"/>
              <w:jc w:val="center"/>
              <w:rPr>
                <w:rFonts w:ascii="Times New Roman" w:hAnsi="Times New Roman" w:cs="Times New Roman"/>
                <w:sz w:val="24"/>
                <w:szCs w:val="24"/>
              </w:rPr>
            </w:pPr>
            <w:r>
              <w:rPr>
                <w:rFonts w:ascii="Times New Roman" w:hAnsi="Times New Roman" w:cs="Times New Roman"/>
                <w:b/>
                <w:bCs/>
                <w:sz w:val="24"/>
                <w:szCs w:val="24"/>
              </w:rPr>
              <w:t>6</w:t>
            </w:r>
          </w:p>
        </w:tc>
        <w:tc>
          <w:tcPr>
            <w:tcW w:w="1425"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41985E9A">
            <w:pPr>
              <w:spacing w:line="360" w:lineRule="auto"/>
              <w:jc w:val="center"/>
              <w:rPr>
                <w:rFonts w:ascii="Times New Roman" w:hAnsi="Times New Roman" w:cs="Times New Roman"/>
                <w:sz w:val="24"/>
                <w:szCs w:val="24"/>
              </w:rPr>
            </w:pPr>
            <w:r>
              <w:rPr>
                <w:rFonts w:ascii="Times New Roman" w:hAnsi="Times New Roman" w:cs="Times New Roman"/>
                <w:b/>
                <w:bCs/>
                <w:sz w:val="24"/>
                <w:szCs w:val="24"/>
              </w:rPr>
              <w:t>5</w:t>
            </w:r>
          </w:p>
        </w:tc>
        <w:tc>
          <w:tcPr>
            <w:tcW w:w="1425"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0D720FAB">
            <w:pPr>
              <w:spacing w:line="360" w:lineRule="auto"/>
              <w:jc w:val="center"/>
              <w:rPr>
                <w:rFonts w:ascii="Times New Roman" w:hAnsi="Times New Roman" w:cs="Times New Roman"/>
                <w:sz w:val="24"/>
                <w:szCs w:val="24"/>
              </w:rPr>
            </w:pPr>
            <w:r>
              <w:rPr>
                <w:rFonts w:ascii="Times New Roman" w:hAnsi="Times New Roman" w:cs="Times New Roman"/>
                <w:b/>
                <w:bCs/>
                <w:sz w:val="24"/>
                <w:szCs w:val="24"/>
              </w:rPr>
              <w:t>4</w:t>
            </w:r>
          </w:p>
        </w:tc>
        <w:tc>
          <w:tcPr>
            <w:tcW w:w="1425"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6BCFBECD">
            <w:pPr>
              <w:spacing w:line="360" w:lineRule="auto"/>
              <w:jc w:val="center"/>
              <w:rPr>
                <w:rFonts w:ascii="Times New Roman" w:hAnsi="Times New Roman" w:cs="Times New Roman"/>
                <w:sz w:val="24"/>
                <w:szCs w:val="24"/>
              </w:rPr>
            </w:pPr>
            <w:r>
              <w:rPr>
                <w:rFonts w:ascii="Times New Roman" w:hAnsi="Times New Roman" w:cs="Times New Roman"/>
                <w:b/>
                <w:bCs/>
                <w:sz w:val="24"/>
                <w:szCs w:val="24"/>
              </w:rPr>
              <w:t>3</w:t>
            </w:r>
          </w:p>
        </w:tc>
      </w:tr>
      <w:tr w14:paraId="41A46DC9">
        <w:tblPrEx>
          <w:tblCellMar>
            <w:top w:w="0" w:type="dxa"/>
            <w:left w:w="0" w:type="dxa"/>
            <w:bottom w:w="0" w:type="dxa"/>
            <w:right w:w="0" w:type="dxa"/>
          </w:tblCellMar>
        </w:tblPrEx>
        <w:trPr>
          <w:trHeight w:val="150" w:hRule="atLeast"/>
          <w:tblCellSpacing w:w="0" w:type="dxa"/>
        </w:trPr>
        <w:tc>
          <w:tcPr>
            <w:tcW w:w="1095" w:type="dxa"/>
            <w:vMerge w:val="restart"/>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14:paraId="3E226B86">
            <w:pPr>
              <w:spacing w:line="360" w:lineRule="auto"/>
              <w:jc w:val="center"/>
              <w:rPr>
                <w:rFonts w:ascii="Times New Roman" w:hAnsi="Times New Roman" w:cs="Times New Roman"/>
                <w:sz w:val="24"/>
                <w:szCs w:val="24"/>
              </w:rPr>
            </w:pPr>
            <w:r>
              <w:rPr>
                <w:rFonts w:hint="eastAsia" w:ascii="Times New Roman" w:hAnsi="Times New Roman" w:cs="Times New Roman"/>
                <w:b/>
                <w:bCs/>
                <w:sz w:val="24"/>
                <w:szCs w:val="24"/>
              </w:rPr>
              <w:t>省</w:t>
            </w:r>
          </w:p>
          <w:p w14:paraId="4983CF3E">
            <w:pPr>
              <w:spacing w:line="360" w:lineRule="auto"/>
              <w:jc w:val="center"/>
              <w:rPr>
                <w:rFonts w:ascii="Times New Roman" w:hAnsi="Times New Roman" w:cs="Times New Roman"/>
                <w:sz w:val="24"/>
                <w:szCs w:val="24"/>
              </w:rPr>
            </w:pPr>
            <w:r>
              <w:rPr>
                <w:rFonts w:hint="eastAsia" w:ascii="Times New Roman" w:hAnsi="Times New Roman" w:cs="Times New Roman"/>
                <w:b/>
                <w:bCs/>
                <w:sz w:val="24"/>
                <w:szCs w:val="24"/>
              </w:rPr>
              <w:t>级</w:t>
            </w:r>
          </w:p>
        </w:tc>
        <w:tc>
          <w:tcPr>
            <w:tcW w:w="1740"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14:paraId="60B25603">
            <w:pPr>
              <w:spacing w:line="360" w:lineRule="auto"/>
              <w:jc w:val="center"/>
              <w:rPr>
                <w:rFonts w:ascii="Times New Roman" w:hAnsi="Times New Roman" w:cs="Times New Roman"/>
                <w:sz w:val="24"/>
                <w:szCs w:val="24"/>
              </w:rPr>
            </w:pPr>
            <w:r>
              <w:rPr>
                <w:rFonts w:ascii="Times New Roman" w:hAnsi="Times New Roman" w:cs="Times New Roman"/>
                <w:sz w:val="24"/>
                <w:szCs w:val="24"/>
              </w:rPr>
              <w:t>A</w:t>
            </w:r>
          </w:p>
        </w:tc>
        <w:tc>
          <w:tcPr>
            <w:tcW w:w="1425"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349A9EC9">
            <w:pPr>
              <w:spacing w:line="360" w:lineRule="auto"/>
              <w:jc w:val="center"/>
              <w:rPr>
                <w:rFonts w:ascii="Times New Roman" w:hAnsi="Times New Roman" w:cs="Times New Roman"/>
                <w:sz w:val="24"/>
                <w:szCs w:val="24"/>
              </w:rPr>
            </w:pPr>
            <w:r>
              <w:rPr>
                <w:rFonts w:ascii="Times New Roman" w:hAnsi="Times New Roman" w:cs="Times New Roman"/>
                <w:b/>
                <w:bCs/>
                <w:sz w:val="24"/>
                <w:szCs w:val="24"/>
              </w:rPr>
              <w:t>5</w:t>
            </w:r>
          </w:p>
        </w:tc>
        <w:tc>
          <w:tcPr>
            <w:tcW w:w="1425"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2ACA5BDD">
            <w:pPr>
              <w:spacing w:line="360" w:lineRule="auto"/>
              <w:jc w:val="center"/>
              <w:rPr>
                <w:rFonts w:ascii="Times New Roman" w:hAnsi="Times New Roman" w:cs="Times New Roman"/>
                <w:sz w:val="24"/>
                <w:szCs w:val="24"/>
              </w:rPr>
            </w:pPr>
            <w:r>
              <w:rPr>
                <w:rFonts w:ascii="Times New Roman" w:hAnsi="Times New Roman" w:cs="Times New Roman"/>
                <w:b/>
                <w:bCs/>
                <w:sz w:val="24"/>
                <w:szCs w:val="24"/>
              </w:rPr>
              <w:t>4</w:t>
            </w:r>
          </w:p>
        </w:tc>
        <w:tc>
          <w:tcPr>
            <w:tcW w:w="1425"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3032F4C5">
            <w:pPr>
              <w:spacing w:line="360" w:lineRule="auto"/>
              <w:jc w:val="center"/>
              <w:rPr>
                <w:rFonts w:ascii="Times New Roman" w:hAnsi="Times New Roman" w:cs="Times New Roman"/>
                <w:sz w:val="24"/>
                <w:szCs w:val="24"/>
              </w:rPr>
            </w:pPr>
            <w:r>
              <w:rPr>
                <w:rFonts w:ascii="Times New Roman" w:hAnsi="Times New Roman" w:cs="Times New Roman"/>
                <w:b/>
                <w:bCs/>
                <w:sz w:val="24"/>
                <w:szCs w:val="24"/>
              </w:rPr>
              <w:t>3</w:t>
            </w:r>
          </w:p>
        </w:tc>
        <w:tc>
          <w:tcPr>
            <w:tcW w:w="1425"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2DE4E7FC">
            <w:pPr>
              <w:spacing w:line="360" w:lineRule="auto"/>
              <w:jc w:val="center"/>
              <w:rPr>
                <w:rFonts w:ascii="Times New Roman" w:hAnsi="Times New Roman" w:cs="Times New Roman"/>
                <w:sz w:val="24"/>
                <w:szCs w:val="24"/>
              </w:rPr>
            </w:pPr>
            <w:r>
              <w:rPr>
                <w:rFonts w:ascii="Times New Roman" w:hAnsi="Times New Roman" w:cs="Times New Roman"/>
                <w:b/>
                <w:bCs/>
                <w:sz w:val="24"/>
                <w:szCs w:val="24"/>
              </w:rPr>
              <w:t>2</w:t>
            </w:r>
          </w:p>
        </w:tc>
      </w:tr>
      <w:tr w14:paraId="78491ED2">
        <w:tblPrEx>
          <w:tblCellMar>
            <w:top w:w="0" w:type="dxa"/>
            <w:left w:w="0" w:type="dxa"/>
            <w:bottom w:w="0" w:type="dxa"/>
            <w:right w:w="0" w:type="dxa"/>
          </w:tblCellMar>
        </w:tblPrEx>
        <w:trPr>
          <w:tblCellSpacing w:w="0" w:type="dxa"/>
        </w:trPr>
        <w:tc>
          <w:tcPr>
            <w:tcW w:w="0" w:type="auto"/>
            <w:vMerge w:val="continue"/>
            <w:tcBorders>
              <w:top w:val="nil"/>
              <w:left w:val="single" w:color="000000" w:sz="6" w:space="0"/>
              <w:bottom w:val="single" w:color="000000" w:sz="6" w:space="0"/>
              <w:right w:val="single" w:color="000000" w:sz="6" w:space="0"/>
            </w:tcBorders>
            <w:shd w:val="clear" w:color="auto" w:fill="FFFFFF"/>
            <w:vAlign w:val="center"/>
          </w:tcPr>
          <w:p w14:paraId="5C149D8C">
            <w:pPr>
              <w:spacing w:line="360" w:lineRule="auto"/>
              <w:ind w:firstLine="480" w:firstLineChars="200"/>
              <w:rPr>
                <w:rFonts w:ascii="Times New Roman" w:hAnsi="Times New Roman" w:cs="Times New Roman"/>
                <w:sz w:val="24"/>
                <w:szCs w:val="24"/>
              </w:rPr>
            </w:pPr>
          </w:p>
        </w:tc>
        <w:tc>
          <w:tcPr>
            <w:tcW w:w="1740"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14:paraId="1DECE26C">
            <w:pPr>
              <w:spacing w:line="360" w:lineRule="auto"/>
              <w:jc w:val="center"/>
              <w:rPr>
                <w:rFonts w:ascii="Times New Roman" w:hAnsi="Times New Roman" w:cs="Times New Roman"/>
                <w:sz w:val="24"/>
                <w:szCs w:val="24"/>
              </w:rPr>
            </w:pPr>
            <w:r>
              <w:rPr>
                <w:rFonts w:ascii="Times New Roman" w:hAnsi="Times New Roman" w:cs="Times New Roman"/>
                <w:sz w:val="24"/>
                <w:szCs w:val="24"/>
              </w:rPr>
              <w:t>B</w:t>
            </w:r>
          </w:p>
        </w:tc>
        <w:tc>
          <w:tcPr>
            <w:tcW w:w="1425"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23B7058E">
            <w:pPr>
              <w:spacing w:line="360" w:lineRule="auto"/>
              <w:jc w:val="center"/>
              <w:rPr>
                <w:rFonts w:ascii="Times New Roman" w:hAnsi="Times New Roman" w:cs="Times New Roman"/>
                <w:sz w:val="24"/>
                <w:szCs w:val="24"/>
              </w:rPr>
            </w:pPr>
            <w:r>
              <w:rPr>
                <w:rFonts w:ascii="Times New Roman" w:hAnsi="Times New Roman" w:cs="Times New Roman"/>
                <w:b/>
                <w:bCs/>
                <w:sz w:val="24"/>
                <w:szCs w:val="24"/>
              </w:rPr>
              <w:t>4</w:t>
            </w:r>
          </w:p>
        </w:tc>
        <w:tc>
          <w:tcPr>
            <w:tcW w:w="1425"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3F5CD487">
            <w:pPr>
              <w:spacing w:line="360" w:lineRule="auto"/>
              <w:jc w:val="center"/>
              <w:rPr>
                <w:rFonts w:ascii="Times New Roman" w:hAnsi="Times New Roman" w:cs="Times New Roman"/>
                <w:sz w:val="24"/>
                <w:szCs w:val="24"/>
              </w:rPr>
            </w:pPr>
            <w:r>
              <w:rPr>
                <w:rFonts w:ascii="Times New Roman" w:hAnsi="Times New Roman" w:cs="Times New Roman"/>
                <w:b/>
                <w:bCs/>
                <w:sz w:val="24"/>
                <w:szCs w:val="24"/>
              </w:rPr>
              <w:t>3</w:t>
            </w:r>
          </w:p>
        </w:tc>
        <w:tc>
          <w:tcPr>
            <w:tcW w:w="1425"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675224DE">
            <w:pPr>
              <w:spacing w:line="360" w:lineRule="auto"/>
              <w:jc w:val="center"/>
              <w:rPr>
                <w:rFonts w:ascii="Times New Roman" w:hAnsi="Times New Roman" w:cs="Times New Roman"/>
                <w:sz w:val="24"/>
                <w:szCs w:val="24"/>
              </w:rPr>
            </w:pPr>
            <w:r>
              <w:rPr>
                <w:rFonts w:ascii="Times New Roman" w:hAnsi="Times New Roman" w:cs="Times New Roman"/>
                <w:b/>
                <w:bCs/>
                <w:sz w:val="24"/>
                <w:szCs w:val="24"/>
              </w:rPr>
              <w:t>2</w:t>
            </w:r>
          </w:p>
        </w:tc>
        <w:tc>
          <w:tcPr>
            <w:tcW w:w="1425"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555D5315">
            <w:pPr>
              <w:spacing w:line="360" w:lineRule="auto"/>
              <w:jc w:val="center"/>
              <w:rPr>
                <w:rFonts w:ascii="Times New Roman" w:hAnsi="Times New Roman" w:cs="Times New Roman"/>
                <w:sz w:val="24"/>
                <w:szCs w:val="24"/>
              </w:rPr>
            </w:pPr>
            <w:r>
              <w:rPr>
                <w:rFonts w:ascii="Times New Roman" w:hAnsi="Times New Roman" w:cs="Times New Roman"/>
                <w:b/>
                <w:bCs/>
                <w:sz w:val="24"/>
                <w:szCs w:val="24"/>
              </w:rPr>
              <w:t>1</w:t>
            </w:r>
          </w:p>
        </w:tc>
      </w:tr>
      <w:tr w14:paraId="56907718">
        <w:tblPrEx>
          <w:tblCellMar>
            <w:top w:w="0" w:type="dxa"/>
            <w:left w:w="0" w:type="dxa"/>
            <w:bottom w:w="0" w:type="dxa"/>
            <w:right w:w="0" w:type="dxa"/>
          </w:tblCellMar>
        </w:tblPrEx>
        <w:trPr>
          <w:tblCellSpacing w:w="0" w:type="dxa"/>
        </w:trPr>
        <w:tc>
          <w:tcPr>
            <w:tcW w:w="0" w:type="auto"/>
            <w:vMerge w:val="continue"/>
            <w:tcBorders>
              <w:top w:val="nil"/>
              <w:left w:val="single" w:color="000000" w:sz="6" w:space="0"/>
              <w:bottom w:val="single" w:color="000000" w:sz="6" w:space="0"/>
              <w:right w:val="single" w:color="000000" w:sz="6" w:space="0"/>
            </w:tcBorders>
            <w:shd w:val="clear" w:color="auto" w:fill="FFFFFF"/>
            <w:vAlign w:val="center"/>
          </w:tcPr>
          <w:p w14:paraId="28306875">
            <w:pPr>
              <w:spacing w:line="360" w:lineRule="auto"/>
              <w:ind w:firstLine="480" w:firstLineChars="200"/>
              <w:rPr>
                <w:rFonts w:ascii="Times New Roman" w:hAnsi="Times New Roman" w:cs="Times New Roman"/>
                <w:sz w:val="24"/>
                <w:szCs w:val="24"/>
              </w:rPr>
            </w:pPr>
          </w:p>
        </w:tc>
        <w:tc>
          <w:tcPr>
            <w:tcW w:w="1740"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14:paraId="6424283E">
            <w:pPr>
              <w:spacing w:line="360" w:lineRule="auto"/>
              <w:jc w:val="center"/>
              <w:rPr>
                <w:rFonts w:ascii="Times New Roman" w:hAnsi="Times New Roman" w:cs="Times New Roman"/>
                <w:sz w:val="24"/>
                <w:szCs w:val="24"/>
              </w:rPr>
            </w:pPr>
            <w:r>
              <w:rPr>
                <w:rFonts w:ascii="Times New Roman" w:hAnsi="Times New Roman" w:cs="Times New Roman"/>
                <w:sz w:val="24"/>
                <w:szCs w:val="24"/>
              </w:rPr>
              <w:t>C</w:t>
            </w:r>
          </w:p>
        </w:tc>
        <w:tc>
          <w:tcPr>
            <w:tcW w:w="1425"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5A28C743">
            <w:pPr>
              <w:spacing w:line="360" w:lineRule="auto"/>
              <w:jc w:val="center"/>
              <w:rPr>
                <w:rFonts w:ascii="Times New Roman" w:hAnsi="Times New Roman" w:cs="Times New Roman"/>
                <w:sz w:val="24"/>
                <w:szCs w:val="24"/>
              </w:rPr>
            </w:pPr>
            <w:r>
              <w:rPr>
                <w:rFonts w:ascii="Times New Roman" w:hAnsi="Times New Roman" w:cs="Times New Roman"/>
                <w:b/>
                <w:bCs/>
                <w:sz w:val="24"/>
                <w:szCs w:val="24"/>
              </w:rPr>
              <w:t>3</w:t>
            </w:r>
          </w:p>
        </w:tc>
        <w:tc>
          <w:tcPr>
            <w:tcW w:w="1425"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69712F07">
            <w:pPr>
              <w:spacing w:line="360" w:lineRule="auto"/>
              <w:jc w:val="center"/>
              <w:rPr>
                <w:rFonts w:ascii="Times New Roman" w:hAnsi="Times New Roman" w:cs="Times New Roman"/>
                <w:sz w:val="24"/>
                <w:szCs w:val="24"/>
              </w:rPr>
            </w:pPr>
            <w:r>
              <w:rPr>
                <w:rFonts w:ascii="Times New Roman" w:hAnsi="Times New Roman" w:cs="Times New Roman"/>
                <w:b/>
                <w:bCs/>
                <w:sz w:val="24"/>
                <w:szCs w:val="24"/>
              </w:rPr>
              <w:t>2</w:t>
            </w:r>
          </w:p>
        </w:tc>
        <w:tc>
          <w:tcPr>
            <w:tcW w:w="1425"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362609A4">
            <w:pPr>
              <w:spacing w:line="360" w:lineRule="auto"/>
              <w:jc w:val="center"/>
              <w:rPr>
                <w:rFonts w:ascii="Times New Roman" w:hAnsi="Times New Roman" w:cs="Times New Roman"/>
                <w:sz w:val="24"/>
                <w:szCs w:val="24"/>
              </w:rPr>
            </w:pPr>
            <w:r>
              <w:rPr>
                <w:rFonts w:ascii="Times New Roman" w:hAnsi="Times New Roman" w:cs="Times New Roman"/>
                <w:b/>
                <w:bCs/>
                <w:sz w:val="24"/>
                <w:szCs w:val="24"/>
              </w:rPr>
              <w:t>1</w:t>
            </w:r>
          </w:p>
        </w:tc>
        <w:tc>
          <w:tcPr>
            <w:tcW w:w="1425"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6C4CBA35">
            <w:pPr>
              <w:spacing w:line="360" w:lineRule="auto"/>
              <w:jc w:val="center"/>
              <w:rPr>
                <w:rFonts w:ascii="Times New Roman" w:hAnsi="Times New Roman" w:cs="Times New Roman"/>
                <w:sz w:val="24"/>
                <w:szCs w:val="24"/>
              </w:rPr>
            </w:pPr>
            <w:r>
              <w:rPr>
                <w:rFonts w:ascii="Times New Roman" w:hAnsi="Times New Roman" w:cs="Times New Roman"/>
                <w:b/>
                <w:bCs/>
                <w:sz w:val="24"/>
                <w:szCs w:val="24"/>
              </w:rPr>
              <w:t>0.5</w:t>
            </w:r>
          </w:p>
        </w:tc>
      </w:tr>
    </w:tbl>
    <w:p w14:paraId="4FDAFD49">
      <w:pPr>
        <w:spacing w:line="360" w:lineRule="auto"/>
        <w:ind w:firstLine="480" w:firstLineChars="200"/>
        <w:rPr>
          <w:rFonts w:ascii="Times New Roman" w:hAnsi="Times New Roman" w:cs="Times New Roman"/>
          <w:sz w:val="24"/>
          <w:szCs w:val="24"/>
        </w:rPr>
      </w:pPr>
      <w:r>
        <w:rPr>
          <w:rFonts w:hint="eastAsia" w:ascii="Times New Roman" w:hAnsi="Times New Roman" w:cs="Times New Roman"/>
          <w:sz w:val="24"/>
          <w:szCs w:val="24"/>
        </w:rPr>
        <w:t>创新创业类学科竞赛团体获奖的，只对前五名分别按100%、80%、60%、40%、20%比例参照上表给予奖励分值。论文、竞赛、专利与学生专业所属学科是否相关由专家审核小组审定。</w:t>
      </w:r>
    </w:p>
    <w:p w14:paraId="6DF830BF">
      <w:pPr>
        <w:spacing w:line="360" w:lineRule="auto"/>
        <w:ind w:firstLine="480" w:firstLineChars="200"/>
        <w:rPr>
          <w:rFonts w:ascii="Times New Roman" w:hAnsi="Times New Roman" w:cs="Times New Roman"/>
          <w:sz w:val="24"/>
          <w:szCs w:val="24"/>
        </w:rPr>
      </w:pPr>
      <w:r>
        <w:rPr>
          <w:rFonts w:hint="eastAsia" w:ascii="Times New Roman" w:hAnsi="Times New Roman" w:cs="Times New Roman"/>
          <w:sz w:val="24"/>
          <w:szCs w:val="24"/>
        </w:rPr>
        <w:t>(3)学生参军入伍期间荣立二等功（含）以上奖励10分，荣立三等功奖励5分，参军入伍服兵役奖励2分，以党委学生工作部（处）认定的为准。</w:t>
      </w:r>
    </w:p>
    <w:p w14:paraId="05615CB3">
      <w:pPr>
        <w:spacing w:line="360" w:lineRule="auto"/>
        <w:ind w:firstLine="480" w:firstLineChars="200"/>
        <w:rPr>
          <w:rFonts w:ascii="Times New Roman" w:hAnsi="Times New Roman" w:cs="Times New Roman"/>
          <w:sz w:val="24"/>
          <w:szCs w:val="24"/>
        </w:rPr>
      </w:pPr>
      <w:r>
        <w:rPr>
          <w:rFonts w:hint="eastAsia" w:ascii="Times New Roman" w:hAnsi="Times New Roman" w:cs="Times New Roman"/>
          <w:sz w:val="24"/>
          <w:szCs w:val="24"/>
        </w:rPr>
        <w:t>(4)赴学校认可的国际组织、国际组织驻华代表机构、国外高校实习分别奖励3分、2分、1分，以国际合作与交流处认定的为准。</w:t>
      </w:r>
    </w:p>
    <w:p w14:paraId="14587511">
      <w:pPr>
        <w:spacing w:line="360" w:lineRule="auto"/>
        <w:ind w:firstLine="480" w:firstLineChars="200"/>
        <w:rPr>
          <w:rFonts w:ascii="Times New Roman" w:hAnsi="Times New Roman" w:cs="Times New Roman"/>
          <w:sz w:val="24"/>
          <w:szCs w:val="24"/>
        </w:rPr>
      </w:pPr>
      <w:r>
        <w:rPr>
          <w:rFonts w:hint="eastAsia" w:ascii="Times New Roman" w:hAnsi="Times New Roman" w:cs="Times New Roman"/>
          <w:sz w:val="24"/>
          <w:szCs w:val="24"/>
        </w:rPr>
        <w:t>(5)学生公开发表与本学科相关的学术论文，对于独撰、合著的第一作者分别按照以下标准给予奖励分值：B1类及以上每篇分别奖励10分、8分；B2类每篇分别奖励8分、6分；C类分别奖励6分、5分；D类分别奖励4分、3分；E类分别奖励3分、2分。刊物等级参照《中南民族大学科研成果评价指导方案》（民大发〔2022〕59号），以科学研究发展院认定的为准。</w:t>
      </w:r>
    </w:p>
    <w:p w14:paraId="446BE007">
      <w:pPr>
        <w:spacing w:line="360" w:lineRule="auto"/>
        <w:ind w:firstLine="480" w:firstLineChars="200"/>
        <w:rPr>
          <w:rFonts w:ascii="Times New Roman" w:hAnsi="Times New Roman" w:cs="Times New Roman"/>
          <w:sz w:val="24"/>
          <w:szCs w:val="24"/>
        </w:rPr>
      </w:pPr>
      <w:r>
        <w:rPr>
          <w:rFonts w:hint="eastAsia" w:ascii="Times New Roman" w:hAnsi="Times New Roman" w:cs="Times New Roman"/>
          <w:sz w:val="24"/>
          <w:szCs w:val="24"/>
        </w:rPr>
        <w:t>(6)在校期间，以中南民族大学为第一专利权人，学生本人为第一发明人，完成与本学科相关的国际发明专利（欧美韩日四大局）和国内发明专利分别奖励10分、6分，以科学研究发展院认定的为准。</w:t>
      </w:r>
    </w:p>
    <w:p w14:paraId="42A51429">
      <w:pPr>
        <w:spacing w:line="360" w:lineRule="auto"/>
        <w:ind w:firstLine="480" w:firstLineChars="200"/>
        <w:rPr>
          <w:rFonts w:ascii="Times New Roman" w:hAnsi="Times New Roman" w:cs="Times New Roman"/>
          <w:sz w:val="24"/>
          <w:szCs w:val="24"/>
        </w:rPr>
      </w:pPr>
      <w:r>
        <w:rPr>
          <w:rFonts w:hint="eastAsia" w:ascii="Times New Roman" w:hAnsi="Times New Roman" w:cs="Times New Roman"/>
          <w:sz w:val="24"/>
          <w:szCs w:val="24"/>
        </w:rPr>
        <w:t>(7)以上6类奖励中每一类只取一项最高奖励分。论文、竞赛、专利与学生专业所属学科是否相关由各学院审定。一项成果多次获奖以最高分计，不累加。</w:t>
      </w:r>
    </w:p>
    <w:p w14:paraId="2154B638">
      <w:pPr>
        <w:spacing w:line="360" w:lineRule="auto"/>
        <w:ind w:firstLine="480" w:firstLineChars="200"/>
        <w:rPr>
          <w:rFonts w:ascii="Times New Roman" w:hAnsi="Times New Roman" w:cs="Times New Roman"/>
          <w:sz w:val="24"/>
          <w:szCs w:val="24"/>
        </w:rPr>
      </w:pPr>
      <w:r>
        <w:rPr>
          <w:rFonts w:hint="eastAsia" w:ascii="Times New Roman" w:hAnsi="Times New Roman" w:cs="Times New Roman"/>
          <w:sz w:val="24"/>
          <w:szCs w:val="24"/>
        </w:rPr>
        <w:t>学科参赛获奖为独立参加或作为主力成员参加与学业相关的国内权威竞赛，并获得三等奖及以上奖励，国内权威竞赛限定为全国赛，国际赛事参照执行，其标准不低于国内赛事相关标准和要求；竞赛范围参照《中南民族大学大学生创新科技活动管理办法（修订）》（民大发〔2021〕37 号）及当年最新版学科竞赛目录（国家级D等及以上竞赛）。学术论文为学生本科阶段在高水平期刊上，独撰或以第一作者发表的与学业相关的科研论文，学生与其亲属或其他利益相关者合作的科研成果，不纳入加分指标认定范围，学术论文及发明专利参照《中南民族大学科研成果评价指导方案》（民大发〔2022〕59号）。</w:t>
      </w:r>
    </w:p>
    <w:p w14:paraId="3DD00F0A">
      <w:pPr>
        <w:spacing w:line="360" w:lineRule="auto"/>
        <w:rPr>
          <w:rFonts w:ascii="Times New Roman" w:hAnsi="Times New Roman" w:cs="Times New Roman"/>
          <w:sz w:val="24"/>
          <w:szCs w:val="24"/>
        </w:rPr>
      </w:pPr>
      <w:r>
        <w:rPr>
          <w:rFonts w:ascii="Times New Roman" w:hAnsi="Times New Roman" w:cs="Times New Roman"/>
          <w:sz w:val="24"/>
          <w:szCs w:val="24"/>
        </w:rPr>
        <w:t>三、培养模式</w:t>
      </w:r>
    </w:p>
    <w:p w14:paraId="71DDB9AA">
      <w:pPr>
        <w:spacing w:line="360" w:lineRule="auto"/>
        <w:ind w:firstLine="480" w:firstLineChars="200"/>
        <w:rPr>
          <w:rFonts w:ascii="Times New Roman" w:hAnsi="Times New Roman" w:cs="Times New Roman"/>
          <w:sz w:val="24"/>
          <w:szCs w:val="24"/>
        </w:rPr>
      </w:pPr>
      <w:r>
        <w:rPr>
          <w:rFonts w:hint="eastAsia" w:ascii="Times New Roman" w:hAnsi="Times New Roman" w:cs="Times New Roman"/>
          <w:sz w:val="24"/>
          <w:szCs w:val="24"/>
        </w:rPr>
        <w:t>遵循工程的集成与创新特征，以强化工程实践能力、工程设计能力与工程创新能力为核心。着力推动基于问题的学习、基于项目的学习、基于案例的学习等多种研究性学习方法，加强学生创新能力训练。强化企业学习内容，学习企业的先进技术和先进企业文化，深入开展工程实践活动，参与企业技术创新和工程开发，培养学生的职业精神和职业道德。</w:t>
      </w:r>
    </w:p>
    <w:p w14:paraId="62289017">
      <w:pPr>
        <w:spacing w:line="360" w:lineRule="auto"/>
        <w:rPr>
          <w:rFonts w:ascii="Times New Roman" w:hAnsi="Times New Roman" w:cs="Times New Roman"/>
          <w:sz w:val="24"/>
          <w:szCs w:val="24"/>
        </w:rPr>
      </w:pPr>
      <w:r>
        <w:rPr>
          <w:rFonts w:ascii="Times New Roman" w:hAnsi="Times New Roman" w:cs="Times New Roman"/>
          <w:sz w:val="24"/>
          <w:szCs w:val="24"/>
        </w:rPr>
        <w:t>四、管理模式</w:t>
      </w:r>
    </w:p>
    <w:p w14:paraId="492C9A65">
      <w:pPr>
        <w:spacing w:line="360" w:lineRule="auto"/>
        <w:ind w:firstLine="480" w:firstLineChars="200"/>
        <w:rPr>
          <w:rFonts w:ascii="Times New Roman" w:hAnsi="Times New Roman" w:cs="Times New Roman"/>
          <w:sz w:val="24"/>
          <w:szCs w:val="24"/>
        </w:rPr>
      </w:pPr>
      <w:r>
        <w:rPr>
          <w:rFonts w:ascii="Times New Roman" w:hAnsi="Times New Roman" w:cs="Times New Roman"/>
          <w:sz w:val="24"/>
          <w:szCs w:val="24"/>
        </w:rPr>
        <w:t>1．学生配备由学院教师和企业专家担任的双导师，校内导师原则上由相应专业具有副教授职称或者博士学位的教师担任，且目前具有在研的科研项目。校内专业导师负责制定学生学业规划，帮助学生确定学习内容、方法，指导学生进行工程探索和完成学位论文等。企业导师由企业工程师担任，负责学生现场实践和工程课题的指导；学院为</w:t>
      </w:r>
      <w:r>
        <w:rPr>
          <w:rFonts w:hint="eastAsia" w:ascii="Times New Roman" w:hAnsi="Times New Roman" w:cs="Times New Roman"/>
          <w:kern w:val="2"/>
          <w:sz w:val="24"/>
          <w:szCs w:val="24"/>
          <w:lang w:val="en-US" w:eastAsia="zh-CN" w:bidi="ar-SA"/>
        </w:rPr>
        <w:t>实验班</w:t>
      </w:r>
      <w:r>
        <w:rPr>
          <w:rFonts w:ascii="Times New Roman" w:hAnsi="Times New Roman" w:cs="Times New Roman"/>
          <w:sz w:val="24"/>
          <w:szCs w:val="24"/>
        </w:rPr>
        <w:t>配备专门的项目开展环境。原则上每位校内导师指导的学生人数最多不超过5人，校外导师与学生的比例原则上不低于1:10。</w:t>
      </w:r>
    </w:p>
    <w:p w14:paraId="4F2BFEF0">
      <w:pPr>
        <w:spacing w:line="360" w:lineRule="auto"/>
        <w:ind w:firstLine="480" w:firstLineChars="200"/>
        <w:rPr>
          <w:rFonts w:ascii="Times New Roman" w:hAnsi="Times New Roman" w:cs="Times New Roman"/>
          <w:sz w:val="24"/>
          <w:szCs w:val="24"/>
        </w:rPr>
      </w:pPr>
      <w:r>
        <w:rPr>
          <w:rFonts w:ascii="Times New Roman" w:hAnsi="Times New Roman" w:cs="Times New Roman"/>
          <w:sz w:val="24"/>
          <w:szCs w:val="24"/>
        </w:rPr>
        <w:t>2．每个班级设置一名班主任，指导学生按照专业导师制定的学业规划进行学习，掌握学生修业情况，及时对学生的学业问题进行辅导，帮助学生合理规划大学生涯。组织学生积极参与科技创新、学科竞赛、科技竞赛。</w:t>
      </w:r>
    </w:p>
    <w:p w14:paraId="6421D3B5">
      <w:pPr>
        <w:spacing w:line="360" w:lineRule="auto"/>
        <w:ind w:firstLine="480" w:firstLineChars="200"/>
        <w:rPr>
          <w:rFonts w:ascii="Times New Roman" w:hAnsi="Times New Roman" w:cs="Times New Roman"/>
          <w:sz w:val="24"/>
          <w:szCs w:val="24"/>
        </w:rPr>
      </w:pPr>
      <w:r>
        <w:rPr>
          <w:rFonts w:hint="eastAsia" w:ascii="Times New Roman" w:hAnsi="Times New Roman" w:cs="Times New Roman"/>
          <w:sz w:val="24"/>
          <w:szCs w:val="24"/>
        </w:rPr>
        <w:t>3．</w:t>
      </w:r>
      <w:r>
        <w:rPr>
          <w:rFonts w:hint="eastAsia" w:ascii="Times New Roman" w:hAnsi="Times New Roman" w:cs="Times New Roman"/>
          <w:kern w:val="2"/>
          <w:sz w:val="24"/>
          <w:szCs w:val="24"/>
          <w:lang w:val="en-US" w:eastAsia="zh-CN" w:bidi="ar-SA"/>
        </w:rPr>
        <w:t>实验班</w:t>
      </w:r>
      <w:r>
        <w:rPr>
          <w:rFonts w:ascii="Times New Roman" w:hAnsi="Times New Roman" w:cs="Times New Roman"/>
          <w:sz w:val="24"/>
          <w:szCs w:val="24"/>
        </w:rPr>
        <w:t>实施小班教学，专业课程原则上以小班授课为主。积极改革</w:t>
      </w:r>
      <w:r>
        <w:rPr>
          <w:rFonts w:hint="eastAsia" w:ascii="Times New Roman" w:hAnsi="Times New Roman" w:cs="Times New Roman"/>
          <w:kern w:val="2"/>
          <w:sz w:val="24"/>
          <w:szCs w:val="24"/>
          <w:lang w:val="en-US" w:eastAsia="zh-CN" w:bidi="ar-SA"/>
        </w:rPr>
        <w:t>实验班</w:t>
      </w:r>
      <w:r>
        <w:rPr>
          <w:rFonts w:ascii="Times New Roman" w:hAnsi="Times New Roman" w:cs="Times New Roman"/>
          <w:sz w:val="24"/>
          <w:szCs w:val="24"/>
        </w:rPr>
        <w:t>的课程设置，更新教学内容，适当引进和选用国际一流教材和案例；努力探索</w:t>
      </w:r>
      <w:r>
        <w:rPr>
          <w:rFonts w:hint="eastAsia" w:ascii="Times New Roman" w:hAnsi="Times New Roman" w:cs="Times New Roman"/>
          <w:kern w:val="2"/>
          <w:sz w:val="24"/>
          <w:szCs w:val="24"/>
          <w:lang w:val="en-US" w:eastAsia="zh-CN" w:bidi="ar-SA"/>
        </w:rPr>
        <w:t>实验班</w:t>
      </w:r>
      <w:r>
        <w:rPr>
          <w:rFonts w:ascii="Times New Roman" w:hAnsi="Times New Roman" w:cs="Times New Roman"/>
          <w:sz w:val="24"/>
          <w:szCs w:val="24"/>
        </w:rPr>
        <w:t>实践教学改革，完善实践教学体系；大力推进</w:t>
      </w:r>
      <w:r>
        <w:rPr>
          <w:rFonts w:hint="eastAsia" w:ascii="Times New Roman" w:hAnsi="Times New Roman" w:cs="Times New Roman"/>
          <w:kern w:val="2"/>
          <w:sz w:val="24"/>
          <w:szCs w:val="24"/>
          <w:lang w:val="en-US" w:eastAsia="zh-CN" w:bidi="ar-SA"/>
        </w:rPr>
        <w:t>实验班</w:t>
      </w:r>
      <w:r>
        <w:rPr>
          <w:rFonts w:ascii="Times New Roman" w:hAnsi="Times New Roman" w:cs="Times New Roman"/>
          <w:sz w:val="24"/>
          <w:szCs w:val="24"/>
        </w:rPr>
        <w:t>教学方法与手段改革，以启发式、案例式、讨论式、探究式等教学方法引导学生主动参与教学、自主开展学习，激发学生的学习兴趣和学习潜能；不断深化</w:t>
      </w:r>
      <w:r>
        <w:rPr>
          <w:rFonts w:hint="eastAsia" w:ascii="Times New Roman" w:hAnsi="Times New Roman" w:cs="Times New Roman"/>
          <w:kern w:val="2"/>
          <w:sz w:val="24"/>
          <w:szCs w:val="24"/>
          <w:lang w:val="en-US" w:eastAsia="zh-CN" w:bidi="ar-SA"/>
        </w:rPr>
        <w:t>实验班</w:t>
      </w:r>
      <w:r>
        <w:rPr>
          <w:rFonts w:ascii="Times New Roman" w:hAnsi="Times New Roman" w:cs="Times New Roman"/>
          <w:sz w:val="24"/>
          <w:szCs w:val="24"/>
        </w:rPr>
        <w:t>课程考核方式改革，进一步加大专业课程形成性考核的力度，建立理论考试、平时作业、课程论文、调研报告、实践操作等多元化的课程考核体系。</w:t>
      </w:r>
    </w:p>
    <w:p w14:paraId="00C3C0AB">
      <w:pPr>
        <w:spacing w:line="360" w:lineRule="auto"/>
        <w:rPr>
          <w:rFonts w:ascii="Times New Roman" w:hAnsi="Times New Roman" w:cs="Times New Roman"/>
          <w:sz w:val="24"/>
          <w:szCs w:val="24"/>
        </w:rPr>
      </w:pPr>
      <w:r>
        <w:rPr>
          <w:rFonts w:ascii="Times New Roman" w:hAnsi="Times New Roman" w:cs="Times New Roman"/>
          <w:sz w:val="24"/>
          <w:szCs w:val="24"/>
        </w:rPr>
        <w:t>五、</w:t>
      </w:r>
      <w:r>
        <w:rPr>
          <w:rFonts w:hint="eastAsia" w:ascii="Times New Roman" w:hAnsi="Times New Roman" w:cs="Times New Roman"/>
          <w:sz w:val="24"/>
          <w:szCs w:val="24"/>
          <w:lang w:val="en-US" w:eastAsia="zh-CN"/>
        </w:rPr>
        <w:t>动态调整</w:t>
      </w:r>
      <w:r>
        <w:rPr>
          <w:rFonts w:ascii="Times New Roman" w:hAnsi="Times New Roman" w:cs="Times New Roman"/>
          <w:sz w:val="24"/>
          <w:szCs w:val="24"/>
        </w:rPr>
        <w:t>机制</w:t>
      </w:r>
    </w:p>
    <w:p w14:paraId="19E0D635">
      <w:pPr>
        <w:spacing w:line="360" w:lineRule="auto"/>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为保持</w:t>
      </w:r>
      <w:r>
        <w:rPr>
          <w:rFonts w:hint="eastAsia" w:ascii="Times New Roman" w:hAnsi="Times New Roman" w:cs="Times New Roman"/>
          <w:kern w:val="2"/>
          <w:sz w:val="24"/>
          <w:szCs w:val="24"/>
          <w:lang w:val="en-US" w:eastAsia="zh-CN" w:bidi="ar-SA"/>
        </w:rPr>
        <w:t>实验班</w:t>
      </w:r>
      <w:r>
        <w:rPr>
          <w:rFonts w:hint="default" w:ascii="Times New Roman" w:hAnsi="Times New Roman" w:cs="Times New Roman"/>
          <w:sz w:val="24"/>
          <w:szCs w:val="24"/>
        </w:rPr>
        <w:t>学生的持续竞争力，并为</w:t>
      </w:r>
      <w:r>
        <w:rPr>
          <w:rFonts w:hint="eastAsia" w:ascii="Times New Roman" w:hAnsi="Times New Roman" w:cs="Times New Roman"/>
          <w:sz w:val="24"/>
          <w:szCs w:val="24"/>
          <w:lang w:val="en-US" w:eastAsia="zh-CN"/>
        </w:rPr>
        <w:t>本专业</w:t>
      </w:r>
      <w:r>
        <w:rPr>
          <w:rFonts w:hint="default" w:ascii="Times New Roman" w:hAnsi="Times New Roman" w:cs="Times New Roman"/>
          <w:sz w:val="24"/>
          <w:szCs w:val="24"/>
        </w:rPr>
        <w:t>普通班优秀学生提供进入</w:t>
      </w:r>
      <w:r>
        <w:rPr>
          <w:rFonts w:hint="eastAsia" w:ascii="Times New Roman" w:hAnsi="Times New Roman" w:cs="Times New Roman"/>
          <w:sz w:val="24"/>
          <w:szCs w:val="24"/>
          <w:lang w:eastAsia="zh-CN"/>
        </w:rPr>
        <w:t>实验班</w:t>
      </w:r>
      <w:r>
        <w:rPr>
          <w:rFonts w:hint="default" w:ascii="Times New Roman" w:hAnsi="Times New Roman" w:cs="Times New Roman"/>
          <w:sz w:val="24"/>
          <w:szCs w:val="24"/>
        </w:rPr>
        <w:t>的机会，每学年结束后实施动态调整：</w:t>
      </w:r>
    </w:p>
    <w:p w14:paraId="2860DC56">
      <w:pPr>
        <w:spacing w:line="360" w:lineRule="auto"/>
        <w:ind w:firstLine="480" w:firstLineChars="200"/>
        <w:rPr>
          <w:rFonts w:hint="eastAsia" w:ascii="Times New Roman" w:hAnsi="Times New Roman" w:cs="Times New Roman" w:eastAsiaTheme="minorEastAsia"/>
          <w:sz w:val="24"/>
          <w:szCs w:val="24"/>
          <w:lang w:val="en-US" w:eastAsia="zh-CN"/>
        </w:rPr>
      </w:pPr>
      <w:r>
        <w:rPr>
          <w:rFonts w:hint="eastAsia" w:ascii="Times New Roman" w:hAnsi="Times New Roman" w:cs="Times New Roman"/>
          <w:sz w:val="24"/>
          <w:szCs w:val="24"/>
          <w:lang w:val="en-US" w:eastAsia="zh-CN"/>
        </w:rPr>
        <w:t xml:space="preserve">1. </w:t>
      </w:r>
      <w:r>
        <w:rPr>
          <w:rFonts w:hint="eastAsia" w:ascii="Times New Roman" w:hAnsi="Times New Roman" w:cs="Times New Roman"/>
          <w:kern w:val="2"/>
          <w:sz w:val="24"/>
          <w:szCs w:val="24"/>
          <w:lang w:val="en-US" w:eastAsia="zh-CN" w:bidi="ar-SA"/>
        </w:rPr>
        <w:t>实验班</w:t>
      </w:r>
      <w:r>
        <w:rPr>
          <w:rFonts w:hint="default" w:ascii="Times New Roman" w:hAnsi="Times New Roman" w:cs="Times New Roman"/>
          <w:sz w:val="24"/>
          <w:szCs w:val="24"/>
        </w:rPr>
        <w:t>退出</w:t>
      </w:r>
      <w:r>
        <w:rPr>
          <w:rFonts w:hint="eastAsia" w:ascii="Times New Roman" w:hAnsi="Times New Roman" w:cs="Times New Roman"/>
          <w:sz w:val="24"/>
          <w:szCs w:val="24"/>
          <w:lang w:val="en-US" w:eastAsia="zh-CN"/>
        </w:rPr>
        <w:t>机制</w:t>
      </w:r>
    </w:p>
    <w:p w14:paraId="3518C2A1">
      <w:pPr>
        <w:spacing w:line="360" w:lineRule="auto"/>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每学年结束后，凡出现以下情况之一者，转入</w:t>
      </w:r>
      <w:r>
        <w:rPr>
          <w:rFonts w:hint="eastAsia" w:ascii="Times New Roman" w:hAnsi="Times New Roman" w:cs="Times New Roman"/>
          <w:sz w:val="24"/>
          <w:szCs w:val="24"/>
          <w:lang w:val="en-US" w:eastAsia="zh-CN"/>
        </w:rPr>
        <w:t>本专业</w:t>
      </w:r>
      <w:r>
        <w:rPr>
          <w:rFonts w:hint="default" w:ascii="Times New Roman" w:hAnsi="Times New Roman" w:cs="Times New Roman"/>
          <w:sz w:val="24"/>
          <w:szCs w:val="24"/>
        </w:rPr>
        <w:t>普通班学习：</w:t>
      </w:r>
    </w:p>
    <w:p w14:paraId="1A69324D">
      <w:pPr>
        <w:spacing w:line="360" w:lineRule="auto"/>
        <w:ind w:firstLine="480" w:firstLineChars="200"/>
        <w:rPr>
          <w:rFonts w:hint="default" w:ascii="Times New Roman" w:hAnsi="Times New Roman" w:cs="Times New Roman"/>
          <w:sz w:val="24"/>
          <w:szCs w:val="24"/>
        </w:rPr>
      </w:pPr>
      <w:r>
        <w:rPr>
          <w:rFonts w:hint="eastAsia" w:ascii="Times New Roman" w:hAnsi="Times New Roman" w:cs="Times New Roman"/>
          <w:sz w:val="24"/>
          <w:szCs w:val="24"/>
          <w:lang w:eastAsia="zh-CN"/>
        </w:rPr>
        <w:t>（</w:t>
      </w:r>
      <w:r>
        <w:rPr>
          <w:rFonts w:hint="eastAsia" w:ascii="Times New Roman" w:hAnsi="Times New Roman" w:cs="Times New Roman"/>
          <w:sz w:val="24"/>
          <w:szCs w:val="24"/>
          <w:lang w:val="en-US" w:eastAsia="zh-CN"/>
        </w:rPr>
        <w:t>1</w:t>
      </w:r>
      <w:r>
        <w:rPr>
          <w:rFonts w:hint="eastAsia" w:ascii="Times New Roman" w:hAnsi="Times New Roman" w:cs="Times New Roman"/>
          <w:sz w:val="24"/>
          <w:szCs w:val="24"/>
          <w:lang w:eastAsia="zh-CN"/>
        </w:rPr>
        <w:t>）</w:t>
      </w:r>
      <w:r>
        <w:rPr>
          <w:rFonts w:hint="default" w:ascii="Times New Roman" w:hAnsi="Times New Roman" w:cs="Times New Roman"/>
          <w:sz w:val="24"/>
          <w:szCs w:val="24"/>
        </w:rPr>
        <w:t>出现违法违纪行为；</w:t>
      </w:r>
    </w:p>
    <w:p w14:paraId="528168D5">
      <w:pPr>
        <w:spacing w:line="360" w:lineRule="auto"/>
        <w:ind w:firstLine="480" w:firstLineChars="200"/>
        <w:rPr>
          <w:rFonts w:hint="default" w:ascii="Times New Roman" w:hAnsi="Times New Roman" w:cs="Times New Roman"/>
          <w:sz w:val="24"/>
          <w:szCs w:val="24"/>
        </w:rPr>
      </w:pPr>
      <w:r>
        <w:rPr>
          <w:rFonts w:hint="eastAsia" w:ascii="Times New Roman" w:hAnsi="Times New Roman" w:cs="Times New Roman"/>
          <w:sz w:val="24"/>
          <w:szCs w:val="24"/>
          <w:lang w:eastAsia="zh-CN"/>
        </w:rPr>
        <w:t>（</w:t>
      </w:r>
      <w:r>
        <w:rPr>
          <w:rFonts w:hint="eastAsia" w:ascii="Times New Roman" w:hAnsi="Times New Roman" w:cs="Times New Roman"/>
          <w:sz w:val="24"/>
          <w:szCs w:val="24"/>
          <w:lang w:val="en-US" w:eastAsia="zh-CN"/>
        </w:rPr>
        <w:t>2</w:t>
      </w:r>
      <w:r>
        <w:rPr>
          <w:rFonts w:hint="eastAsia" w:ascii="Times New Roman" w:hAnsi="Times New Roman" w:cs="Times New Roman"/>
          <w:sz w:val="24"/>
          <w:szCs w:val="24"/>
          <w:lang w:eastAsia="zh-CN"/>
        </w:rPr>
        <w:t>）</w:t>
      </w:r>
      <w:r>
        <w:rPr>
          <w:rFonts w:hint="default" w:ascii="Times New Roman" w:hAnsi="Times New Roman" w:cs="Times New Roman"/>
          <w:sz w:val="24"/>
          <w:szCs w:val="24"/>
        </w:rPr>
        <w:t>违反校纪校规受到警告及以上</w:t>
      </w:r>
      <w:bookmarkStart w:id="0" w:name="_GoBack"/>
      <w:bookmarkEnd w:id="0"/>
      <w:r>
        <w:rPr>
          <w:rFonts w:hint="default" w:ascii="Times New Roman" w:hAnsi="Times New Roman" w:cs="Times New Roman"/>
          <w:sz w:val="24"/>
          <w:szCs w:val="24"/>
        </w:rPr>
        <w:t>处分，或在企业实习实训中出现严重违规行为；</w:t>
      </w:r>
    </w:p>
    <w:p w14:paraId="41A8D1BE">
      <w:pPr>
        <w:spacing w:line="360" w:lineRule="auto"/>
        <w:ind w:firstLine="480" w:firstLineChars="200"/>
        <w:rPr>
          <w:rFonts w:hint="default" w:ascii="Times New Roman" w:hAnsi="Times New Roman" w:cs="Times New Roman"/>
          <w:sz w:val="24"/>
          <w:szCs w:val="24"/>
        </w:rPr>
      </w:pPr>
      <w:r>
        <w:rPr>
          <w:rFonts w:hint="eastAsia" w:ascii="Times New Roman" w:hAnsi="Times New Roman" w:cs="Times New Roman"/>
          <w:sz w:val="24"/>
          <w:szCs w:val="24"/>
          <w:lang w:eastAsia="zh-CN"/>
        </w:rPr>
        <w:t>（</w:t>
      </w:r>
      <w:r>
        <w:rPr>
          <w:rFonts w:hint="eastAsia" w:ascii="Times New Roman" w:hAnsi="Times New Roman" w:cs="Times New Roman"/>
          <w:sz w:val="24"/>
          <w:szCs w:val="24"/>
          <w:lang w:val="en-US" w:eastAsia="zh-CN"/>
        </w:rPr>
        <w:t>3</w:t>
      </w:r>
      <w:r>
        <w:rPr>
          <w:rFonts w:hint="eastAsia" w:ascii="Times New Roman" w:hAnsi="Times New Roman" w:cs="Times New Roman"/>
          <w:sz w:val="24"/>
          <w:szCs w:val="24"/>
          <w:lang w:eastAsia="zh-CN"/>
        </w:rPr>
        <w:t>）</w:t>
      </w:r>
      <w:r>
        <w:rPr>
          <w:rFonts w:hint="default" w:ascii="Times New Roman" w:hAnsi="Times New Roman" w:cs="Times New Roman"/>
          <w:sz w:val="24"/>
          <w:szCs w:val="24"/>
        </w:rPr>
        <w:t>累计出现二门及以上必修课程不及格或学年平均学分绩点低于2.5；</w:t>
      </w:r>
    </w:p>
    <w:p w14:paraId="1E1CAF31">
      <w:pPr>
        <w:spacing w:line="360" w:lineRule="auto"/>
        <w:ind w:firstLine="480" w:firstLineChars="200"/>
        <w:rPr>
          <w:rFonts w:hint="eastAsia" w:ascii="Times New Roman" w:hAnsi="Times New Roman" w:cs="Times New Roman" w:eastAsiaTheme="minorEastAsia"/>
          <w:sz w:val="24"/>
          <w:szCs w:val="24"/>
          <w:lang w:eastAsia="zh-CN"/>
        </w:rPr>
      </w:pPr>
      <w:r>
        <w:rPr>
          <w:rFonts w:hint="eastAsia" w:ascii="Times New Roman" w:hAnsi="Times New Roman" w:cs="Times New Roman"/>
          <w:sz w:val="24"/>
          <w:szCs w:val="24"/>
          <w:lang w:eastAsia="zh-CN"/>
        </w:rPr>
        <w:t>（</w:t>
      </w:r>
      <w:r>
        <w:rPr>
          <w:rFonts w:hint="eastAsia" w:ascii="Times New Roman" w:hAnsi="Times New Roman" w:cs="Times New Roman"/>
          <w:sz w:val="24"/>
          <w:szCs w:val="24"/>
          <w:lang w:val="en-US" w:eastAsia="zh-CN"/>
        </w:rPr>
        <w:t>4</w:t>
      </w:r>
      <w:r>
        <w:rPr>
          <w:rFonts w:hint="eastAsia" w:ascii="Times New Roman" w:hAnsi="Times New Roman" w:cs="Times New Roman"/>
          <w:sz w:val="24"/>
          <w:szCs w:val="24"/>
          <w:lang w:eastAsia="zh-CN"/>
        </w:rPr>
        <w:t>）</w:t>
      </w:r>
      <w:r>
        <w:rPr>
          <w:rFonts w:hint="default" w:ascii="Times New Roman" w:hAnsi="Times New Roman" w:cs="Times New Roman"/>
          <w:sz w:val="24"/>
          <w:szCs w:val="24"/>
        </w:rPr>
        <w:t>学年综合测评成绩排名在</w:t>
      </w:r>
      <w:r>
        <w:rPr>
          <w:rFonts w:hint="eastAsia" w:ascii="Times New Roman" w:hAnsi="Times New Roman" w:cs="Times New Roman"/>
          <w:kern w:val="2"/>
          <w:sz w:val="24"/>
          <w:szCs w:val="24"/>
          <w:lang w:val="en-US" w:eastAsia="zh-CN" w:bidi="ar-SA"/>
        </w:rPr>
        <w:t>实验班</w:t>
      </w:r>
      <w:r>
        <w:rPr>
          <w:rFonts w:hint="default" w:ascii="Times New Roman" w:hAnsi="Times New Roman" w:cs="Times New Roman"/>
          <w:sz w:val="24"/>
          <w:szCs w:val="24"/>
        </w:rPr>
        <w:t>后10%者，可视情况纳入退出考察范围，根据其学业态度、发展潜力及整改可能性等决定是否转入普通班学习</w:t>
      </w:r>
      <w:r>
        <w:rPr>
          <w:rFonts w:hint="eastAsia" w:ascii="Times New Roman" w:hAnsi="Times New Roman" w:cs="Times New Roman"/>
          <w:sz w:val="24"/>
          <w:szCs w:val="24"/>
          <w:lang w:eastAsia="zh-CN"/>
        </w:rPr>
        <w:t>；</w:t>
      </w:r>
    </w:p>
    <w:p w14:paraId="5CE5FC58">
      <w:pPr>
        <w:spacing w:line="360" w:lineRule="auto"/>
        <w:ind w:firstLine="480" w:firstLineChars="200"/>
        <w:rPr>
          <w:rFonts w:hint="eastAsia" w:ascii="Times New Roman" w:hAnsi="Times New Roman" w:cs="Times New Roman"/>
          <w:sz w:val="24"/>
          <w:szCs w:val="24"/>
          <w:lang w:eastAsia="zh-CN"/>
        </w:rPr>
      </w:pPr>
      <w:r>
        <w:rPr>
          <w:rFonts w:hint="eastAsia" w:ascii="Times New Roman" w:hAnsi="Times New Roman" w:cs="Times New Roman"/>
          <w:sz w:val="24"/>
          <w:szCs w:val="24"/>
          <w:lang w:eastAsia="zh-CN"/>
        </w:rPr>
        <w:t>（</w:t>
      </w:r>
      <w:r>
        <w:rPr>
          <w:rFonts w:hint="eastAsia" w:ascii="Times New Roman" w:hAnsi="Times New Roman" w:cs="Times New Roman"/>
          <w:sz w:val="24"/>
          <w:szCs w:val="24"/>
          <w:lang w:val="en-US" w:eastAsia="zh-CN"/>
        </w:rPr>
        <w:t>5</w:t>
      </w:r>
      <w:r>
        <w:rPr>
          <w:rFonts w:hint="eastAsia" w:ascii="Times New Roman" w:hAnsi="Times New Roman" w:cs="Times New Roman"/>
          <w:sz w:val="24"/>
          <w:szCs w:val="24"/>
          <w:lang w:eastAsia="zh-CN"/>
        </w:rPr>
        <w:t>）</w:t>
      </w:r>
      <w:r>
        <w:rPr>
          <w:rFonts w:hint="default" w:ascii="Times New Roman" w:hAnsi="Times New Roman" w:cs="Times New Roman"/>
          <w:sz w:val="24"/>
          <w:szCs w:val="24"/>
        </w:rPr>
        <w:t>学生因个人原因自愿申请退出</w:t>
      </w:r>
      <w:r>
        <w:rPr>
          <w:rFonts w:hint="eastAsia" w:ascii="Times New Roman" w:hAnsi="Times New Roman" w:cs="Times New Roman"/>
          <w:kern w:val="2"/>
          <w:sz w:val="24"/>
          <w:szCs w:val="24"/>
          <w:lang w:val="en-US" w:eastAsia="zh-CN" w:bidi="ar-SA"/>
        </w:rPr>
        <w:t>实验班</w:t>
      </w:r>
      <w:r>
        <w:rPr>
          <w:rFonts w:hint="eastAsia" w:ascii="Times New Roman" w:hAnsi="Times New Roman" w:cs="Times New Roman"/>
          <w:sz w:val="24"/>
          <w:szCs w:val="24"/>
          <w:lang w:eastAsia="zh-CN"/>
        </w:rPr>
        <w:t>；</w:t>
      </w:r>
    </w:p>
    <w:p w14:paraId="1327A968">
      <w:pPr>
        <w:spacing w:line="360" w:lineRule="auto"/>
        <w:ind w:firstLine="480" w:firstLineChars="200"/>
        <w:rPr>
          <w:rFonts w:hint="eastAsia" w:ascii="Times New Roman" w:hAnsi="Times New Roman" w:cs="Times New Roman" w:eastAsiaTheme="minorEastAsia"/>
          <w:sz w:val="24"/>
          <w:szCs w:val="24"/>
          <w:lang w:val="en-US" w:eastAsia="zh-CN"/>
        </w:rPr>
      </w:pPr>
      <w:r>
        <w:rPr>
          <w:rFonts w:hint="eastAsia" w:ascii="Times New Roman" w:hAnsi="Times New Roman" w:cs="Times New Roman"/>
          <w:sz w:val="24"/>
          <w:szCs w:val="24"/>
          <w:lang w:eastAsia="zh-CN"/>
        </w:rPr>
        <w:t>（</w:t>
      </w:r>
      <w:r>
        <w:rPr>
          <w:rFonts w:hint="eastAsia" w:ascii="Times New Roman" w:hAnsi="Times New Roman" w:cs="Times New Roman"/>
          <w:sz w:val="24"/>
          <w:szCs w:val="24"/>
          <w:lang w:val="en-US" w:eastAsia="zh-CN"/>
        </w:rPr>
        <w:t>6</w:t>
      </w:r>
      <w:r>
        <w:rPr>
          <w:rFonts w:hint="eastAsia" w:ascii="Times New Roman" w:hAnsi="Times New Roman" w:cs="Times New Roman"/>
          <w:sz w:val="24"/>
          <w:szCs w:val="24"/>
          <w:lang w:eastAsia="zh-CN"/>
        </w:rPr>
        <w:t>）</w:t>
      </w:r>
      <w:r>
        <w:rPr>
          <w:rFonts w:hint="default" w:ascii="Times New Roman" w:hAnsi="Times New Roman" w:cs="Times New Roman"/>
          <w:sz w:val="24"/>
          <w:szCs w:val="24"/>
        </w:rPr>
        <w:t>因其他原因，不能继续完成</w:t>
      </w:r>
      <w:r>
        <w:rPr>
          <w:rFonts w:hint="eastAsia" w:ascii="Times New Roman" w:hAnsi="Times New Roman" w:cs="Times New Roman"/>
          <w:kern w:val="2"/>
          <w:sz w:val="24"/>
          <w:szCs w:val="24"/>
          <w:lang w:val="en-US" w:eastAsia="zh-CN" w:bidi="ar-SA"/>
        </w:rPr>
        <w:t>实验班</w:t>
      </w:r>
      <w:r>
        <w:rPr>
          <w:rFonts w:hint="default" w:ascii="Times New Roman" w:hAnsi="Times New Roman" w:cs="Times New Roman"/>
          <w:sz w:val="24"/>
          <w:szCs w:val="24"/>
        </w:rPr>
        <w:t>培养计划</w:t>
      </w:r>
      <w:r>
        <w:rPr>
          <w:rFonts w:hint="eastAsia" w:ascii="Times New Roman" w:hAnsi="Times New Roman" w:cs="Times New Roman"/>
          <w:sz w:val="24"/>
          <w:szCs w:val="24"/>
          <w:lang w:eastAsia="zh-CN"/>
        </w:rPr>
        <w:t>。</w:t>
      </w:r>
    </w:p>
    <w:p w14:paraId="2D8E9567">
      <w:pPr>
        <w:spacing w:line="360" w:lineRule="auto"/>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注：实际退出名额视当年增补情况共同决定。</w:t>
      </w:r>
    </w:p>
    <w:p w14:paraId="0F5B541E">
      <w:pPr>
        <w:spacing w:line="360" w:lineRule="auto"/>
        <w:ind w:firstLine="480" w:firstLineChars="200"/>
        <w:rPr>
          <w:rFonts w:hint="eastAsia" w:ascii="Times New Roman" w:hAnsi="Times New Roman" w:cs="Times New Roman" w:eastAsiaTheme="minorEastAsia"/>
          <w:sz w:val="24"/>
          <w:szCs w:val="24"/>
          <w:lang w:val="en-US" w:eastAsia="zh-CN"/>
        </w:rPr>
      </w:pPr>
      <w:r>
        <w:rPr>
          <w:rFonts w:hint="eastAsia" w:ascii="Times New Roman" w:hAnsi="Times New Roman" w:cs="Times New Roman"/>
          <w:sz w:val="24"/>
          <w:szCs w:val="24"/>
          <w:lang w:val="en-US" w:eastAsia="zh-CN"/>
        </w:rPr>
        <w:t>2. 本专业普通班</w:t>
      </w:r>
      <w:r>
        <w:rPr>
          <w:rFonts w:hint="default" w:ascii="Times New Roman" w:hAnsi="Times New Roman" w:cs="Times New Roman"/>
          <w:sz w:val="24"/>
          <w:szCs w:val="24"/>
        </w:rPr>
        <w:t>增补</w:t>
      </w:r>
      <w:r>
        <w:rPr>
          <w:rFonts w:hint="eastAsia" w:ascii="Times New Roman" w:hAnsi="Times New Roman" w:cs="Times New Roman"/>
          <w:sz w:val="24"/>
          <w:szCs w:val="24"/>
          <w:lang w:val="en-US" w:eastAsia="zh-CN"/>
        </w:rPr>
        <w:t>机制</w:t>
      </w:r>
    </w:p>
    <w:p w14:paraId="7799A049">
      <w:pPr>
        <w:spacing w:line="360" w:lineRule="auto"/>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每学年结束后，面向</w:t>
      </w:r>
      <w:r>
        <w:rPr>
          <w:rFonts w:hint="eastAsia" w:ascii="Times New Roman" w:hAnsi="Times New Roman" w:cs="Times New Roman"/>
          <w:sz w:val="24"/>
          <w:szCs w:val="24"/>
          <w:lang w:val="en-US" w:eastAsia="zh-CN"/>
        </w:rPr>
        <w:t>本专业</w:t>
      </w:r>
      <w:r>
        <w:rPr>
          <w:rFonts w:hint="default" w:ascii="Times New Roman" w:hAnsi="Times New Roman" w:cs="Times New Roman"/>
          <w:sz w:val="24"/>
          <w:szCs w:val="24"/>
        </w:rPr>
        <w:t>普通班学生开放增补申请。申请者须满足以下条件：</w:t>
      </w:r>
    </w:p>
    <w:p w14:paraId="5457CE26">
      <w:pPr>
        <w:spacing w:line="360" w:lineRule="auto"/>
        <w:ind w:firstLine="480" w:firstLineChars="200"/>
        <w:rPr>
          <w:rFonts w:hint="default" w:ascii="Times New Roman" w:hAnsi="Times New Roman" w:cs="Times New Roman"/>
          <w:sz w:val="24"/>
          <w:szCs w:val="24"/>
        </w:rPr>
      </w:pPr>
      <w:r>
        <w:rPr>
          <w:rFonts w:hint="eastAsia" w:ascii="Times New Roman" w:hAnsi="Times New Roman" w:cs="Times New Roman"/>
          <w:sz w:val="24"/>
          <w:szCs w:val="24"/>
          <w:lang w:eastAsia="zh-CN"/>
        </w:rPr>
        <w:t>（</w:t>
      </w:r>
      <w:r>
        <w:rPr>
          <w:rFonts w:hint="eastAsia" w:ascii="Times New Roman" w:hAnsi="Times New Roman" w:cs="Times New Roman"/>
          <w:sz w:val="24"/>
          <w:szCs w:val="24"/>
          <w:lang w:val="en-US" w:eastAsia="zh-CN"/>
        </w:rPr>
        <w:t>1</w:t>
      </w:r>
      <w:r>
        <w:rPr>
          <w:rFonts w:hint="eastAsia" w:ascii="Times New Roman" w:hAnsi="Times New Roman" w:cs="Times New Roman"/>
          <w:sz w:val="24"/>
          <w:szCs w:val="24"/>
          <w:lang w:eastAsia="zh-CN"/>
        </w:rPr>
        <w:t>）</w:t>
      </w:r>
      <w:r>
        <w:rPr>
          <w:rFonts w:hint="default" w:ascii="Times New Roman" w:hAnsi="Times New Roman" w:cs="Times New Roman"/>
          <w:sz w:val="24"/>
          <w:szCs w:val="24"/>
        </w:rPr>
        <w:t>思想端正，无违规违纪记录，无不及格课程；</w:t>
      </w:r>
    </w:p>
    <w:p w14:paraId="2289F21C">
      <w:pPr>
        <w:spacing w:line="360" w:lineRule="auto"/>
        <w:ind w:firstLine="480" w:firstLineChars="200"/>
        <w:rPr>
          <w:rFonts w:hint="default" w:ascii="Times New Roman" w:hAnsi="Times New Roman" w:cs="Times New Roman"/>
          <w:sz w:val="24"/>
          <w:szCs w:val="24"/>
        </w:rPr>
      </w:pPr>
      <w:r>
        <w:rPr>
          <w:rFonts w:hint="eastAsia" w:ascii="Times New Roman" w:hAnsi="Times New Roman" w:cs="Times New Roman"/>
          <w:sz w:val="24"/>
          <w:szCs w:val="24"/>
          <w:lang w:eastAsia="zh-CN"/>
        </w:rPr>
        <w:t>（</w:t>
      </w:r>
      <w:r>
        <w:rPr>
          <w:rFonts w:hint="eastAsia" w:ascii="Times New Roman" w:hAnsi="Times New Roman" w:cs="Times New Roman"/>
          <w:sz w:val="24"/>
          <w:szCs w:val="24"/>
          <w:lang w:val="en-US" w:eastAsia="zh-CN"/>
        </w:rPr>
        <w:t>2</w:t>
      </w:r>
      <w:r>
        <w:rPr>
          <w:rFonts w:hint="eastAsia" w:ascii="Times New Roman" w:hAnsi="Times New Roman" w:cs="Times New Roman"/>
          <w:sz w:val="24"/>
          <w:szCs w:val="24"/>
          <w:lang w:eastAsia="zh-CN"/>
        </w:rPr>
        <w:t>）</w:t>
      </w:r>
      <w:r>
        <w:rPr>
          <w:rFonts w:hint="default" w:ascii="Times New Roman" w:hAnsi="Times New Roman" w:cs="Times New Roman"/>
          <w:sz w:val="24"/>
          <w:szCs w:val="24"/>
        </w:rPr>
        <w:t>学年平均学分绩点需高于当年</w:t>
      </w:r>
      <w:r>
        <w:rPr>
          <w:rFonts w:hint="eastAsia" w:ascii="Times New Roman" w:hAnsi="Times New Roman" w:cs="Times New Roman"/>
          <w:kern w:val="2"/>
          <w:sz w:val="24"/>
          <w:szCs w:val="24"/>
          <w:lang w:val="en-US" w:eastAsia="zh-CN" w:bidi="ar-SA"/>
        </w:rPr>
        <w:t>实验班</w:t>
      </w:r>
      <w:r>
        <w:rPr>
          <w:rFonts w:hint="default" w:ascii="Times New Roman" w:hAnsi="Times New Roman" w:cs="Times New Roman"/>
          <w:sz w:val="24"/>
          <w:szCs w:val="24"/>
        </w:rPr>
        <w:t>学生的最后一名；</w:t>
      </w:r>
    </w:p>
    <w:p w14:paraId="44B46FDB">
      <w:pPr>
        <w:spacing w:line="360" w:lineRule="auto"/>
        <w:ind w:firstLine="480" w:firstLineChars="200"/>
        <w:rPr>
          <w:rFonts w:hint="default" w:ascii="Times New Roman" w:hAnsi="Times New Roman" w:cs="Times New Roman"/>
          <w:sz w:val="24"/>
          <w:szCs w:val="24"/>
        </w:rPr>
      </w:pPr>
      <w:r>
        <w:rPr>
          <w:rFonts w:hint="eastAsia" w:ascii="Times New Roman" w:hAnsi="Times New Roman" w:cs="Times New Roman"/>
          <w:sz w:val="24"/>
          <w:szCs w:val="24"/>
          <w:lang w:eastAsia="zh-CN"/>
        </w:rPr>
        <w:t>（</w:t>
      </w:r>
      <w:r>
        <w:rPr>
          <w:rFonts w:hint="eastAsia" w:ascii="Times New Roman" w:hAnsi="Times New Roman" w:cs="Times New Roman"/>
          <w:sz w:val="24"/>
          <w:szCs w:val="24"/>
          <w:lang w:val="en-US" w:eastAsia="zh-CN"/>
        </w:rPr>
        <w:t>3</w:t>
      </w:r>
      <w:r>
        <w:rPr>
          <w:rFonts w:hint="eastAsia" w:ascii="Times New Roman" w:hAnsi="Times New Roman" w:cs="Times New Roman"/>
          <w:sz w:val="24"/>
          <w:szCs w:val="24"/>
          <w:lang w:eastAsia="zh-CN"/>
        </w:rPr>
        <w:t>）</w:t>
      </w:r>
      <w:r>
        <w:rPr>
          <w:rFonts w:hint="default" w:ascii="Times New Roman" w:hAnsi="Times New Roman" w:cs="Times New Roman"/>
          <w:sz w:val="24"/>
          <w:szCs w:val="24"/>
        </w:rPr>
        <w:t>自愿报名并通过专家组综合测评（参照选拔办法，其中学业成绩以学年成绩为准）。</w:t>
      </w:r>
    </w:p>
    <w:p w14:paraId="1CFDCF00">
      <w:pPr>
        <w:spacing w:line="360" w:lineRule="auto"/>
        <w:ind w:firstLine="480" w:firstLineChars="200"/>
        <w:rPr>
          <w:rFonts w:hint="default" w:ascii="Times New Roman" w:hAnsi="Times New Roman" w:cs="Times New Roman"/>
          <w:sz w:val="24"/>
          <w:szCs w:val="24"/>
          <w:lang w:val="en-US" w:eastAsia="zh-CN"/>
        </w:rPr>
      </w:pPr>
      <w:r>
        <w:rPr>
          <w:rFonts w:hint="default" w:ascii="Times New Roman" w:hAnsi="Times New Roman" w:cs="Times New Roman"/>
          <w:sz w:val="24"/>
          <w:szCs w:val="24"/>
        </w:rPr>
        <w:t>根据综合成绩从高到低排序，按照当年</w:t>
      </w:r>
      <w:r>
        <w:rPr>
          <w:rFonts w:hint="eastAsia" w:ascii="Times New Roman" w:hAnsi="Times New Roman" w:cs="Times New Roman"/>
          <w:kern w:val="2"/>
          <w:sz w:val="24"/>
          <w:szCs w:val="24"/>
          <w:lang w:val="en-US" w:eastAsia="zh-CN" w:bidi="ar-SA"/>
        </w:rPr>
        <w:t>实验班</w:t>
      </w:r>
      <w:r>
        <w:rPr>
          <w:rFonts w:hint="default" w:ascii="Times New Roman" w:hAnsi="Times New Roman" w:cs="Times New Roman"/>
          <w:sz w:val="24"/>
          <w:szCs w:val="24"/>
        </w:rPr>
        <w:t>实际空缺名额择优增补（原则上</w:t>
      </w:r>
      <w:r>
        <w:rPr>
          <w:rFonts w:hint="eastAsia" w:ascii="Times New Roman" w:hAnsi="Times New Roman" w:cs="Times New Roman"/>
          <w:sz w:val="24"/>
          <w:szCs w:val="24"/>
          <w:lang w:val="en-US" w:eastAsia="zh-CN"/>
        </w:rPr>
        <w:t>每年</w:t>
      </w:r>
      <w:r>
        <w:rPr>
          <w:rFonts w:hint="default" w:ascii="Times New Roman" w:hAnsi="Times New Roman" w:cs="Times New Roman"/>
          <w:sz w:val="24"/>
          <w:szCs w:val="24"/>
        </w:rPr>
        <w:t>不超过3人）。增补名单在全院范围内公示三个工作日，无异议后生效。</w:t>
      </w:r>
    </w:p>
    <w:p w14:paraId="6D4EB5CD">
      <w:pPr>
        <w:spacing w:line="360" w:lineRule="auto"/>
        <w:ind w:firstLine="480" w:firstLineChars="200"/>
        <w:rPr>
          <w:rFonts w:hint="eastAsia" w:ascii="Times New Roman" w:hAnsi="Times New Roman" w:cs="Times New Roman"/>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937D1D"/>
    <w:rsid w:val="000678CB"/>
    <w:rsid w:val="000F761F"/>
    <w:rsid w:val="00195EA6"/>
    <w:rsid w:val="001F29B5"/>
    <w:rsid w:val="00246DC2"/>
    <w:rsid w:val="00284864"/>
    <w:rsid w:val="002B1217"/>
    <w:rsid w:val="002B416A"/>
    <w:rsid w:val="003239D6"/>
    <w:rsid w:val="003D7C9D"/>
    <w:rsid w:val="003F0681"/>
    <w:rsid w:val="00513AC3"/>
    <w:rsid w:val="00584E04"/>
    <w:rsid w:val="005F0088"/>
    <w:rsid w:val="006B2A6B"/>
    <w:rsid w:val="006D130A"/>
    <w:rsid w:val="00771106"/>
    <w:rsid w:val="007805A9"/>
    <w:rsid w:val="00832B32"/>
    <w:rsid w:val="00870525"/>
    <w:rsid w:val="008C3AFA"/>
    <w:rsid w:val="008C6182"/>
    <w:rsid w:val="00937D1D"/>
    <w:rsid w:val="00A16B74"/>
    <w:rsid w:val="00A241EB"/>
    <w:rsid w:val="00A7697A"/>
    <w:rsid w:val="00A93B86"/>
    <w:rsid w:val="00A9670A"/>
    <w:rsid w:val="00AE2CD8"/>
    <w:rsid w:val="00B41E59"/>
    <w:rsid w:val="00BB5B6E"/>
    <w:rsid w:val="00BC3E4B"/>
    <w:rsid w:val="00BD5899"/>
    <w:rsid w:val="00BE739A"/>
    <w:rsid w:val="00C63762"/>
    <w:rsid w:val="00C80700"/>
    <w:rsid w:val="00C817D5"/>
    <w:rsid w:val="00CB1489"/>
    <w:rsid w:val="00CF4BD8"/>
    <w:rsid w:val="00D31E52"/>
    <w:rsid w:val="00DC7290"/>
    <w:rsid w:val="00E2608E"/>
    <w:rsid w:val="00E6232A"/>
    <w:rsid w:val="00E625EC"/>
    <w:rsid w:val="042445ED"/>
    <w:rsid w:val="0A064F6B"/>
    <w:rsid w:val="10E073E1"/>
    <w:rsid w:val="191332BE"/>
    <w:rsid w:val="1A880399"/>
    <w:rsid w:val="24755D0E"/>
    <w:rsid w:val="30437355"/>
    <w:rsid w:val="35260A1F"/>
    <w:rsid w:val="46BC0CB0"/>
    <w:rsid w:val="54FA00C2"/>
    <w:rsid w:val="5DB71473"/>
    <w:rsid w:val="60A8048A"/>
    <w:rsid w:val="7BD8021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Hyperlink"/>
    <w:basedOn w:val="5"/>
    <w:unhideWhenUsed/>
    <w:qFormat/>
    <w:uiPriority w:val="99"/>
    <w:rPr>
      <w:color w:val="0000FF" w:themeColor="hyperlink"/>
      <w:u w:val="single"/>
    </w:rPr>
  </w:style>
  <w:style w:type="character" w:customStyle="1" w:styleId="7">
    <w:name w:val="页眉 字符"/>
    <w:basedOn w:val="5"/>
    <w:link w:val="3"/>
    <w:semiHidden/>
    <w:qFormat/>
    <w:uiPriority w:val="99"/>
    <w:rPr>
      <w:sz w:val="18"/>
      <w:szCs w:val="18"/>
    </w:rPr>
  </w:style>
  <w:style w:type="character" w:customStyle="1" w:styleId="8">
    <w:name w:val="页脚 字符"/>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3204</Words>
  <Characters>3311</Characters>
  <Lines>79</Lines>
  <Paragraphs>82</Paragraphs>
  <TotalTime>2</TotalTime>
  <ScaleCrop>false</ScaleCrop>
  <LinksUpToDate>false</LinksUpToDate>
  <CharactersWithSpaces>3315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2019-02-19T03:17:00Z</dcterms:created>
  <dc:creator>Windows 用户</dc:creator>
  <cp:lastModifiedBy>M10</cp:lastModifiedBy>
  <dcterms:modified xsi:type="dcterms:W3CDTF">2026-03-20T03:06:50Z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eyJoZGlkIjoiNWE2OWEzZjUwNGFjMTVhOTViYzM0YzkzYmM5YTgyNTciLCJ1c2VySWQiOiIyNDY3NzY2MTUifQ==</vt:lpwstr>
  </property>
  <property fmtid="{D5CDD505-2E9C-101B-9397-08002B2CF9AE}" pid="3" name="KSOProductBuildVer">
    <vt:lpwstr>2052-12.1.0.25225</vt:lpwstr>
  </property>
  <property fmtid="{D5CDD505-2E9C-101B-9397-08002B2CF9AE}" pid="4" name="ICV">
    <vt:lpwstr>3F6D9DC4EF13466EBAD43958EC027D57_12</vt:lpwstr>
  </property>
</Properties>
</file>