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等线" w:hAnsi="等线" w:cs="Times New Roman"/>
          <w:b/>
          <w:sz w:val="28"/>
          <w:szCs w:val="28"/>
        </w:rPr>
      </w:pPr>
      <w:r>
        <w:rPr>
          <w:rFonts w:ascii="等线" w:hAnsi="等线" w:cs="Times New Roman"/>
          <w:sz w:val="28"/>
          <w:szCs w:val="28"/>
        </w:rPr>
        <w:t>附件</w:t>
      </w:r>
      <w:r>
        <w:rPr>
          <w:rFonts w:hint="eastAsia" w:cs="Times New Roman"/>
          <w:sz w:val="28"/>
          <w:szCs w:val="28"/>
          <w:lang w:val="en-US" w:eastAsia="zh-CN"/>
        </w:rPr>
        <w:t>4</w:t>
      </w:r>
    </w:p>
    <w:p>
      <w:pPr>
        <w:jc w:val="center"/>
        <w:rPr>
          <w:rFonts w:ascii="等线" w:hAnsi="等线" w:cs="Times New Roman"/>
          <w:b/>
          <w:sz w:val="28"/>
          <w:szCs w:val="28"/>
        </w:rPr>
      </w:pPr>
      <w:r>
        <w:rPr>
          <w:rFonts w:ascii="等线" w:hAnsi="等线" w:cs="Times New Roman"/>
          <w:b/>
          <w:sz w:val="28"/>
          <w:szCs w:val="28"/>
        </w:rPr>
        <w:t>传媒与国际文化学院本科生推荐免试研究生综合成绩计算办法</w:t>
      </w:r>
    </w:p>
    <w:p>
      <w:pPr>
        <w:spacing w:line="360" w:lineRule="auto"/>
        <w:ind w:firstLine="480" w:firstLineChars="200"/>
        <w:rPr>
          <w:rFonts w:ascii="等线" w:hAnsi="等线" w:cs="Times New Roman"/>
          <w:sz w:val="24"/>
        </w:rPr>
      </w:pPr>
      <w:r>
        <w:rPr>
          <w:rFonts w:ascii="等线" w:hAnsi="等线" w:cs="Times New Roman"/>
          <w:sz w:val="24"/>
        </w:rPr>
        <w:t>学业综合成绩由学业成绩、素质评价成绩</w:t>
      </w:r>
      <w:r>
        <w:rPr>
          <w:rFonts w:hint="eastAsia" w:ascii="等线" w:hAnsi="等线" w:cs="Times New Roman"/>
          <w:sz w:val="24"/>
        </w:rPr>
        <w:t>两</w:t>
      </w:r>
      <w:r>
        <w:rPr>
          <w:rFonts w:ascii="等线" w:hAnsi="等线" w:cs="Times New Roman"/>
          <w:sz w:val="24"/>
        </w:rPr>
        <w:t>部分相加形成,根据学业综合成绩从高到低原则遴选拟推免学生。如学业综合成绩相同，则以学业成绩优先，如学业成绩相同，以学业成绩中累计有效学分优先。</w:t>
      </w:r>
    </w:p>
    <w:p>
      <w:pPr>
        <w:spacing w:line="360" w:lineRule="auto"/>
        <w:rPr>
          <w:rFonts w:ascii="等线" w:hAnsi="等线" w:cs="Times New Roman"/>
          <w:b/>
          <w:bCs/>
          <w:sz w:val="24"/>
        </w:rPr>
      </w:pPr>
      <w:r>
        <w:rPr>
          <w:rFonts w:ascii="等线" w:hAnsi="等线" w:cs="Times New Roman"/>
          <w:b/>
          <w:bCs/>
          <w:sz w:val="24"/>
        </w:rPr>
        <w:t>一、学业成绩：</w:t>
      </w:r>
    </w:p>
    <w:p>
      <w:pPr>
        <w:spacing w:line="360" w:lineRule="auto"/>
        <w:ind w:firstLine="470" w:firstLineChars="196"/>
        <w:rPr>
          <w:rFonts w:ascii="等线" w:hAnsi="等线"/>
          <w:sz w:val="24"/>
        </w:rPr>
      </w:pPr>
      <w:r>
        <w:rPr>
          <w:rFonts w:ascii="等线" w:hAnsi="等线" w:cs="Times New Roman"/>
          <w:sz w:val="24"/>
        </w:rPr>
        <w:t>计算公式：</w:t>
      </w:r>
      <w:r>
        <w:rPr>
          <w:rFonts w:hint="eastAsia" w:ascii="等线" w:hAnsi="等线"/>
          <w:sz w:val="24"/>
        </w:rPr>
        <w:t>学业成绩=主修专业课程累计平均绩点*</w:t>
      </w:r>
      <w:r>
        <w:rPr>
          <w:rFonts w:ascii="等线" w:hAnsi="等线"/>
          <w:sz w:val="24"/>
        </w:rPr>
        <w:t>0.95</w:t>
      </w:r>
      <w:r>
        <w:rPr>
          <w:rFonts w:hint="eastAsia" w:ascii="等线" w:hAnsi="等线"/>
          <w:sz w:val="24"/>
        </w:rPr>
        <w:t>+通识基础必修课程累计平均绩点*</w:t>
      </w:r>
      <w:r>
        <w:rPr>
          <w:rFonts w:ascii="等线" w:hAnsi="等线"/>
          <w:sz w:val="24"/>
        </w:rPr>
        <w:t>0.05</w:t>
      </w:r>
      <w:r>
        <w:rPr>
          <w:rFonts w:hint="eastAsia" w:ascii="等线" w:hAnsi="等线"/>
          <w:sz w:val="24"/>
        </w:rPr>
        <w:t>。</w:t>
      </w:r>
    </w:p>
    <w:p>
      <w:pPr>
        <w:spacing w:line="360" w:lineRule="auto"/>
        <w:ind w:firstLine="470" w:firstLineChars="196"/>
        <w:rPr>
          <w:rFonts w:hint="eastAsia" w:ascii="等线" w:hAnsi="等线" w:eastAsia="等线" w:cs="Times New Roman"/>
          <w:color w:val="auto"/>
          <w:sz w:val="24"/>
          <w:lang w:eastAsia="zh-CN"/>
        </w:rPr>
      </w:pPr>
      <w:r>
        <w:rPr>
          <w:rFonts w:hint="eastAsia" w:ascii="等线" w:hAnsi="等线" w:cs="Times New Roman"/>
          <w:color w:val="auto"/>
          <w:sz w:val="24"/>
        </w:rPr>
        <w:t>从</w:t>
      </w:r>
      <w:r>
        <w:rPr>
          <w:rFonts w:hint="eastAsia" w:ascii="等线" w:hAnsi="等线" w:cs="Times New Roman"/>
          <w:color w:val="auto"/>
          <w:sz w:val="24"/>
          <w:lang w:val="en-US" w:eastAsia="zh-CN"/>
        </w:rPr>
        <w:t>2021级开始</w:t>
      </w:r>
      <w:r>
        <w:rPr>
          <w:rFonts w:hint="eastAsia" w:ascii="等线" w:hAnsi="等线" w:cs="Times New Roman"/>
          <w:color w:val="auto"/>
          <w:sz w:val="24"/>
        </w:rPr>
        <w:t>核心课程设置</w:t>
      </w:r>
      <w:r>
        <w:rPr>
          <w:rFonts w:ascii="等线" w:hAnsi="等线" w:cs="Times New Roman"/>
          <w:color w:val="auto"/>
          <w:sz w:val="24"/>
        </w:rPr>
        <w:t>1.2</w:t>
      </w:r>
      <w:r>
        <w:rPr>
          <w:rFonts w:hint="eastAsia" w:ascii="等线" w:hAnsi="等线" w:cs="Times New Roman"/>
          <w:color w:val="auto"/>
          <w:sz w:val="24"/>
        </w:rPr>
        <w:t>的权重系数。核心课程清单见附件5。学生确认主修专业后即享有核心课程优先选课权。</w:t>
      </w:r>
      <w:r>
        <w:rPr>
          <w:rFonts w:hint="eastAsia" w:cs="Times New Roman"/>
          <w:color w:val="auto"/>
          <w:sz w:val="24"/>
          <w:lang w:val="en-US" w:eastAsia="zh-CN"/>
        </w:rPr>
        <w:t>课程累计平均绩点以教务系统导出的数据为准</w:t>
      </w:r>
      <w:r>
        <w:rPr>
          <w:rFonts w:hint="eastAsia" w:cs="Times New Roman"/>
          <w:color w:val="auto"/>
          <w:sz w:val="24"/>
          <w:lang w:eastAsia="zh-CN"/>
        </w:rPr>
        <w:t>。</w:t>
      </w:r>
      <w:bookmarkStart w:id="1" w:name="_GoBack"/>
      <w:bookmarkEnd w:id="1"/>
    </w:p>
    <w:p>
      <w:pPr>
        <w:spacing w:line="360" w:lineRule="auto"/>
        <w:rPr>
          <w:rFonts w:ascii="等线" w:hAnsi="等线" w:cs="Times New Roman"/>
          <w:b/>
          <w:sz w:val="24"/>
        </w:rPr>
      </w:pPr>
      <w:r>
        <w:rPr>
          <w:rFonts w:ascii="等线" w:hAnsi="等线" w:cs="Times New Roman"/>
          <w:b/>
          <w:sz w:val="24"/>
        </w:rPr>
        <w:t>二、素质评价成绩：</w:t>
      </w:r>
    </w:p>
    <w:p>
      <w:pPr>
        <w:spacing w:line="360" w:lineRule="auto"/>
        <w:ind w:firstLine="470" w:firstLineChars="196"/>
        <w:rPr>
          <w:rFonts w:ascii="等线" w:hAnsi="等线" w:cs="Times New Roman"/>
          <w:sz w:val="24"/>
        </w:rPr>
      </w:pPr>
      <w:r>
        <w:rPr>
          <w:rFonts w:hint="eastAsia" w:ascii="等线" w:hAnsi="等线"/>
          <w:sz w:val="24"/>
        </w:rPr>
        <w:t>素质评价成绩累积不超过</w:t>
      </w:r>
      <w:r>
        <w:rPr>
          <w:rFonts w:ascii="等线" w:hAnsi="等线"/>
          <w:sz w:val="24"/>
        </w:rPr>
        <w:t>1</w:t>
      </w:r>
      <w:r>
        <w:rPr>
          <w:rFonts w:hint="eastAsia" w:ascii="等线" w:hAnsi="等线"/>
          <w:sz w:val="24"/>
        </w:rPr>
        <w:t>分。</w:t>
      </w:r>
      <w:r>
        <w:rPr>
          <w:rFonts w:ascii="等线" w:hAnsi="等线" w:cs="Times New Roman"/>
          <w:sz w:val="24"/>
        </w:rPr>
        <w:t>学生在某一方面中有多项加分情况时，原则上只取最高一项。</w:t>
      </w:r>
    </w:p>
    <w:p>
      <w:pPr>
        <w:spacing w:line="360" w:lineRule="auto"/>
        <w:rPr>
          <w:rFonts w:ascii="等线" w:hAnsi="等线" w:cs="Times New Roman"/>
          <w:b/>
          <w:sz w:val="24"/>
        </w:rPr>
      </w:pPr>
      <w:r>
        <w:rPr>
          <w:rFonts w:ascii="等线" w:hAnsi="等线" w:cs="Times New Roman"/>
          <w:b/>
          <w:sz w:val="24"/>
        </w:rPr>
        <w:t>（一）参军入伍服兵役</w:t>
      </w:r>
    </w:p>
    <w:p>
      <w:pPr>
        <w:spacing w:line="360" w:lineRule="auto"/>
        <w:ind w:firstLine="470" w:firstLineChars="196"/>
        <w:rPr>
          <w:rFonts w:ascii="等线" w:hAnsi="等线" w:cs="Times New Roman"/>
          <w:sz w:val="24"/>
        </w:rPr>
      </w:pPr>
      <w:r>
        <w:rPr>
          <w:rFonts w:ascii="等线" w:hAnsi="等线" w:cs="Times New Roman"/>
          <w:sz w:val="24"/>
        </w:rPr>
        <w:t>学生在本科期间参军入伍服兵役，加0.05分。</w:t>
      </w:r>
    </w:p>
    <w:p>
      <w:pPr>
        <w:spacing w:line="360" w:lineRule="auto"/>
        <w:rPr>
          <w:rFonts w:ascii="等线" w:hAnsi="等线" w:cs="Times New Roman"/>
          <w:b/>
          <w:sz w:val="24"/>
        </w:rPr>
      </w:pPr>
      <w:r>
        <w:rPr>
          <w:rFonts w:ascii="等线" w:hAnsi="等线" w:cs="Times New Roman"/>
          <w:b/>
          <w:sz w:val="24"/>
        </w:rPr>
        <w:t>（二）参加志愿服务</w:t>
      </w:r>
    </w:p>
    <w:tbl>
      <w:tblPr>
        <w:tblStyle w:val="8"/>
        <w:tblW w:w="4447" w:type="pct"/>
        <w:jc w:val="center"/>
        <w:tblLayout w:type="autofit"/>
        <w:tblCellMar>
          <w:top w:w="0" w:type="dxa"/>
          <w:left w:w="108" w:type="dxa"/>
          <w:bottom w:w="0" w:type="dxa"/>
          <w:right w:w="108" w:type="dxa"/>
        </w:tblCellMar>
      </w:tblPr>
      <w:tblGrid>
        <w:gridCol w:w="1455"/>
        <w:gridCol w:w="3746"/>
        <w:gridCol w:w="2378"/>
      </w:tblGrid>
      <w:tr>
        <w:tblPrEx>
          <w:tblCellMar>
            <w:top w:w="0" w:type="dxa"/>
            <w:left w:w="108" w:type="dxa"/>
            <w:bottom w:w="0" w:type="dxa"/>
            <w:right w:w="108" w:type="dxa"/>
          </w:tblCellMar>
        </w:tblPrEx>
        <w:trPr>
          <w:trHeight w:val="600" w:hRule="atLeast"/>
          <w:jc w:val="center"/>
        </w:trPr>
        <w:tc>
          <w:tcPr>
            <w:tcW w:w="960" w:type="pct"/>
            <w:tcBorders>
              <w:top w:val="single" w:color="auto" w:sz="4" w:space="0"/>
              <w:left w:val="single" w:color="auto" w:sz="4" w:space="0"/>
              <w:bottom w:val="single" w:color="auto" w:sz="4" w:space="0"/>
              <w:right w:val="single" w:color="auto" w:sz="4" w:space="0"/>
            </w:tcBorders>
            <w:noWrap/>
            <w:vAlign w:val="center"/>
          </w:tcPr>
          <w:p>
            <w:pPr>
              <w:widowControl/>
              <w:rPr>
                <w:rFonts w:ascii="等线" w:hAnsi="等线" w:cs="Times New Roman"/>
                <w:b/>
                <w:bCs/>
                <w:kern w:val="0"/>
                <w:sz w:val="21"/>
                <w:szCs w:val="21"/>
              </w:rPr>
            </w:pPr>
            <w:r>
              <w:rPr>
                <w:rFonts w:ascii="等线" w:hAnsi="等线" w:cs="Times New Roman"/>
                <w:b/>
                <w:bCs/>
                <w:kern w:val="0"/>
                <w:sz w:val="21"/>
                <w:szCs w:val="21"/>
              </w:rPr>
              <w:t>加分项目</w:t>
            </w:r>
          </w:p>
        </w:tc>
        <w:tc>
          <w:tcPr>
            <w:tcW w:w="2471" w:type="pct"/>
            <w:tcBorders>
              <w:top w:val="single" w:color="auto" w:sz="4" w:space="0"/>
              <w:left w:val="nil"/>
              <w:bottom w:val="single" w:color="auto" w:sz="4" w:space="0"/>
              <w:right w:val="single" w:color="auto" w:sz="4" w:space="0"/>
            </w:tcBorders>
            <w:noWrap/>
            <w:vAlign w:val="center"/>
          </w:tcPr>
          <w:p>
            <w:pPr>
              <w:widowControl/>
              <w:rPr>
                <w:rFonts w:ascii="等线" w:hAnsi="等线" w:cs="Times New Roman"/>
                <w:b/>
                <w:bCs/>
                <w:kern w:val="0"/>
                <w:sz w:val="21"/>
                <w:szCs w:val="21"/>
              </w:rPr>
            </w:pPr>
            <w:r>
              <w:rPr>
                <w:rFonts w:ascii="等线" w:hAnsi="等线" w:cs="Times New Roman"/>
                <w:b/>
                <w:bCs/>
                <w:kern w:val="0"/>
                <w:sz w:val="21"/>
                <w:szCs w:val="21"/>
              </w:rPr>
              <w:t>具体内容</w:t>
            </w:r>
          </w:p>
        </w:tc>
        <w:tc>
          <w:tcPr>
            <w:tcW w:w="1569" w:type="pct"/>
            <w:tcBorders>
              <w:top w:val="single" w:color="auto" w:sz="4" w:space="0"/>
              <w:left w:val="nil"/>
              <w:bottom w:val="single" w:color="auto" w:sz="4" w:space="0"/>
              <w:right w:val="single" w:color="auto" w:sz="4" w:space="0"/>
            </w:tcBorders>
            <w:noWrap/>
            <w:vAlign w:val="center"/>
          </w:tcPr>
          <w:p>
            <w:pPr>
              <w:widowControl/>
              <w:rPr>
                <w:rFonts w:ascii="等线" w:hAnsi="等线" w:cs="Times New Roman"/>
                <w:b/>
                <w:bCs/>
                <w:kern w:val="0"/>
                <w:sz w:val="21"/>
                <w:szCs w:val="21"/>
              </w:rPr>
            </w:pPr>
            <w:r>
              <w:rPr>
                <w:rFonts w:ascii="等线" w:hAnsi="等线" w:cs="Times New Roman"/>
                <w:b/>
                <w:bCs/>
                <w:kern w:val="0"/>
                <w:sz w:val="21"/>
                <w:szCs w:val="21"/>
              </w:rPr>
              <w:t>加分标准</w:t>
            </w:r>
          </w:p>
        </w:tc>
      </w:tr>
      <w:tr>
        <w:tblPrEx>
          <w:tblCellMar>
            <w:top w:w="0" w:type="dxa"/>
            <w:left w:w="108" w:type="dxa"/>
            <w:bottom w:w="0" w:type="dxa"/>
            <w:right w:w="108" w:type="dxa"/>
          </w:tblCellMar>
        </w:tblPrEx>
        <w:trPr>
          <w:trHeight w:val="600" w:hRule="atLeast"/>
          <w:jc w:val="center"/>
        </w:trPr>
        <w:tc>
          <w:tcPr>
            <w:tcW w:w="960" w:type="pct"/>
            <w:vMerge w:val="restart"/>
            <w:tcBorders>
              <w:top w:val="single" w:color="auto" w:sz="4" w:space="0"/>
              <w:left w:val="single" w:color="auto" w:sz="4" w:space="0"/>
              <w:right w:val="single" w:color="auto" w:sz="4" w:space="0"/>
            </w:tcBorders>
            <w:noWrap w:val="0"/>
            <w:vAlign w:val="center"/>
          </w:tcPr>
          <w:p>
            <w:pPr>
              <w:rPr>
                <w:rFonts w:ascii="等线" w:hAnsi="等线" w:cs="Times New Roman"/>
                <w:kern w:val="0"/>
                <w:sz w:val="21"/>
                <w:szCs w:val="21"/>
              </w:rPr>
            </w:pPr>
            <w:r>
              <w:rPr>
                <w:rFonts w:ascii="等线" w:hAnsi="等线" w:cs="Times New Roman"/>
                <w:kern w:val="0"/>
                <w:sz w:val="21"/>
                <w:szCs w:val="21"/>
              </w:rPr>
              <w:t>获得荣誉</w:t>
            </w:r>
          </w:p>
        </w:tc>
        <w:tc>
          <w:tcPr>
            <w:tcW w:w="2471" w:type="pct"/>
            <w:tcBorders>
              <w:top w:val="nil"/>
              <w:left w:val="nil"/>
              <w:bottom w:val="single" w:color="auto" w:sz="4" w:space="0"/>
              <w:right w:val="single" w:color="auto" w:sz="4" w:space="0"/>
            </w:tcBorders>
            <w:noWrap w:val="0"/>
            <w:vAlign w:val="center"/>
          </w:tcPr>
          <w:p>
            <w:pPr>
              <w:widowControl/>
              <w:rPr>
                <w:rFonts w:ascii="等线" w:hAnsi="等线" w:cs="Times New Roman"/>
                <w:kern w:val="0"/>
                <w:sz w:val="21"/>
                <w:szCs w:val="21"/>
              </w:rPr>
            </w:pPr>
            <w:r>
              <w:rPr>
                <w:rFonts w:ascii="等线" w:hAnsi="等线" w:cs="Times New Roman"/>
                <w:kern w:val="0"/>
                <w:sz w:val="21"/>
                <w:szCs w:val="21"/>
              </w:rPr>
              <w:t>省级及以上优秀志愿者</w:t>
            </w:r>
          </w:p>
        </w:tc>
        <w:tc>
          <w:tcPr>
            <w:tcW w:w="1569" w:type="pct"/>
            <w:tcBorders>
              <w:top w:val="nil"/>
              <w:left w:val="nil"/>
              <w:bottom w:val="single" w:color="auto" w:sz="4" w:space="0"/>
              <w:right w:val="single" w:color="auto" w:sz="4" w:space="0"/>
            </w:tcBorders>
            <w:noWrap/>
            <w:vAlign w:val="center"/>
          </w:tcPr>
          <w:p>
            <w:pPr>
              <w:widowControl/>
              <w:rPr>
                <w:rFonts w:ascii="等线" w:hAnsi="等线" w:cs="Times New Roman"/>
                <w:kern w:val="0"/>
                <w:sz w:val="21"/>
                <w:szCs w:val="21"/>
              </w:rPr>
            </w:pPr>
            <w:r>
              <w:rPr>
                <w:rFonts w:ascii="等线" w:hAnsi="等线" w:cs="Times New Roman"/>
                <w:kern w:val="0"/>
                <w:sz w:val="21"/>
                <w:szCs w:val="21"/>
              </w:rPr>
              <w:t>0.02分</w:t>
            </w:r>
          </w:p>
        </w:tc>
      </w:tr>
      <w:tr>
        <w:tblPrEx>
          <w:tblCellMar>
            <w:top w:w="0" w:type="dxa"/>
            <w:left w:w="108" w:type="dxa"/>
            <w:bottom w:w="0" w:type="dxa"/>
            <w:right w:w="108" w:type="dxa"/>
          </w:tblCellMar>
        </w:tblPrEx>
        <w:trPr>
          <w:trHeight w:val="600" w:hRule="atLeast"/>
          <w:jc w:val="center"/>
        </w:trPr>
        <w:tc>
          <w:tcPr>
            <w:tcW w:w="960" w:type="pct"/>
            <w:vMerge w:val="continue"/>
            <w:tcBorders>
              <w:left w:val="single" w:color="auto" w:sz="4" w:space="0"/>
              <w:right w:val="single" w:color="auto" w:sz="4" w:space="0"/>
            </w:tcBorders>
            <w:noWrap w:val="0"/>
            <w:vAlign w:val="center"/>
          </w:tcPr>
          <w:p>
            <w:pPr>
              <w:rPr>
                <w:rFonts w:ascii="等线" w:hAnsi="等线" w:cs="Times New Roman"/>
                <w:kern w:val="0"/>
                <w:sz w:val="21"/>
                <w:szCs w:val="21"/>
              </w:rPr>
            </w:pPr>
          </w:p>
        </w:tc>
        <w:tc>
          <w:tcPr>
            <w:tcW w:w="2471" w:type="pct"/>
            <w:tcBorders>
              <w:top w:val="nil"/>
              <w:left w:val="nil"/>
              <w:bottom w:val="single" w:color="auto" w:sz="4" w:space="0"/>
              <w:right w:val="single" w:color="auto" w:sz="4" w:space="0"/>
            </w:tcBorders>
            <w:noWrap w:val="0"/>
            <w:vAlign w:val="center"/>
          </w:tcPr>
          <w:p>
            <w:pPr>
              <w:widowControl/>
              <w:rPr>
                <w:rFonts w:ascii="等线" w:hAnsi="等线" w:cs="Times New Roman"/>
                <w:kern w:val="0"/>
                <w:sz w:val="21"/>
                <w:szCs w:val="21"/>
              </w:rPr>
            </w:pPr>
            <w:r>
              <w:rPr>
                <w:rFonts w:ascii="等线" w:hAnsi="等线" w:cs="Times New Roman"/>
                <w:kern w:val="0"/>
                <w:sz w:val="21"/>
                <w:szCs w:val="21"/>
              </w:rPr>
              <w:t>校级优秀志愿者</w:t>
            </w:r>
          </w:p>
        </w:tc>
        <w:tc>
          <w:tcPr>
            <w:tcW w:w="1569" w:type="pct"/>
            <w:tcBorders>
              <w:top w:val="nil"/>
              <w:left w:val="nil"/>
              <w:bottom w:val="single" w:color="auto" w:sz="4" w:space="0"/>
              <w:right w:val="single" w:color="auto" w:sz="4" w:space="0"/>
            </w:tcBorders>
            <w:noWrap/>
            <w:vAlign w:val="center"/>
          </w:tcPr>
          <w:p>
            <w:pPr>
              <w:widowControl/>
              <w:rPr>
                <w:rFonts w:ascii="等线" w:hAnsi="等线" w:cs="Times New Roman"/>
                <w:kern w:val="0"/>
                <w:sz w:val="21"/>
                <w:szCs w:val="21"/>
              </w:rPr>
            </w:pPr>
            <w:r>
              <w:rPr>
                <w:rFonts w:ascii="等线" w:hAnsi="等线" w:cs="Times New Roman"/>
                <w:kern w:val="0"/>
                <w:sz w:val="21"/>
                <w:szCs w:val="21"/>
              </w:rPr>
              <w:t>0.01分</w:t>
            </w:r>
          </w:p>
        </w:tc>
      </w:tr>
      <w:tr>
        <w:tblPrEx>
          <w:tblCellMar>
            <w:top w:w="0" w:type="dxa"/>
            <w:left w:w="108" w:type="dxa"/>
            <w:bottom w:w="0" w:type="dxa"/>
            <w:right w:w="108" w:type="dxa"/>
          </w:tblCellMar>
        </w:tblPrEx>
        <w:trPr>
          <w:trHeight w:val="600" w:hRule="atLeast"/>
          <w:jc w:val="center"/>
        </w:trPr>
        <w:tc>
          <w:tcPr>
            <w:tcW w:w="960" w:type="pct"/>
            <w:vMerge w:val="continue"/>
            <w:tcBorders>
              <w:left w:val="single" w:color="auto" w:sz="4" w:space="0"/>
              <w:right w:val="single" w:color="auto" w:sz="4" w:space="0"/>
            </w:tcBorders>
            <w:noWrap w:val="0"/>
            <w:vAlign w:val="center"/>
          </w:tcPr>
          <w:p>
            <w:pPr>
              <w:rPr>
                <w:rFonts w:ascii="等线" w:hAnsi="等线" w:cs="Times New Roman"/>
                <w:kern w:val="0"/>
                <w:sz w:val="21"/>
                <w:szCs w:val="21"/>
              </w:rPr>
            </w:pPr>
          </w:p>
        </w:tc>
        <w:tc>
          <w:tcPr>
            <w:tcW w:w="2471" w:type="pct"/>
            <w:tcBorders>
              <w:top w:val="nil"/>
              <w:left w:val="nil"/>
              <w:bottom w:val="single" w:color="auto" w:sz="4" w:space="0"/>
              <w:right w:val="single" w:color="auto" w:sz="4" w:space="0"/>
            </w:tcBorders>
            <w:noWrap w:val="0"/>
            <w:vAlign w:val="center"/>
          </w:tcPr>
          <w:p>
            <w:pPr>
              <w:widowControl/>
              <w:rPr>
                <w:rFonts w:ascii="等线" w:hAnsi="等线" w:cs="Times New Roman"/>
                <w:kern w:val="0"/>
                <w:sz w:val="21"/>
                <w:szCs w:val="21"/>
              </w:rPr>
            </w:pPr>
            <w:r>
              <w:rPr>
                <w:rFonts w:ascii="等线" w:hAnsi="等线" w:cs="Times New Roman"/>
                <w:kern w:val="0"/>
                <w:sz w:val="21"/>
                <w:szCs w:val="21"/>
              </w:rPr>
              <w:t>校级五星级志愿者</w:t>
            </w:r>
          </w:p>
        </w:tc>
        <w:tc>
          <w:tcPr>
            <w:tcW w:w="1569" w:type="pct"/>
            <w:tcBorders>
              <w:top w:val="nil"/>
              <w:left w:val="nil"/>
              <w:bottom w:val="single" w:color="auto" w:sz="4" w:space="0"/>
              <w:right w:val="single" w:color="auto" w:sz="4" w:space="0"/>
            </w:tcBorders>
            <w:noWrap/>
            <w:vAlign w:val="center"/>
          </w:tcPr>
          <w:p>
            <w:pPr>
              <w:widowControl/>
              <w:rPr>
                <w:rFonts w:ascii="等线" w:hAnsi="等线" w:cs="Times New Roman"/>
                <w:kern w:val="0"/>
                <w:sz w:val="21"/>
                <w:szCs w:val="21"/>
              </w:rPr>
            </w:pPr>
            <w:r>
              <w:rPr>
                <w:rFonts w:ascii="等线" w:hAnsi="等线" w:cs="Times New Roman"/>
                <w:kern w:val="0"/>
                <w:sz w:val="21"/>
                <w:szCs w:val="21"/>
              </w:rPr>
              <w:t>0.01分</w:t>
            </w:r>
          </w:p>
        </w:tc>
      </w:tr>
      <w:tr>
        <w:tblPrEx>
          <w:tblCellMar>
            <w:top w:w="0" w:type="dxa"/>
            <w:left w:w="108" w:type="dxa"/>
            <w:bottom w:w="0" w:type="dxa"/>
            <w:right w:w="108" w:type="dxa"/>
          </w:tblCellMar>
        </w:tblPrEx>
        <w:trPr>
          <w:trHeight w:val="600" w:hRule="atLeast"/>
          <w:jc w:val="center"/>
        </w:trPr>
        <w:tc>
          <w:tcPr>
            <w:tcW w:w="960" w:type="pct"/>
            <w:vMerge w:val="continue"/>
            <w:tcBorders>
              <w:left w:val="single" w:color="auto" w:sz="4" w:space="0"/>
              <w:bottom w:val="single" w:color="auto" w:sz="4" w:space="0"/>
              <w:right w:val="single" w:color="auto" w:sz="4" w:space="0"/>
            </w:tcBorders>
            <w:noWrap w:val="0"/>
            <w:vAlign w:val="center"/>
          </w:tcPr>
          <w:p>
            <w:pPr>
              <w:rPr>
                <w:rFonts w:ascii="等线" w:hAnsi="等线" w:cs="Times New Roman"/>
                <w:kern w:val="0"/>
                <w:sz w:val="21"/>
                <w:szCs w:val="21"/>
              </w:rPr>
            </w:pPr>
          </w:p>
        </w:tc>
        <w:tc>
          <w:tcPr>
            <w:tcW w:w="2471" w:type="pct"/>
            <w:tcBorders>
              <w:top w:val="single" w:color="auto" w:sz="4" w:space="0"/>
              <w:left w:val="nil"/>
              <w:bottom w:val="single" w:color="auto" w:sz="4" w:space="0"/>
              <w:right w:val="single" w:color="auto" w:sz="4" w:space="0"/>
            </w:tcBorders>
            <w:noWrap w:val="0"/>
            <w:vAlign w:val="center"/>
          </w:tcPr>
          <w:p>
            <w:pPr>
              <w:widowControl/>
              <w:rPr>
                <w:rFonts w:ascii="等线" w:hAnsi="等线" w:cs="Times New Roman"/>
                <w:kern w:val="0"/>
                <w:sz w:val="21"/>
                <w:szCs w:val="21"/>
              </w:rPr>
            </w:pPr>
            <w:r>
              <w:rPr>
                <w:rFonts w:hint="eastAsia" w:ascii="等线" w:hAnsi="等线" w:cs="Times New Roman"/>
                <w:kern w:val="0"/>
                <w:sz w:val="21"/>
                <w:szCs w:val="21"/>
              </w:rPr>
              <w:t>校志愿者之星</w:t>
            </w:r>
          </w:p>
        </w:tc>
        <w:tc>
          <w:tcPr>
            <w:tcW w:w="1569" w:type="pct"/>
            <w:tcBorders>
              <w:top w:val="single" w:color="auto" w:sz="4" w:space="0"/>
              <w:left w:val="nil"/>
              <w:bottom w:val="single" w:color="auto" w:sz="4" w:space="0"/>
              <w:right w:val="single" w:color="auto" w:sz="4" w:space="0"/>
            </w:tcBorders>
            <w:noWrap/>
            <w:vAlign w:val="center"/>
          </w:tcPr>
          <w:p>
            <w:pPr>
              <w:widowControl/>
              <w:rPr>
                <w:rFonts w:ascii="等线" w:hAnsi="等线" w:cs="Times New Roman"/>
                <w:kern w:val="0"/>
                <w:sz w:val="21"/>
                <w:szCs w:val="21"/>
              </w:rPr>
            </w:pPr>
            <w:r>
              <w:rPr>
                <w:rFonts w:hint="eastAsia" w:ascii="等线" w:hAnsi="等线" w:cs="Times New Roman"/>
                <w:kern w:val="0"/>
                <w:sz w:val="21"/>
                <w:szCs w:val="21"/>
              </w:rPr>
              <w:t>0</w:t>
            </w:r>
            <w:r>
              <w:rPr>
                <w:rFonts w:ascii="等线" w:hAnsi="等线" w:cs="Times New Roman"/>
                <w:kern w:val="0"/>
                <w:sz w:val="21"/>
                <w:szCs w:val="21"/>
              </w:rPr>
              <w:t>.01</w:t>
            </w:r>
            <w:r>
              <w:rPr>
                <w:rFonts w:hint="eastAsia" w:ascii="等线" w:hAnsi="等线" w:cs="Times New Roman"/>
                <w:kern w:val="0"/>
                <w:sz w:val="21"/>
                <w:szCs w:val="21"/>
              </w:rPr>
              <w:t>分</w:t>
            </w:r>
          </w:p>
        </w:tc>
      </w:tr>
    </w:tbl>
    <w:p>
      <w:pPr>
        <w:spacing w:line="360" w:lineRule="auto"/>
        <w:rPr>
          <w:rFonts w:ascii="等线" w:hAnsi="等线" w:cs="Times New Roman"/>
          <w:szCs w:val="21"/>
        </w:rPr>
      </w:pPr>
      <w:r>
        <w:rPr>
          <w:rFonts w:ascii="等线" w:hAnsi="等线" w:cs="Times New Roman"/>
          <w:szCs w:val="21"/>
        </w:rPr>
        <w:t>说明：不可累计加分</w:t>
      </w:r>
    </w:p>
    <w:p>
      <w:pPr>
        <w:rPr>
          <w:rFonts w:ascii="等线" w:hAnsi="等线" w:cs="Times New Roman"/>
          <w:b/>
          <w:sz w:val="24"/>
        </w:rPr>
      </w:pPr>
      <w:r>
        <w:rPr>
          <w:rFonts w:ascii="等线" w:hAnsi="等线" w:cs="Times New Roman"/>
          <w:b/>
          <w:sz w:val="24"/>
        </w:rPr>
        <w:t>（三）国际组织实习</w:t>
      </w:r>
    </w:p>
    <w:p>
      <w:pPr>
        <w:spacing w:line="360" w:lineRule="auto"/>
        <w:ind w:firstLine="480" w:firstLineChars="200"/>
        <w:rPr>
          <w:rFonts w:ascii="等线" w:hAnsi="等线" w:cs="Times New Roman"/>
          <w:bCs/>
          <w:sz w:val="24"/>
          <w:szCs w:val="24"/>
          <w:shd w:val="clear" w:color="auto" w:fill="FFFFFF"/>
        </w:rPr>
      </w:pPr>
      <w:r>
        <w:rPr>
          <w:rFonts w:hint="eastAsia" w:ascii="等线" w:hAnsi="等线" w:cs="Times New Roman"/>
          <w:bCs/>
          <w:sz w:val="24"/>
          <w:szCs w:val="24"/>
          <w:shd w:val="clear" w:color="auto" w:fill="FFFFFF"/>
        </w:rPr>
        <w:t>有学校认定的四周以上国际组织实习经历或者累计国际化志愿服务小时数≥</w:t>
      </w:r>
      <w:r>
        <w:rPr>
          <w:rFonts w:ascii="等线" w:hAnsi="等线" w:cs="Times New Roman"/>
          <w:bCs/>
          <w:sz w:val="24"/>
          <w:szCs w:val="24"/>
          <w:shd w:val="clear" w:color="auto" w:fill="FFFFFF"/>
        </w:rPr>
        <w:t>250 小时并有突出表现，加0.02分。</w:t>
      </w:r>
    </w:p>
    <w:p>
      <w:pPr>
        <w:spacing w:line="360" w:lineRule="auto"/>
        <w:rPr>
          <w:rFonts w:ascii="等线" w:hAnsi="等线" w:cs="Times New Roman"/>
          <w:b/>
          <w:sz w:val="24"/>
        </w:rPr>
      </w:pPr>
      <w:r>
        <w:rPr>
          <w:rFonts w:ascii="等线" w:hAnsi="等线" w:cs="Times New Roman"/>
          <w:b/>
          <w:sz w:val="24"/>
        </w:rPr>
        <w:t>（四）科研成果</w:t>
      </w:r>
    </w:p>
    <w:p>
      <w:pPr>
        <w:spacing w:line="360" w:lineRule="auto"/>
        <w:rPr>
          <w:rFonts w:ascii="等线" w:hAnsi="等线" w:cs="Times New Roman"/>
          <w:b/>
          <w:sz w:val="24"/>
        </w:rPr>
      </w:pPr>
      <w:r>
        <w:rPr>
          <w:rFonts w:ascii="等线" w:hAnsi="等线" w:cs="Times New Roman"/>
          <w:sz w:val="24"/>
        </w:rPr>
        <w:t>发表学术论文</w:t>
      </w:r>
      <w:r>
        <w:rPr>
          <w:rStyle w:val="12"/>
          <w:rFonts w:ascii="等线" w:hAnsi="等线"/>
          <w:b/>
          <w:sz w:val="24"/>
        </w:rPr>
        <w:footnoteReference w:id="0"/>
      </w:r>
      <w:r>
        <w:rPr>
          <w:rFonts w:ascii="等线" w:hAnsi="等线" w:cs="Times New Roman"/>
          <w:b/>
          <w:sz w:val="24"/>
        </w:rPr>
        <w:t xml:space="preserve">： </w:t>
      </w:r>
    </w:p>
    <w:p>
      <w:pPr>
        <w:spacing w:line="360" w:lineRule="auto"/>
        <w:ind w:firstLine="480"/>
        <w:rPr>
          <w:rFonts w:ascii="等线" w:hAnsi="等线" w:cs="Times New Roman"/>
          <w:sz w:val="24"/>
        </w:rPr>
      </w:pPr>
      <w:r>
        <w:rPr>
          <w:rFonts w:ascii="等线" w:hAnsi="等线" w:cs="Times New Roman"/>
          <w:sz w:val="24"/>
        </w:rPr>
        <w:t>1. 在国内</w:t>
      </w:r>
      <w:r>
        <w:rPr>
          <w:rFonts w:ascii="等线" w:hAnsi="等线" w:cs="Times New Roman"/>
          <w:sz w:val="24"/>
          <w:szCs w:val="20"/>
        </w:rPr>
        <w:t>权威期刊或者国际同级别期刊</w:t>
      </w:r>
      <w:r>
        <w:rPr>
          <w:rFonts w:ascii="等线" w:hAnsi="等线" w:cs="Times New Roman"/>
          <w:sz w:val="24"/>
        </w:rPr>
        <w:t>上发表与学业相关的科研论文，独立作者、第一作者加0.06分/篇；</w:t>
      </w:r>
    </w:p>
    <w:p>
      <w:pPr>
        <w:spacing w:line="360" w:lineRule="auto"/>
        <w:ind w:firstLine="480"/>
        <w:rPr>
          <w:rFonts w:ascii="等线" w:hAnsi="等线" w:cs="Times New Roman"/>
          <w:sz w:val="24"/>
        </w:rPr>
      </w:pPr>
      <w:r>
        <w:rPr>
          <w:rFonts w:ascii="等线" w:hAnsi="等线" w:cs="Times New Roman"/>
          <w:sz w:val="24"/>
        </w:rPr>
        <w:t>2. 在国内</w:t>
      </w:r>
      <w:r>
        <w:rPr>
          <w:rFonts w:ascii="等线" w:hAnsi="等线" w:cs="Times New Roman"/>
          <w:sz w:val="24"/>
          <w:szCs w:val="20"/>
        </w:rPr>
        <w:t>一级期刊上</w:t>
      </w:r>
      <w:r>
        <w:rPr>
          <w:rFonts w:ascii="等线" w:hAnsi="等线" w:cs="Times New Roman"/>
          <w:sz w:val="24"/>
        </w:rPr>
        <w:t>发表与学业相关的科研论文，独立作者、第一作者加0.04分/篇；</w:t>
      </w:r>
    </w:p>
    <w:p>
      <w:pPr>
        <w:spacing w:line="360" w:lineRule="auto"/>
        <w:ind w:firstLine="480"/>
        <w:rPr>
          <w:rFonts w:ascii="等线" w:hAnsi="等线" w:cs="Times New Roman"/>
          <w:sz w:val="24"/>
        </w:rPr>
      </w:pPr>
      <w:r>
        <w:rPr>
          <w:rFonts w:ascii="等线" w:hAnsi="等线" w:cs="Times New Roman"/>
          <w:sz w:val="24"/>
        </w:rPr>
        <w:t>3. 在国内核心期刊上发表与学业相关的科研论文，独立作者、第一作者加0.03分/篇；</w:t>
      </w:r>
    </w:p>
    <w:p>
      <w:pPr>
        <w:spacing w:line="360" w:lineRule="auto"/>
        <w:ind w:left="470"/>
        <w:rPr>
          <w:rFonts w:ascii="等线" w:hAnsi="等线" w:cs="Times New Roman"/>
          <w:szCs w:val="21"/>
        </w:rPr>
      </w:pPr>
      <w:r>
        <w:rPr>
          <w:rFonts w:ascii="等线" w:hAnsi="等线" w:cs="Times New Roman"/>
          <w:szCs w:val="21"/>
        </w:rPr>
        <w:t>说明：同一篇论文按最高级别计算，不累计加分。</w:t>
      </w:r>
    </w:p>
    <w:p>
      <w:pPr>
        <w:spacing w:line="360" w:lineRule="auto"/>
        <w:rPr>
          <w:rFonts w:ascii="等线" w:hAnsi="等线" w:cs="Times New Roman"/>
          <w:b/>
          <w:sz w:val="24"/>
        </w:rPr>
      </w:pPr>
      <w:r>
        <w:rPr>
          <w:rFonts w:ascii="等线" w:hAnsi="等线" w:cs="Times New Roman"/>
          <w:b/>
          <w:sz w:val="24"/>
        </w:rPr>
        <w:t>（五）竞赛获奖</w:t>
      </w:r>
      <w:r>
        <w:rPr>
          <w:rStyle w:val="12"/>
          <w:rFonts w:ascii="等线" w:hAnsi="等线"/>
          <w:b/>
          <w:sz w:val="24"/>
        </w:rPr>
        <w:footnoteReference w:id="1"/>
      </w:r>
      <w:r>
        <w:rPr>
          <w:rFonts w:ascii="等线" w:hAnsi="等线" w:cs="Times New Roman"/>
          <w:b/>
          <w:sz w:val="24"/>
        </w:rPr>
        <w:t xml:space="preserve"> </w:t>
      </w:r>
    </w:p>
    <w:p>
      <w:pPr>
        <w:spacing w:line="480" w:lineRule="exact"/>
        <w:ind w:firstLine="480" w:firstLineChars="200"/>
        <w:rPr>
          <w:rFonts w:ascii="等线" w:hAnsi="等线" w:cs="Times New Roman"/>
          <w:sz w:val="24"/>
        </w:rPr>
      </w:pPr>
      <w:r>
        <w:rPr>
          <w:rFonts w:ascii="等线" w:hAnsi="等线" w:cs="Times New Roman"/>
          <w:sz w:val="24"/>
        </w:rPr>
        <w:t xml:space="preserve">竞赛获奖分为以下两部分： </w:t>
      </w:r>
    </w:p>
    <w:p>
      <w:pPr>
        <w:pStyle w:val="20"/>
        <w:widowControl/>
        <w:numPr>
          <w:ilvl w:val="0"/>
          <w:numId w:val="1"/>
        </w:numPr>
        <w:ind w:firstLineChars="0"/>
        <w:rPr>
          <w:rFonts w:ascii="等线" w:hAnsi="等线" w:cs="等线"/>
          <w:color w:val="auto"/>
          <w:kern w:val="0"/>
          <w:sz w:val="24"/>
          <w:szCs w:val="24"/>
          <w:lang w:bidi="ar"/>
        </w:rPr>
      </w:pPr>
      <w:r>
        <w:rPr>
          <w:rFonts w:hint="eastAsia" w:ascii="Times New Roman" w:hAnsi="Times New Roman" w:cs="Times New Roman"/>
          <w:color w:val="auto"/>
          <w:sz w:val="24"/>
          <w:szCs w:val="24"/>
        </w:rPr>
        <w:t>对在中国</w:t>
      </w:r>
      <w:r>
        <w:rPr>
          <w:rFonts w:ascii="Times New Roman" w:hAnsi="Times New Roman" w:cs="Times New Roman"/>
          <w:color w:val="auto"/>
          <w:sz w:val="24"/>
          <w:szCs w:val="24"/>
        </w:rPr>
        <w:t>“</w:t>
      </w:r>
      <w:r>
        <w:rPr>
          <w:rFonts w:hint="eastAsia" w:ascii="Times New Roman" w:hAnsi="Times New Roman" w:cs="Times New Roman"/>
          <w:color w:val="auto"/>
          <w:sz w:val="24"/>
          <w:szCs w:val="24"/>
        </w:rPr>
        <w:t>互联网</w:t>
      </w:r>
      <w:r>
        <w:rPr>
          <w:rFonts w:ascii="Times New Roman" w:hAnsi="Times New Roman" w:cs="Times New Roman"/>
          <w:color w:val="auto"/>
          <w:sz w:val="24"/>
          <w:szCs w:val="24"/>
        </w:rPr>
        <w:t>+”</w:t>
      </w:r>
      <w:r>
        <w:rPr>
          <w:rFonts w:hint="eastAsia" w:ascii="Times New Roman" w:hAnsi="Times New Roman" w:cs="Times New Roman"/>
          <w:color w:val="auto"/>
          <w:sz w:val="24"/>
          <w:szCs w:val="24"/>
        </w:rPr>
        <w:t>大学生创新创业大赛、</w:t>
      </w:r>
      <w:r>
        <w:rPr>
          <w:rFonts w:ascii="Times New Roman" w:hAnsi="Times New Roman" w:cs="Times New Roman"/>
          <w:color w:val="auto"/>
          <w:sz w:val="24"/>
          <w:szCs w:val="24"/>
        </w:rPr>
        <w:t>“</w:t>
      </w:r>
      <w:r>
        <w:rPr>
          <w:rFonts w:hint="eastAsia" w:ascii="Times New Roman" w:hAnsi="Times New Roman" w:cs="Times New Roman"/>
          <w:color w:val="auto"/>
          <w:sz w:val="24"/>
          <w:szCs w:val="24"/>
        </w:rPr>
        <w:t>挑战杯</w:t>
      </w:r>
      <w:r>
        <w:rPr>
          <w:rFonts w:ascii="Times New Roman" w:hAnsi="Times New Roman" w:cs="Times New Roman"/>
          <w:color w:val="auto"/>
          <w:sz w:val="24"/>
          <w:szCs w:val="24"/>
        </w:rPr>
        <w:t>”</w:t>
      </w:r>
      <w:r>
        <w:rPr>
          <w:rFonts w:hint="eastAsia" w:ascii="Times New Roman" w:hAnsi="Times New Roman" w:cs="Times New Roman"/>
          <w:color w:val="auto"/>
          <w:sz w:val="24"/>
          <w:szCs w:val="24"/>
        </w:rPr>
        <w:t>全国大学生课外学术科技作品竞赛和</w:t>
      </w:r>
      <w:r>
        <w:rPr>
          <w:rFonts w:ascii="Times New Roman" w:hAnsi="Times New Roman" w:cs="Times New Roman"/>
          <w:color w:val="auto"/>
          <w:sz w:val="24"/>
          <w:szCs w:val="24"/>
        </w:rPr>
        <w:t>“</w:t>
      </w:r>
      <w:r>
        <w:rPr>
          <w:rFonts w:hint="eastAsia" w:ascii="Times New Roman" w:hAnsi="Times New Roman" w:cs="Times New Roman"/>
          <w:color w:val="auto"/>
          <w:sz w:val="24"/>
          <w:szCs w:val="24"/>
        </w:rPr>
        <w:t>挑战杯</w:t>
      </w:r>
      <w:r>
        <w:rPr>
          <w:rFonts w:ascii="Times New Roman" w:hAnsi="Times New Roman" w:cs="Times New Roman"/>
          <w:color w:val="auto"/>
          <w:sz w:val="24"/>
          <w:szCs w:val="24"/>
        </w:rPr>
        <w:t>”</w:t>
      </w:r>
      <w:r>
        <w:rPr>
          <w:rFonts w:hint="eastAsia" w:ascii="Times New Roman" w:hAnsi="Times New Roman" w:cs="Times New Roman"/>
          <w:color w:val="auto"/>
          <w:sz w:val="24"/>
          <w:szCs w:val="24"/>
        </w:rPr>
        <w:t>中国大学生创业计划竞赛</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以下简称</w:t>
      </w:r>
      <w:r>
        <w:rPr>
          <w:rFonts w:hint="eastAsia" w:ascii="Times New Roman" w:hAnsi="Times New Roman" w:cs="Times New Roman"/>
          <w:color w:val="auto"/>
          <w:sz w:val="24"/>
          <w:szCs w:val="24"/>
          <w:lang w:eastAsia="zh-CN"/>
        </w:rPr>
        <w:t>：</w:t>
      </w:r>
      <w:r>
        <w:rPr>
          <w:rFonts w:ascii="Times New Roman" w:hAnsi="Times New Roman" w:cs="Times New Roman"/>
          <w:color w:val="auto"/>
          <w:sz w:val="24"/>
          <w:szCs w:val="24"/>
        </w:rPr>
        <w:t>“</w:t>
      </w:r>
      <w:r>
        <w:rPr>
          <w:rFonts w:hint="eastAsia" w:ascii="Times New Roman" w:hAnsi="Times New Roman" w:cs="Times New Roman"/>
          <w:color w:val="auto"/>
          <w:sz w:val="24"/>
          <w:szCs w:val="24"/>
        </w:rPr>
        <w:t>三大赛</w:t>
      </w:r>
      <w:r>
        <w:rPr>
          <w:rFonts w:ascii="Times New Roman" w:hAnsi="Times New Roman" w:cs="Times New Roman"/>
          <w:color w:val="auto"/>
          <w:sz w:val="24"/>
          <w:szCs w:val="24"/>
        </w:rPr>
        <w:t>”</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获奖的同学，素质评价根据《关于进一步完善推荐优秀应届本科毕业生免试攻读研究生工作的通知》（浙大本发</w:t>
      </w:r>
      <w:r>
        <w:rPr>
          <w:rFonts w:ascii="Times New Roman" w:hAnsi="Times New Roman" w:cs="Times New Roman"/>
          <w:color w:val="auto"/>
          <w:sz w:val="24"/>
          <w:szCs w:val="24"/>
        </w:rPr>
        <w:t>[2023]6</w:t>
      </w:r>
      <w:r>
        <w:rPr>
          <w:rFonts w:hint="eastAsia" w:ascii="Times New Roman" w:hAnsi="Times New Roman" w:cs="Times New Roman"/>
          <w:color w:val="auto"/>
          <w:sz w:val="24"/>
          <w:szCs w:val="24"/>
        </w:rPr>
        <w:t>号）精神进行评价。</w:t>
      </w:r>
    </w:p>
    <w:p>
      <w:pPr>
        <w:widowControl/>
        <w:rPr>
          <w:rFonts w:ascii="等线" w:hAnsi="等线" w:cs="等线"/>
          <w:color w:val="FF0000"/>
          <w:kern w:val="0"/>
          <w:sz w:val="24"/>
          <w:szCs w:val="24"/>
          <w:lang w:bidi="ar"/>
        </w:rPr>
      </w:pPr>
    </w:p>
    <w:p>
      <w:pPr>
        <w:widowControl/>
        <w:rPr>
          <w:rFonts w:ascii="等线" w:hAnsi="等线" w:cs="等线"/>
          <w:color w:val="FF0000"/>
          <w:kern w:val="0"/>
          <w:sz w:val="24"/>
          <w:szCs w:val="24"/>
          <w:lang w:bidi="ar"/>
        </w:rPr>
      </w:pPr>
    </w:p>
    <w:p>
      <w:pPr>
        <w:widowControl/>
        <w:jc w:val="center"/>
        <w:rPr>
          <w:rFonts w:ascii="Times New Roman" w:hAnsi="Times New Roman" w:cs="Times New Roman"/>
          <w:b/>
          <w:sz w:val="24"/>
          <w:szCs w:val="24"/>
        </w:rPr>
      </w:pPr>
    </w:p>
    <w:p>
      <w:pPr>
        <w:widowControl/>
        <w:jc w:val="center"/>
        <w:rPr>
          <w:rFonts w:ascii="Times New Roman" w:hAnsi="Times New Roman" w:cs="Times New Roman"/>
          <w:b/>
          <w:color w:val="auto"/>
          <w:sz w:val="24"/>
          <w:szCs w:val="24"/>
        </w:rPr>
      </w:pPr>
      <w:r>
        <w:rPr>
          <w:rFonts w:hint="eastAsia" w:ascii="Times New Roman" w:hAnsi="Times New Roman" w:cs="Times New Roman"/>
          <w:b/>
          <w:color w:val="auto"/>
          <w:sz w:val="24"/>
          <w:szCs w:val="24"/>
        </w:rPr>
        <w:t>“三大赛”国赛加分分值</w:t>
      </w:r>
    </w:p>
    <w:tbl>
      <w:tblPr>
        <w:tblStyle w:val="9"/>
        <w:tblW w:w="7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1"/>
        <w:gridCol w:w="1435"/>
        <w:gridCol w:w="1276"/>
        <w:gridCol w:w="1254"/>
        <w:gridCol w:w="1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1" w:type="dxa"/>
            <w:vMerge w:val="restart"/>
            <w:noWrap w:val="0"/>
            <w:vAlign w:val="top"/>
          </w:tcPr>
          <w:p>
            <w:pPr>
              <w:widowControl/>
              <w:jc w:val="center"/>
              <w:rPr>
                <w:rFonts w:ascii="Times New Roman" w:hAnsi="Times New Roman" w:cs="Times New Roman"/>
                <w:color w:val="auto"/>
                <w:sz w:val="21"/>
                <w:szCs w:val="21"/>
              </w:rPr>
            </w:pPr>
          </w:p>
          <w:p>
            <w:pPr>
              <w:widowControl/>
              <w:jc w:val="center"/>
              <w:rPr>
                <w:rFonts w:ascii="Times New Roman" w:hAnsi="Times New Roman" w:cs="Times New Roman"/>
                <w:b/>
                <w:color w:val="auto"/>
                <w:sz w:val="21"/>
                <w:szCs w:val="21"/>
              </w:rPr>
            </w:pPr>
            <w:r>
              <w:rPr>
                <w:rFonts w:hint="eastAsia" w:ascii="Times New Roman" w:hAnsi="Times New Roman" w:cs="Times New Roman"/>
                <w:b/>
                <w:color w:val="auto"/>
                <w:sz w:val="21"/>
                <w:szCs w:val="21"/>
              </w:rPr>
              <w:t>竞赛名称</w:t>
            </w:r>
          </w:p>
        </w:tc>
        <w:tc>
          <w:tcPr>
            <w:tcW w:w="5245" w:type="dxa"/>
            <w:gridSpan w:val="4"/>
            <w:noWrap w:val="0"/>
            <w:vAlign w:val="top"/>
          </w:tcPr>
          <w:p>
            <w:pPr>
              <w:widowControl/>
              <w:jc w:val="center"/>
              <w:rPr>
                <w:rFonts w:ascii="Times New Roman" w:hAnsi="Times New Roman" w:cs="Times New Roman"/>
                <w:b/>
                <w:color w:val="auto"/>
                <w:sz w:val="21"/>
                <w:szCs w:val="21"/>
              </w:rPr>
            </w:pPr>
            <w:r>
              <w:rPr>
                <w:rFonts w:hint="eastAsia" w:ascii="Times New Roman" w:hAnsi="Times New Roman" w:cs="Times New Roman"/>
                <w:b/>
                <w:color w:val="auto"/>
                <w:sz w:val="21"/>
                <w:szCs w:val="21"/>
              </w:rPr>
              <w:t>加分分值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1" w:type="dxa"/>
            <w:vMerge w:val="continue"/>
            <w:noWrap w:val="0"/>
            <w:vAlign w:val="top"/>
          </w:tcPr>
          <w:p>
            <w:pPr>
              <w:widowControl/>
              <w:jc w:val="center"/>
              <w:rPr>
                <w:rFonts w:ascii="Times New Roman" w:hAnsi="Times New Roman" w:cs="Times New Roman"/>
                <w:color w:val="auto"/>
                <w:sz w:val="21"/>
                <w:szCs w:val="21"/>
              </w:rPr>
            </w:pPr>
          </w:p>
        </w:tc>
        <w:tc>
          <w:tcPr>
            <w:tcW w:w="1435" w:type="dxa"/>
            <w:noWrap w:val="0"/>
            <w:vAlign w:val="top"/>
          </w:tcPr>
          <w:p>
            <w:pPr>
              <w:widowControl/>
              <w:jc w:val="center"/>
              <w:rPr>
                <w:rFonts w:ascii="Times New Roman" w:hAnsi="Times New Roman" w:cs="Times New Roman"/>
                <w:b/>
                <w:color w:val="auto"/>
                <w:sz w:val="21"/>
                <w:szCs w:val="21"/>
              </w:rPr>
            </w:pPr>
            <w:r>
              <w:rPr>
                <w:rFonts w:hint="eastAsia" w:ascii="Times New Roman" w:hAnsi="Times New Roman" w:cs="Times New Roman"/>
                <w:b/>
                <w:color w:val="auto"/>
                <w:sz w:val="21"/>
                <w:szCs w:val="21"/>
              </w:rPr>
              <w:t>金奖</w:t>
            </w:r>
          </w:p>
        </w:tc>
        <w:tc>
          <w:tcPr>
            <w:tcW w:w="1276" w:type="dxa"/>
            <w:noWrap w:val="0"/>
            <w:vAlign w:val="top"/>
          </w:tcPr>
          <w:p>
            <w:pPr>
              <w:widowControl/>
              <w:jc w:val="center"/>
              <w:rPr>
                <w:rFonts w:ascii="Times New Roman" w:hAnsi="Times New Roman" w:cs="Times New Roman"/>
                <w:b/>
                <w:color w:val="auto"/>
                <w:sz w:val="21"/>
                <w:szCs w:val="21"/>
              </w:rPr>
            </w:pPr>
            <w:r>
              <w:rPr>
                <w:rFonts w:hint="eastAsia" w:ascii="Times New Roman" w:hAnsi="Times New Roman" w:cs="Times New Roman"/>
                <w:b/>
                <w:color w:val="auto"/>
                <w:sz w:val="21"/>
                <w:szCs w:val="21"/>
              </w:rPr>
              <w:t>银奖</w:t>
            </w:r>
          </w:p>
        </w:tc>
        <w:tc>
          <w:tcPr>
            <w:tcW w:w="1254" w:type="dxa"/>
            <w:noWrap w:val="0"/>
            <w:vAlign w:val="top"/>
          </w:tcPr>
          <w:p>
            <w:pPr>
              <w:widowControl/>
              <w:jc w:val="center"/>
              <w:rPr>
                <w:rFonts w:ascii="Times New Roman" w:hAnsi="Times New Roman" w:cs="Times New Roman"/>
                <w:b/>
                <w:color w:val="auto"/>
                <w:sz w:val="21"/>
                <w:szCs w:val="21"/>
              </w:rPr>
            </w:pPr>
            <w:r>
              <w:rPr>
                <w:rFonts w:hint="eastAsia" w:ascii="Times New Roman" w:hAnsi="Times New Roman" w:cs="Times New Roman"/>
                <w:b/>
                <w:color w:val="auto"/>
                <w:sz w:val="21"/>
                <w:szCs w:val="21"/>
              </w:rPr>
              <w:t>铜奖</w:t>
            </w:r>
          </w:p>
        </w:tc>
        <w:tc>
          <w:tcPr>
            <w:tcW w:w="1280" w:type="dxa"/>
            <w:noWrap w:val="0"/>
            <w:vAlign w:val="top"/>
          </w:tcPr>
          <w:p>
            <w:pPr>
              <w:widowControl/>
              <w:jc w:val="center"/>
              <w:rPr>
                <w:rFonts w:ascii="Times New Roman" w:hAnsi="Times New Roman" w:cs="Times New Roman"/>
                <w:b/>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2671" w:type="dxa"/>
            <w:noWrap w:val="0"/>
            <w:vAlign w:val="top"/>
          </w:tcPr>
          <w:p>
            <w:pPr>
              <w:widowControl/>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中国“互联网</w:t>
            </w:r>
            <w:r>
              <w:rPr>
                <w:rFonts w:ascii="Times New Roman" w:hAnsi="Times New Roman" w:cs="Times New Roman"/>
                <w:color w:val="auto"/>
                <w:sz w:val="21"/>
                <w:szCs w:val="21"/>
              </w:rPr>
              <w:t>+”大学生创新创业大赛</w:t>
            </w:r>
          </w:p>
        </w:tc>
        <w:tc>
          <w:tcPr>
            <w:tcW w:w="1435" w:type="dxa"/>
            <w:noWrap w:val="0"/>
            <w:vAlign w:val="center"/>
          </w:tcPr>
          <w:p>
            <w:pPr>
              <w:widowControl/>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1.0</w:t>
            </w:r>
          </w:p>
        </w:tc>
        <w:tc>
          <w:tcPr>
            <w:tcW w:w="1276" w:type="dxa"/>
            <w:noWrap w:val="0"/>
            <w:vAlign w:val="center"/>
          </w:tcPr>
          <w:p>
            <w:pPr>
              <w:widowControl/>
              <w:ind w:firstLine="210" w:firstLineChars="10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0.7</w:t>
            </w:r>
          </w:p>
        </w:tc>
        <w:tc>
          <w:tcPr>
            <w:tcW w:w="1254" w:type="dxa"/>
            <w:noWrap w:val="0"/>
            <w:vAlign w:val="center"/>
          </w:tcPr>
          <w:p>
            <w:pPr>
              <w:widowControl/>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0.5</w:t>
            </w:r>
          </w:p>
        </w:tc>
        <w:tc>
          <w:tcPr>
            <w:tcW w:w="1280" w:type="dxa"/>
            <w:noWrap w:val="0"/>
            <w:vAlign w:val="top"/>
          </w:tcPr>
          <w:p>
            <w:pPr>
              <w:widowControl/>
              <w:rPr>
                <w:rFonts w:ascii="Times New Roman" w:hAnsi="Times New Roman"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1" w:type="dxa"/>
            <w:noWrap w:val="0"/>
            <w:vAlign w:val="top"/>
          </w:tcPr>
          <w:p>
            <w:pPr>
              <w:widowControl/>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“挑战杯”中国大学生</w:t>
            </w:r>
            <w:r>
              <w:rPr>
                <w:rFonts w:ascii="Times New Roman" w:hAnsi="Times New Roman" w:cs="Times New Roman"/>
                <w:color w:val="auto"/>
                <w:sz w:val="21"/>
                <w:szCs w:val="21"/>
              </w:rPr>
              <w:t>创业计划大赛</w:t>
            </w:r>
          </w:p>
        </w:tc>
        <w:tc>
          <w:tcPr>
            <w:tcW w:w="1435" w:type="dxa"/>
            <w:noWrap w:val="0"/>
            <w:vAlign w:val="center"/>
          </w:tcPr>
          <w:p>
            <w:pPr>
              <w:widowControl/>
              <w:ind w:firstLine="420" w:firstLineChars="200"/>
              <w:jc w:val="both"/>
              <w:rPr>
                <w:rFonts w:ascii="Times New Roman" w:hAnsi="Times New Roman" w:cs="Times New Roman"/>
                <w:color w:val="auto"/>
                <w:sz w:val="21"/>
                <w:szCs w:val="21"/>
              </w:rPr>
            </w:pPr>
            <w:r>
              <w:rPr>
                <w:rFonts w:hint="eastAsia" w:ascii="Times New Roman" w:hAnsi="Times New Roman" w:cs="Times New Roman"/>
                <w:color w:val="auto"/>
                <w:sz w:val="21"/>
                <w:szCs w:val="21"/>
              </w:rPr>
              <w:t>1.0</w:t>
            </w:r>
          </w:p>
        </w:tc>
        <w:tc>
          <w:tcPr>
            <w:tcW w:w="1276" w:type="dxa"/>
            <w:noWrap w:val="0"/>
            <w:vAlign w:val="center"/>
          </w:tcPr>
          <w:p>
            <w:pPr>
              <w:widowControl/>
              <w:ind w:firstLine="210" w:firstLineChars="10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0.7</w:t>
            </w:r>
          </w:p>
        </w:tc>
        <w:tc>
          <w:tcPr>
            <w:tcW w:w="1254" w:type="dxa"/>
            <w:noWrap w:val="0"/>
            <w:vAlign w:val="center"/>
          </w:tcPr>
          <w:p>
            <w:pPr>
              <w:widowControl/>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0.5</w:t>
            </w:r>
          </w:p>
        </w:tc>
        <w:tc>
          <w:tcPr>
            <w:tcW w:w="1280" w:type="dxa"/>
            <w:noWrap w:val="0"/>
            <w:vAlign w:val="center"/>
          </w:tcPr>
          <w:p>
            <w:pPr>
              <w:widowControl/>
              <w:jc w:val="center"/>
              <w:rPr>
                <w:rFonts w:ascii="Times New Roman" w:hAnsi="Times New Roman"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1" w:type="dxa"/>
            <w:noWrap w:val="0"/>
            <w:vAlign w:val="top"/>
          </w:tcPr>
          <w:p>
            <w:pPr>
              <w:widowControl/>
              <w:jc w:val="center"/>
              <w:rPr>
                <w:rFonts w:ascii="Times New Roman" w:hAnsi="Times New Roman" w:cs="Times New Roman"/>
                <w:b/>
                <w:color w:val="auto"/>
                <w:sz w:val="21"/>
                <w:szCs w:val="21"/>
              </w:rPr>
            </w:pPr>
            <w:r>
              <w:rPr>
                <w:rFonts w:hint="eastAsia" w:ascii="Times New Roman" w:hAnsi="Times New Roman" w:cs="Times New Roman"/>
                <w:b/>
                <w:color w:val="auto"/>
                <w:sz w:val="21"/>
                <w:szCs w:val="21"/>
              </w:rPr>
              <w:t>竞赛名称</w:t>
            </w:r>
          </w:p>
        </w:tc>
        <w:tc>
          <w:tcPr>
            <w:tcW w:w="1435" w:type="dxa"/>
            <w:noWrap w:val="0"/>
            <w:vAlign w:val="top"/>
          </w:tcPr>
          <w:p>
            <w:pPr>
              <w:widowControl/>
              <w:jc w:val="center"/>
              <w:rPr>
                <w:rFonts w:ascii="Times New Roman" w:hAnsi="Times New Roman" w:cs="Times New Roman"/>
                <w:b/>
                <w:color w:val="auto"/>
                <w:sz w:val="21"/>
                <w:szCs w:val="21"/>
              </w:rPr>
            </w:pPr>
            <w:r>
              <w:rPr>
                <w:rFonts w:hint="eastAsia" w:ascii="Times New Roman" w:hAnsi="Times New Roman" w:cs="Times New Roman"/>
                <w:b/>
                <w:color w:val="auto"/>
                <w:sz w:val="21"/>
                <w:szCs w:val="21"/>
              </w:rPr>
              <w:t>特等奖</w:t>
            </w:r>
          </w:p>
        </w:tc>
        <w:tc>
          <w:tcPr>
            <w:tcW w:w="1276" w:type="dxa"/>
            <w:noWrap w:val="0"/>
            <w:vAlign w:val="top"/>
          </w:tcPr>
          <w:p>
            <w:pPr>
              <w:widowControl/>
              <w:jc w:val="center"/>
              <w:rPr>
                <w:rFonts w:ascii="Times New Roman" w:hAnsi="Times New Roman" w:cs="Times New Roman"/>
                <w:b/>
                <w:color w:val="auto"/>
                <w:sz w:val="21"/>
                <w:szCs w:val="21"/>
              </w:rPr>
            </w:pPr>
            <w:r>
              <w:rPr>
                <w:rFonts w:hint="eastAsia" w:ascii="Times New Roman" w:hAnsi="Times New Roman" w:cs="Times New Roman"/>
                <w:b/>
                <w:color w:val="auto"/>
                <w:sz w:val="21"/>
                <w:szCs w:val="21"/>
              </w:rPr>
              <w:t>一等奖</w:t>
            </w:r>
          </w:p>
        </w:tc>
        <w:tc>
          <w:tcPr>
            <w:tcW w:w="1254" w:type="dxa"/>
            <w:noWrap w:val="0"/>
            <w:vAlign w:val="top"/>
          </w:tcPr>
          <w:p>
            <w:pPr>
              <w:widowControl/>
              <w:jc w:val="center"/>
              <w:rPr>
                <w:rFonts w:ascii="Times New Roman" w:hAnsi="Times New Roman" w:cs="Times New Roman"/>
                <w:b/>
                <w:color w:val="auto"/>
                <w:sz w:val="21"/>
                <w:szCs w:val="21"/>
              </w:rPr>
            </w:pPr>
            <w:r>
              <w:rPr>
                <w:rFonts w:hint="eastAsia" w:ascii="Times New Roman" w:hAnsi="Times New Roman" w:cs="Times New Roman"/>
                <w:b/>
                <w:color w:val="auto"/>
                <w:sz w:val="21"/>
                <w:szCs w:val="21"/>
              </w:rPr>
              <w:t>二等奖</w:t>
            </w:r>
          </w:p>
        </w:tc>
        <w:tc>
          <w:tcPr>
            <w:tcW w:w="1280" w:type="dxa"/>
            <w:noWrap w:val="0"/>
            <w:vAlign w:val="top"/>
          </w:tcPr>
          <w:p>
            <w:pPr>
              <w:widowControl/>
              <w:jc w:val="center"/>
              <w:rPr>
                <w:rFonts w:ascii="Times New Roman" w:hAnsi="Times New Roman" w:cs="Times New Roman"/>
                <w:b/>
                <w:color w:val="auto"/>
                <w:sz w:val="21"/>
                <w:szCs w:val="21"/>
              </w:rPr>
            </w:pPr>
            <w:r>
              <w:rPr>
                <w:rFonts w:hint="eastAsia" w:ascii="Times New Roman" w:hAnsi="Times New Roman" w:cs="Times New Roman"/>
                <w:b/>
                <w:color w:val="auto"/>
                <w:sz w:val="21"/>
                <w:szCs w:val="21"/>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1" w:type="dxa"/>
            <w:noWrap w:val="0"/>
            <w:vAlign w:val="top"/>
          </w:tcPr>
          <w:p>
            <w:pPr>
              <w:widowControl/>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“挑战杯”全国大学生</w:t>
            </w:r>
            <w:r>
              <w:rPr>
                <w:rFonts w:ascii="Times New Roman" w:hAnsi="Times New Roman" w:cs="Times New Roman"/>
                <w:color w:val="auto"/>
                <w:sz w:val="21"/>
                <w:szCs w:val="21"/>
              </w:rPr>
              <w:t>课外学术科技作品竞赛</w:t>
            </w:r>
          </w:p>
        </w:tc>
        <w:tc>
          <w:tcPr>
            <w:tcW w:w="1435" w:type="dxa"/>
            <w:noWrap w:val="0"/>
            <w:vAlign w:val="center"/>
          </w:tcPr>
          <w:p>
            <w:pPr>
              <w:widowControl/>
              <w:ind w:firstLine="420" w:firstLineChars="200"/>
              <w:jc w:val="both"/>
              <w:rPr>
                <w:rFonts w:ascii="Times New Roman" w:hAnsi="Times New Roman" w:cs="Times New Roman"/>
                <w:color w:val="auto"/>
                <w:sz w:val="21"/>
                <w:szCs w:val="21"/>
              </w:rPr>
            </w:pPr>
            <w:r>
              <w:rPr>
                <w:rFonts w:hint="eastAsia" w:ascii="Times New Roman" w:hAnsi="Times New Roman" w:cs="Times New Roman"/>
                <w:color w:val="auto"/>
                <w:sz w:val="21"/>
                <w:szCs w:val="21"/>
              </w:rPr>
              <w:t>1.0</w:t>
            </w:r>
          </w:p>
        </w:tc>
        <w:tc>
          <w:tcPr>
            <w:tcW w:w="1276" w:type="dxa"/>
            <w:noWrap w:val="0"/>
            <w:vAlign w:val="center"/>
          </w:tcPr>
          <w:p>
            <w:pPr>
              <w:widowControl/>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0.7</w:t>
            </w:r>
          </w:p>
        </w:tc>
        <w:tc>
          <w:tcPr>
            <w:tcW w:w="1254" w:type="dxa"/>
            <w:noWrap w:val="0"/>
            <w:vAlign w:val="center"/>
          </w:tcPr>
          <w:p>
            <w:pPr>
              <w:widowControl/>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0.5</w:t>
            </w:r>
          </w:p>
        </w:tc>
        <w:tc>
          <w:tcPr>
            <w:tcW w:w="1280" w:type="dxa"/>
            <w:noWrap w:val="0"/>
            <w:vAlign w:val="center"/>
          </w:tcPr>
          <w:p>
            <w:pPr>
              <w:widowControl/>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16" w:type="dxa"/>
            <w:gridSpan w:val="5"/>
            <w:noWrap w:val="0"/>
            <w:vAlign w:val="top"/>
          </w:tcPr>
          <w:p>
            <w:pPr>
              <w:widowControl/>
              <w:jc w:val="center"/>
              <w:rPr>
                <w:rFonts w:ascii="Times New Roman" w:hAnsi="Times New Roman" w:cs="Times New Roman"/>
                <w:color w:val="auto"/>
                <w:sz w:val="21"/>
                <w:szCs w:val="21"/>
              </w:rPr>
            </w:pPr>
            <w:r>
              <w:rPr>
                <w:rFonts w:ascii="Times New Roman" w:hAnsi="Times New Roman" w:cs="Times New Roman"/>
                <w:color w:val="auto"/>
                <w:sz w:val="21"/>
                <w:szCs w:val="21"/>
              </w:rPr>
              <w:t>备注：团队自然排名第一乘以系数1，第二乘以系数0.9，第三乘以系数0.8</w:t>
            </w:r>
          </w:p>
        </w:tc>
      </w:tr>
    </w:tbl>
    <w:p>
      <w:pPr>
        <w:widowControl/>
        <w:ind w:firstLine="480" w:firstLineChars="200"/>
        <w:rPr>
          <w:rFonts w:ascii="等线" w:hAnsi="等线" w:cs="等线"/>
          <w:color w:val="auto"/>
          <w:kern w:val="0"/>
          <w:sz w:val="24"/>
          <w:szCs w:val="24"/>
          <w:lang w:bidi="ar"/>
        </w:rPr>
      </w:pPr>
      <w:r>
        <w:rPr>
          <w:rFonts w:hint="eastAsia" w:ascii="等线" w:hAnsi="等线" w:cs="等线"/>
          <w:color w:val="auto"/>
          <w:kern w:val="0"/>
          <w:sz w:val="24"/>
          <w:szCs w:val="24"/>
          <w:lang w:bidi="ar"/>
        </w:rPr>
        <w:t>重大体育比赛（非体育类专业）、艺术比赛（非艺术类专业）清单和加分细则如下表所示</w:t>
      </w:r>
      <w:r>
        <w:rPr>
          <w:rFonts w:ascii="等线" w:hAnsi="等线" w:cs="等线"/>
          <w:color w:val="auto"/>
          <w:kern w:val="0"/>
          <w:sz w:val="24"/>
          <w:szCs w:val="24"/>
          <w:lang w:bidi="ar"/>
        </w:rPr>
        <w:t>。在重大体育或艺术比赛中取得突出成绩的本科生可给予加分1.0，非体育类、非艺术类专业由公共体育与艺术部组织相关部门（院系）和专家进行认定，体育类、艺术类专业由专业所在院系认定。</w:t>
      </w:r>
    </w:p>
    <w:p>
      <w:pPr>
        <w:pStyle w:val="20"/>
        <w:widowControl/>
        <w:ind w:left="720" w:firstLine="720" w:firstLineChars="300"/>
        <w:rPr>
          <w:rFonts w:ascii="等线" w:hAnsi="等线" w:cs="等线"/>
          <w:b/>
          <w:color w:val="auto"/>
          <w:kern w:val="0"/>
          <w:sz w:val="24"/>
          <w:szCs w:val="24"/>
          <w:lang w:bidi="ar"/>
        </w:rPr>
      </w:pPr>
      <w:r>
        <w:rPr>
          <w:rFonts w:hint="eastAsia" w:ascii="等线" w:hAnsi="等线" w:cs="等线"/>
          <w:b/>
          <w:color w:val="auto"/>
          <w:kern w:val="0"/>
          <w:sz w:val="24"/>
          <w:szCs w:val="24"/>
          <w:lang w:bidi="ar"/>
        </w:rPr>
        <w:t>重大体育比赛（非体育类专业）清单和加分细则</w:t>
      </w:r>
    </w:p>
    <w:tbl>
      <w:tblPr>
        <w:tblStyle w:val="9"/>
        <w:tblW w:w="8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3230"/>
        <w:gridCol w:w="1525"/>
        <w:gridCol w:w="738"/>
        <w:gridCol w:w="1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noWrap w:val="0"/>
            <w:vAlign w:val="top"/>
          </w:tcPr>
          <w:p>
            <w:pPr>
              <w:pStyle w:val="20"/>
              <w:widowControl/>
              <w:ind w:firstLine="0" w:firstLineChars="0"/>
              <w:jc w:val="center"/>
              <w:rPr>
                <w:rFonts w:ascii="等线" w:hAnsi="等线" w:cs="等线"/>
                <w:b/>
                <w:color w:val="auto"/>
                <w:kern w:val="0"/>
                <w:sz w:val="21"/>
                <w:szCs w:val="21"/>
                <w:lang w:bidi="ar"/>
              </w:rPr>
            </w:pPr>
            <w:r>
              <w:rPr>
                <w:rFonts w:hint="eastAsia" w:ascii="等线" w:hAnsi="等线" w:cs="等线"/>
                <w:b/>
                <w:color w:val="auto"/>
                <w:kern w:val="0"/>
                <w:sz w:val="21"/>
                <w:szCs w:val="21"/>
                <w:lang w:bidi="ar"/>
              </w:rPr>
              <w:t>序号</w:t>
            </w:r>
          </w:p>
        </w:tc>
        <w:tc>
          <w:tcPr>
            <w:tcW w:w="3230" w:type="dxa"/>
            <w:noWrap w:val="0"/>
            <w:vAlign w:val="top"/>
          </w:tcPr>
          <w:p>
            <w:pPr>
              <w:pStyle w:val="20"/>
              <w:widowControl/>
              <w:ind w:firstLine="0" w:firstLineChars="0"/>
              <w:jc w:val="center"/>
              <w:rPr>
                <w:rFonts w:ascii="等线" w:hAnsi="等线" w:cs="等线"/>
                <w:b/>
                <w:color w:val="auto"/>
                <w:kern w:val="0"/>
                <w:sz w:val="21"/>
                <w:szCs w:val="21"/>
                <w:lang w:bidi="ar"/>
              </w:rPr>
            </w:pPr>
            <w:r>
              <w:rPr>
                <w:rFonts w:hint="eastAsia" w:ascii="等线" w:hAnsi="等线" w:cs="等线"/>
                <w:b/>
                <w:color w:val="auto"/>
                <w:kern w:val="0"/>
                <w:sz w:val="21"/>
                <w:szCs w:val="21"/>
                <w:lang w:bidi="ar"/>
              </w:rPr>
              <w:t>项目名称</w:t>
            </w:r>
          </w:p>
        </w:tc>
        <w:tc>
          <w:tcPr>
            <w:tcW w:w="1525" w:type="dxa"/>
            <w:noWrap w:val="0"/>
            <w:vAlign w:val="top"/>
          </w:tcPr>
          <w:p>
            <w:pPr>
              <w:pStyle w:val="20"/>
              <w:widowControl/>
              <w:ind w:firstLine="0" w:firstLineChars="0"/>
              <w:jc w:val="center"/>
              <w:rPr>
                <w:rFonts w:ascii="等线" w:hAnsi="等线" w:cs="等线"/>
                <w:b/>
                <w:color w:val="auto"/>
                <w:kern w:val="0"/>
                <w:sz w:val="21"/>
                <w:szCs w:val="21"/>
                <w:lang w:bidi="ar"/>
              </w:rPr>
            </w:pPr>
            <w:r>
              <w:rPr>
                <w:rFonts w:hint="eastAsia" w:ascii="等线" w:hAnsi="等线" w:cs="等线"/>
                <w:b/>
                <w:color w:val="auto"/>
                <w:kern w:val="0"/>
                <w:sz w:val="21"/>
                <w:szCs w:val="21"/>
                <w:lang w:bidi="ar"/>
              </w:rPr>
              <w:t>比赛成绩</w:t>
            </w:r>
          </w:p>
        </w:tc>
        <w:tc>
          <w:tcPr>
            <w:tcW w:w="738" w:type="dxa"/>
            <w:noWrap w:val="0"/>
            <w:vAlign w:val="top"/>
          </w:tcPr>
          <w:p>
            <w:pPr>
              <w:pStyle w:val="20"/>
              <w:widowControl/>
              <w:ind w:firstLine="0" w:firstLineChars="0"/>
              <w:jc w:val="center"/>
              <w:rPr>
                <w:rFonts w:ascii="等线" w:hAnsi="等线" w:cs="等线"/>
                <w:b/>
                <w:color w:val="auto"/>
                <w:kern w:val="0"/>
                <w:sz w:val="21"/>
                <w:szCs w:val="21"/>
                <w:lang w:bidi="ar"/>
              </w:rPr>
            </w:pPr>
            <w:r>
              <w:rPr>
                <w:rFonts w:hint="eastAsia" w:ascii="等线" w:hAnsi="等线" w:cs="等线"/>
                <w:b/>
                <w:color w:val="auto"/>
                <w:kern w:val="0"/>
                <w:sz w:val="21"/>
                <w:szCs w:val="21"/>
                <w:lang w:bidi="ar"/>
              </w:rPr>
              <w:t>加分</w:t>
            </w:r>
          </w:p>
        </w:tc>
        <w:tc>
          <w:tcPr>
            <w:tcW w:w="1857" w:type="dxa"/>
            <w:noWrap w:val="0"/>
            <w:vAlign w:val="top"/>
          </w:tcPr>
          <w:p>
            <w:pPr>
              <w:pStyle w:val="20"/>
              <w:widowControl/>
              <w:ind w:firstLine="0" w:firstLineChars="0"/>
              <w:jc w:val="center"/>
              <w:rPr>
                <w:rFonts w:ascii="等线" w:hAnsi="等线" w:cs="等线"/>
                <w:b/>
                <w:color w:val="auto"/>
                <w:kern w:val="0"/>
                <w:sz w:val="21"/>
                <w:szCs w:val="21"/>
                <w:lang w:bidi="ar"/>
              </w:rPr>
            </w:pPr>
            <w:r>
              <w:rPr>
                <w:rFonts w:hint="eastAsia" w:ascii="等线" w:hAnsi="等线" w:cs="等线"/>
                <w:b/>
                <w:color w:val="auto"/>
                <w:kern w:val="0"/>
                <w:sz w:val="21"/>
                <w:szCs w:val="21"/>
                <w:lang w:bidi="ar"/>
              </w:rPr>
              <w:t>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noWrap w:val="0"/>
            <w:vAlign w:val="top"/>
          </w:tcPr>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1</w:t>
            </w:r>
          </w:p>
        </w:tc>
        <w:tc>
          <w:tcPr>
            <w:tcW w:w="3230" w:type="dxa"/>
            <w:noWrap w:val="0"/>
            <w:vAlign w:val="top"/>
          </w:tcPr>
          <w:p>
            <w:pPr>
              <w:pStyle w:val="20"/>
              <w:widowControl/>
              <w:ind w:firstLine="0" w:firstLineChars="0"/>
              <w:jc w:val="left"/>
              <w:rPr>
                <w:rFonts w:ascii="等线" w:hAnsi="等线" w:cs="等线"/>
                <w:color w:val="auto"/>
                <w:kern w:val="0"/>
                <w:sz w:val="21"/>
                <w:szCs w:val="21"/>
                <w:lang w:bidi="ar"/>
              </w:rPr>
            </w:pPr>
            <w:r>
              <w:rPr>
                <w:rFonts w:ascii="等线" w:hAnsi="等线" w:cs="等线"/>
                <w:color w:val="auto"/>
                <w:kern w:val="0"/>
                <w:sz w:val="21"/>
                <w:szCs w:val="21"/>
                <w:lang w:bidi="ar"/>
              </w:rPr>
              <w:t>奥运会、亚运会</w:t>
            </w:r>
          </w:p>
        </w:tc>
        <w:tc>
          <w:tcPr>
            <w:tcW w:w="1525" w:type="dxa"/>
            <w:noWrap w:val="0"/>
            <w:vAlign w:val="top"/>
          </w:tcPr>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参赛</w:t>
            </w:r>
          </w:p>
        </w:tc>
        <w:tc>
          <w:tcPr>
            <w:tcW w:w="738" w:type="dxa"/>
            <w:noWrap w:val="0"/>
            <w:vAlign w:val="center"/>
          </w:tcPr>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1.0</w:t>
            </w:r>
          </w:p>
        </w:tc>
        <w:tc>
          <w:tcPr>
            <w:tcW w:w="1857" w:type="dxa"/>
            <w:vMerge w:val="restart"/>
            <w:noWrap w:val="0"/>
            <w:vAlign w:val="top"/>
          </w:tcPr>
          <w:p>
            <w:pPr>
              <w:pStyle w:val="20"/>
              <w:widowControl/>
              <w:ind w:firstLine="0" w:firstLineChars="0"/>
              <w:jc w:val="left"/>
              <w:rPr>
                <w:rFonts w:ascii="等线" w:hAnsi="等线" w:cs="等线"/>
                <w:color w:val="auto"/>
                <w:kern w:val="0"/>
                <w:sz w:val="21"/>
                <w:szCs w:val="21"/>
                <w:lang w:bidi="ar"/>
              </w:rPr>
            </w:pPr>
          </w:p>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代表中国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noWrap w:val="0"/>
            <w:vAlign w:val="top"/>
          </w:tcPr>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2</w:t>
            </w:r>
          </w:p>
        </w:tc>
        <w:tc>
          <w:tcPr>
            <w:tcW w:w="3230" w:type="dxa"/>
            <w:noWrap w:val="0"/>
            <w:vAlign w:val="top"/>
          </w:tcPr>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世界大学生运动会</w:t>
            </w:r>
            <w:r>
              <w:rPr>
                <w:rFonts w:ascii="等线" w:hAnsi="等线" w:cs="等线"/>
                <w:color w:val="auto"/>
                <w:kern w:val="0"/>
                <w:sz w:val="21"/>
                <w:szCs w:val="21"/>
                <w:lang w:bidi="ar"/>
              </w:rPr>
              <w:t>/亚洲大学生锦标赛</w:t>
            </w:r>
          </w:p>
        </w:tc>
        <w:tc>
          <w:tcPr>
            <w:tcW w:w="1525" w:type="dxa"/>
            <w:noWrap w:val="0"/>
            <w:vAlign w:val="center"/>
          </w:tcPr>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前八名</w:t>
            </w:r>
          </w:p>
        </w:tc>
        <w:tc>
          <w:tcPr>
            <w:tcW w:w="738" w:type="dxa"/>
            <w:noWrap w:val="0"/>
            <w:vAlign w:val="center"/>
          </w:tcPr>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1.0</w:t>
            </w:r>
          </w:p>
        </w:tc>
        <w:tc>
          <w:tcPr>
            <w:tcW w:w="1857" w:type="dxa"/>
            <w:vMerge w:val="continue"/>
            <w:noWrap w:val="0"/>
            <w:vAlign w:val="top"/>
          </w:tcPr>
          <w:p>
            <w:pPr>
              <w:pStyle w:val="20"/>
              <w:widowControl/>
              <w:ind w:firstLine="0" w:firstLineChars="0"/>
              <w:jc w:val="left"/>
              <w:rPr>
                <w:rFonts w:ascii="等线" w:hAnsi="等线" w:cs="等线"/>
                <w:color w:val="auto"/>
                <w:kern w:val="0"/>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noWrap w:val="0"/>
            <w:vAlign w:val="top"/>
          </w:tcPr>
          <w:p>
            <w:pPr>
              <w:pStyle w:val="20"/>
              <w:widowControl/>
              <w:ind w:firstLine="0" w:firstLineChars="0"/>
              <w:jc w:val="center"/>
              <w:rPr>
                <w:rFonts w:ascii="等线" w:hAnsi="等线" w:cs="等线"/>
                <w:color w:val="auto"/>
                <w:kern w:val="0"/>
                <w:sz w:val="21"/>
                <w:szCs w:val="21"/>
                <w:lang w:bidi="ar"/>
              </w:rPr>
            </w:pPr>
          </w:p>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3</w:t>
            </w:r>
          </w:p>
        </w:tc>
        <w:tc>
          <w:tcPr>
            <w:tcW w:w="3230" w:type="dxa"/>
            <w:noWrap w:val="0"/>
            <w:vAlign w:val="center"/>
          </w:tcPr>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全国运动会</w:t>
            </w:r>
            <w:r>
              <w:rPr>
                <w:rFonts w:ascii="等线" w:hAnsi="等线" w:cs="等线"/>
                <w:color w:val="auto"/>
                <w:kern w:val="0"/>
                <w:sz w:val="21"/>
                <w:szCs w:val="21"/>
                <w:lang w:bidi="ar"/>
              </w:rPr>
              <w:t>(成人组且不包括群众组)/全国学生（青年）运动会</w:t>
            </w:r>
          </w:p>
        </w:tc>
        <w:tc>
          <w:tcPr>
            <w:tcW w:w="1525" w:type="dxa"/>
            <w:noWrap w:val="0"/>
            <w:vAlign w:val="top"/>
          </w:tcPr>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单项前三名，集体项目前</w:t>
            </w:r>
            <w:r>
              <w:rPr>
                <w:rFonts w:ascii="等线" w:hAnsi="等线" w:cs="等线"/>
                <w:color w:val="auto"/>
                <w:kern w:val="0"/>
                <w:sz w:val="21"/>
                <w:szCs w:val="21"/>
                <w:lang w:bidi="ar"/>
              </w:rPr>
              <w:t>八名主力队员</w:t>
            </w:r>
          </w:p>
        </w:tc>
        <w:tc>
          <w:tcPr>
            <w:tcW w:w="738" w:type="dxa"/>
            <w:noWrap w:val="0"/>
            <w:vAlign w:val="top"/>
          </w:tcPr>
          <w:p>
            <w:pPr>
              <w:pStyle w:val="20"/>
              <w:widowControl/>
              <w:ind w:firstLine="0" w:firstLineChars="0"/>
              <w:jc w:val="center"/>
              <w:rPr>
                <w:rFonts w:ascii="等线" w:hAnsi="等线" w:cs="等线"/>
                <w:color w:val="auto"/>
                <w:kern w:val="0"/>
                <w:sz w:val="21"/>
                <w:szCs w:val="21"/>
                <w:lang w:bidi="ar"/>
              </w:rPr>
            </w:pPr>
          </w:p>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1.0</w:t>
            </w:r>
          </w:p>
        </w:tc>
        <w:tc>
          <w:tcPr>
            <w:tcW w:w="1857" w:type="dxa"/>
            <w:noWrap w:val="0"/>
            <w:vAlign w:val="top"/>
          </w:tcPr>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经学校批准同意代表某省（直辖市、自治区）队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noWrap w:val="0"/>
            <w:vAlign w:val="top"/>
          </w:tcPr>
          <w:p>
            <w:pPr>
              <w:pStyle w:val="20"/>
              <w:widowControl/>
              <w:ind w:firstLine="0" w:firstLineChars="0"/>
              <w:jc w:val="center"/>
              <w:rPr>
                <w:rFonts w:ascii="等线" w:hAnsi="等线" w:cs="等线"/>
                <w:color w:val="auto"/>
                <w:kern w:val="0"/>
                <w:sz w:val="21"/>
                <w:szCs w:val="21"/>
                <w:lang w:bidi="ar"/>
              </w:rPr>
            </w:pPr>
          </w:p>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4</w:t>
            </w:r>
          </w:p>
        </w:tc>
        <w:tc>
          <w:tcPr>
            <w:tcW w:w="3230" w:type="dxa"/>
            <w:noWrap w:val="0"/>
            <w:vAlign w:val="top"/>
          </w:tcPr>
          <w:p>
            <w:pPr>
              <w:widowControl/>
              <w:jc w:val="left"/>
              <w:rPr>
                <w:rFonts w:ascii="等线" w:hAnsi="等线" w:cs="等线"/>
                <w:color w:val="auto"/>
                <w:kern w:val="0"/>
                <w:sz w:val="21"/>
                <w:szCs w:val="21"/>
                <w:lang w:bidi="ar"/>
              </w:rPr>
            </w:pPr>
          </w:p>
          <w:p>
            <w:pPr>
              <w:widowControl/>
              <w:jc w:val="left"/>
              <w:rPr>
                <w:rFonts w:ascii="等线" w:hAnsi="等线" w:cs="等线"/>
                <w:color w:val="auto"/>
                <w:kern w:val="0"/>
                <w:sz w:val="21"/>
                <w:szCs w:val="21"/>
                <w:lang w:bidi="ar"/>
              </w:rPr>
            </w:pPr>
            <w:r>
              <w:rPr>
                <w:rFonts w:hint="eastAsia" w:ascii="等线" w:hAnsi="等线" w:cs="等线"/>
                <w:color w:val="auto"/>
                <w:kern w:val="0"/>
                <w:sz w:val="21"/>
                <w:szCs w:val="21"/>
                <w:lang w:bidi="ar"/>
              </w:rPr>
              <w:t>全国各单项大学生锦标赛（奥运</w:t>
            </w:r>
            <w:r>
              <w:rPr>
                <w:rFonts w:ascii="等线" w:hAnsi="等线" w:cs="等线"/>
                <w:color w:val="auto"/>
                <w:kern w:val="0"/>
                <w:sz w:val="21"/>
                <w:szCs w:val="21"/>
                <w:lang w:bidi="ar"/>
              </w:rPr>
              <w:t>项目）</w:t>
            </w:r>
          </w:p>
        </w:tc>
        <w:tc>
          <w:tcPr>
            <w:tcW w:w="1525" w:type="dxa"/>
            <w:noWrap w:val="0"/>
            <w:vAlign w:val="top"/>
          </w:tcPr>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单项冠军，集体项目前六</w:t>
            </w:r>
            <w:r>
              <w:rPr>
                <w:rFonts w:ascii="等线" w:hAnsi="等线" w:cs="等线"/>
                <w:color w:val="auto"/>
                <w:kern w:val="0"/>
                <w:sz w:val="21"/>
                <w:szCs w:val="21"/>
                <w:lang w:bidi="ar"/>
              </w:rPr>
              <w:t>名的主力队员</w:t>
            </w:r>
          </w:p>
        </w:tc>
        <w:tc>
          <w:tcPr>
            <w:tcW w:w="738" w:type="dxa"/>
            <w:noWrap w:val="0"/>
            <w:vAlign w:val="top"/>
          </w:tcPr>
          <w:p>
            <w:pPr>
              <w:pStyle w:val="20"/>
              <w:widowControl/>
              <w:ind w:firstLine="0" w:firstLineChars="0"/>
              <w:rPr>
                <w:rFonts w:ascii="等线" w:hAnsi="等线" w:cs="等线"/>
                <w:color w:val="auto"/>
                <w:kern w:val="0"/>
                <w:sz w:val="21"/>
                <w:szCs w:val="21"/>
                <w:lang w:bidi="ar"/>
              </w:rPr>
            </w:pPr>
          </w:p>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1.0</w:t>
            </w:r>
          </w:p>
        </w:tc>
        <w:tc>
          <w:tcPr>
            <w:tcW w:w="1857" w:type="dxa"/>
            <w:vMerge w:val="restart"/>
            <w:noWrap w:val="0"/>
            <w:vAlign w:val="top"/>
          </w:tcPr>
          <w:p>
            <w:pPr>
              <w:pStyle w:val="20"/>
              <w:widowControl/>
              <w:ind w:firstLine="0" w:firstLineChars="0"/>
              <w:jc w:val="left"/>
              <w:rPr>
                <w:rFonts w:ascii="等线" w:hAnsi="等线" w:cs="等线"/>
                <w:color w:val="auto"/>
                <w:kern w:val="0"/>
                <w:sz w:val="21"/>
                <w:szCs w:val="21"/>
                <w:lang w:bidi="ar"/>
              </w:rPr>
            </w:pPr>
          </w:p>
          <w:p>
            <w:pPr>
              <w:widowControl/>
              <w:rPr>
                <w:rFonts w:ascii="等线" w:hAnsi="等线" w:cs="等线"/>
                <w:color w:val="auto"/>
                <w:kern w:val="0"/>
                <w:sz w:val="21"/>
                <w:szCs w:val="21"/>
                <w:lang w:bidi="ar"/>
              </w:rPr>
            </w:pPr>
          </w:p>
          <w:p>
            <w:pPr>
              <w:widowControl/>
              <w:rPr>
                <w:rFonts w:ascii="等线" w:hAnsi="等线" w:cs="等线"/>
                <w:color w:val="auto"/>
                <w:kern w:val="0"/>
                <w:sz w:val="21"/>
                <w:szCs w:val="21"/>
                <w:lang w:bidi="ar"/>
              </w:rPr>
            </w:pPr>
          </w:p>
          <w:p>
            <w:pPr>
              <w:widowControl/>
              <w:rPr>
                <w:rFonts w:ascii="等线" w:hAnsi="等线" w:cs="等线"/>
                <w:color w:val="auto"/>
                <w:kern w:val="0"/>
                <w:sz w:val="21"/>
                <w:szCs w:val="21"/>
                <w:lang w:bidi="ar"/>
              </w:rPr>
            </w:pPr>
          </w:p>
          <w:p>
            <w:pPr>
              <w:widowControl/>
              <w:rPr>
                <w:rFonts w:ascii="等线" w:hAnsi="等线" w:cs="等线"/>
                <w:color w:val="auto"/>
                <w:kern w:val="0"/>
                <w:sz w:val="21"/>
                <w:szCs w:val="21"/>
                <w:lang w:bidi="ar"/>
              </w:rPr>
            </w:pPr>
          </w:p>
          <w:p>
            <w:pPr>
              <w:widowControl/>
              <w:rPr>
                <w:rFonts w:ascii="等线" w:hAnsi="等线" w:cs="等线"/>
                <w:color w:val="auto"/>
                <w:kern w:val="0"/>
                <w:sz w:val="21"/>
                <w:szCs w:val="21"/>
                <w:lang w:bidi="ar"/>
              </w:rPr>
            </w:pPr>
          </w:p>
          <w:p>
            <w:pPr>
              <w:rPr>
                <w:rFonts w:ascii="等线" w:hAnsi="等线" w:cs="等线"/>
                <w:color w:val="auto"/>
                <w:kern w:val="0"/>
                <w:sz w:val="21"/>
                <w:szCs w:val="21"/>
                <w:lang w:bidi="ar"/>
              </w:rPr>
            </w:pPr>
            <w:r>
              <w:rPr>
                <w:rFonts w:hint="eastAsia" w:ascii="等线" w:hAnsi="等线" w:cs="等线"/>
                <w:color w:val="auto"/>
                <w:kern w:val="0"/>
                <w:sz w:val="21"/>
                <w:szCs w:val="21"/>
                <w:lang w:bidi="ar"/>
              </w:rPr>
              <w:t>经学校批准同意代表浙江大学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noWrap w:val="0"/>
            <w:vAlign w:val="top"/>
          </w:tcPr>
          <w:p>
            <w:pPr>
              <w:widowControl/>
              <w:jc w:val="center"/>
              <w:rPr>
                <w:rFonts w:ascii="等线" w:hAnsi="等线" w:cs="等线"/>
                <w:color w:val="auto"/>
                <w:kern w:val="0"/>
                <w:sz w:val="21"/>
                <w:szCs w:val="21"/>
                <w:lang w:bidi="ar"/>
              </w:rPr>
            </w:pPr>
          </w:p>
          <w:p>
            <w:pPr>
              <w:widowControl/>
              <w:jc w:val="center"/>
              <w:rPr>
                <w:rFonts w:ascii="等线" w:hAnsi="等线" w:cs="等线"/>
                <w:color w:val="auto"/>
                <w:kern w:val="0"/>
                <w:sz w:val="21"/>
                <w:szCs w:val="21"/>
                <w:lang w:bidi="ar"/>
              </w:rPr>
            </w:pPr>
          </w:p>
          <w:p>
            <w:pPr>
              <w:widowControl/>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5</w:t>
            </w:r>
          </w:p>
        </w:tc>
        <w:tc>
          <w:tcPr>
            <w:tcW w:w="3230" w:type="dxa"/>
            <w:noWrap w:val="0"/>
            <w:vAlign w:val="top"/>
          </w:tcPr>
          <w:p>
            <w:pPr>
              <w:widowControl/>
              <w:rPr>
                <w:rFonts w:ascii="等线" w:hAnsi="等线" w:cs="等线"/>
                <w:color w:val="auto"/>
                <w:kern w:val="0"/>
                <w:sz w:val="21"/>
                <w:szCs w:val="21"/>
                <w:lang w:bidi="ar"/>
              </w:rPr>
            </w:pPr>
          </w:p>
          <w:p>
            <w:pPr>
              <w:widowControl/>
              <w:rPr>
                <w:rFonts w:ascii="等线" w:hAnsi="等线" w:cs="等线"/>
                <w:color w:val="auto"/>
                <w:kern w:val="0"/>
                <w:sz w:val="21"/>
                <w:szCs w:val="21"/>
                <w:lang w:bidi="ar"/>
              </w:rPr>
            </w:pPr>
          </w:p>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全国各单项大学生锦标赛（非奥运项目）</w:t>
            </w:r>
          </w:p>
        </w:tc>
        <w:tc>
          <w:tcPr>
            <w:tcW w:w="1525" w:type="dxa"/>
            <w:noWrap w:val="0"/>
            <w:vAlign w:val="top"/>
          </w:tcPr>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单项冠军两次及以上，集体项目前六名两次及以上的主力队员</w:t>
            </w:r>
          </w:p>
        </w:tc>
        <w:tc>
          <w:tcPr>
            <w:tcW w:w="738" w:type="dxa"/>
            <w:noWrap w:val="0"/>
            <w:vAlign w:val="top"/>
          </w:tcPr>
          <w:p>
            <w:pPr>
              <w:widowControl/>
              <w:jc w:val="center"/>
              <w:rPr>
                <w:rFonts w:ascii="等线" w:hAnsi="等线" w:cs="等线"/>
                <w:color w:val="auto"/>
                <w:kern w:val="0"/>
                <w:sz w:val="21"/>
                <w:szCs w:val="21"/>
                <w:lang w:bidi="ar"/>
              </w:rPr>
            </w:pPr>
          </w:p>
          <w:p>
            <w:pPr>
              <w:widowControl/>
              <w:rPr>
                <w:rFonts w:ascii="等线" w:hAnsi="等线" w:cs="等线"/>
                <w:color w:val="auto"/>
                <w:kern w:val="0"/>
                <w:sz w:val="21"/>
                <w:szCs w:val="21"/>
                <w:lang w:bidi="ar"/>
              </w:rPr>
            </w:pPr>
          </w:p>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0.06</w:t>
            </w:r>
          </w:p>
        </w:tc>
        <w:tc>
          <w:tcPr>
            <w:tcW w:w="1857" w:type="dxa"/>
            <w:vMerge w:val="continue"/>
            <w:noWrap w:val="0"/>
            <w:vAlign w:val="top"/>
          </w:tcPr>
          <w:p>
            <w:pPr>
              <w:widowControl/>
              <w:rPr>
                <w:rFonts w:ascii="等线" w:hAnsi="等线" w:cs="等线"/>
                <w:color w:val="auto"/>
                <w:kern w:val="0"/>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noWrap w:val="0"/>
            <w:vAlign w:val="top"/>
          </w:tcPr>
          <w:p>
            <w:pPr>
              <w:widowControl/>
              <w:jc w:val="center"/>
              <w:rPr>
                <w:rFonts w:ascii="等线" w:hAnsi="等线" w:cs="等线"/>
                <w:color w:val="auto"/>
                <w:kern w:val="0"/>
                <w:sz w:val="21"/>
                <w:szCs w:val="21"/>
                <w:lang w:bidi="ar"/>
              </w:rPr>
            </w:pPr>
          </w:p>
          <w:p>
            <w:pPr>
              <w:widowControl/>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6</w:t>
            </w:r>
          </w:p>
        </w:tc>
        <w:tc>
          <w:tcPr>
            <w:tcW w:w="3230" w:type="dxa"/>
            <w:noWrap w:val="0"/>
            <w:vAlign w:val="top"/>
          </w:tcPr>
          <w:p>
            <w:pPr>
              <w:widowControl/>
              <w:rPr>
                <w:rFonts w:ascii="等线" w:hAnsi="等线" w:cs="等线"/>
                <w:color w:val="auto"/>
                <w:kern w:val="0"/>
                <w:sz w:val="21"/>
                <w:szCs w:val="21"/>
                <w:lang w:bidi="ar"/>
              </w:rPr>
            </w:pPr>
          </w:p>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全国各单项大学生锦标赛</w:t>
            </w:r>
          </w:p>
        </w:tc>
        <w:tc>
          <w:tcPr>
            <w:tcW w:w="1525" w:type="dxa"/>
            <w:noWrap w:val="0"/>
            <w:vAlign w:val="top"/>
          </w:tcPr>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单项前六名，集体项目前八名</w:t>
            </w:r>
          </w:p>
        </w:tc>
        <w:tc>
          <w:tcPr>
            <w:tcW w:w="738" w:type="dxa"/>
            <w:noWrap w:val="0"/>
            <w:vAlign w:val="top"/>
          </w:tcPr>
          <w:p>
            <w:pPr>
              <w:widowControl/>
              <w:rPr>
                <w:rFonts w:ascii="等线" w:hAnsi="等线" w:cs="等线"/>
                <w:color w:val="auto"/>
                <w:kern w:val="0"/>
                <w:sz w:val="21"/>
                <w:szCs w:val="21"/>
                <w:lang w:bidi="ar"/>
              </w:rPr>
            </w:pPr>
          </w:p>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0.04</w:t>
            </w:r>
          </w:p>
        </w:tc>
        <w:tc>
          <w:tcPr>
            <w:tcW w:w="1857" w:type="dxa"/>
            <w:vMerge w:val="continue"/>
            <w:noWrap w:val="0"/>
            <w:vAlign w:val="top"/>
          </w:tcPr>
          <w:p>
            <w:pPr>
              <w:widowControl/>
              <w:rPr>
                <w:rFonts w:ascii="等线" w:hAnsi="等线" w:cs="等线"/>
                <w:color w:val="auto"/>
                <w:kern w:val="0"/>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noWrap w:val="0"/>
            <w:vAlign w:val="top"/>
          </w:tcPr>
          <w:p>
            <w:pPr>
              <w:widowControl/>
              <w:jc w:val="center"/>
              <w:rPr>
                <w:rFonts w:ascii="等线" w:hAnsi="等线" w:cs="等线"/>
                <w:color w:val="auto"/>
                <w:kern w:val="0"/>
                <w:sz w:val="21"/>
                <w:szCs w:val="21"/>
                <w:lang w:bidi="ar"/>
              </w:rPr>
            </w:pPr>
          </w:p>
          <w:p>
            <w:pPr>
              <w:widowControl/>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7</w:t>
            </w:r>
          </w:p>
        </w:tc>
        <w:tc>
          <w:tcPr>
            <w:tcW w:w="3230" w:type="dxa"/>
            <w:noWrap w:val="0"/>
            <w:vAlign w:val="center"/>
          </w:tcPr>
          <w:p>
            <w:pPr>
              <w:widowControl/>
              <w:jc w:val="center"/>
              <w:rPr>
                <w:rFonts w:ascii="等线" w:hAnsi="等线" w:cs="等线"/>
                <w:color w:val="auto"/>
                <w:kern w:val="0"/>
                <w:sz w:val="21"/>
                <w:szCs w:val="21"/>
                <w:lang w:bidi="ar"/>
              </w:rPr>
            </w:pPr>
          </w:p>
          <w:p>
            <w:pPr>
              <w:widowControl/>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浙江省大学生运动会和浙江省大学生单项锦标赛（普通生组）</w:t>
            </w:r>
          </w:p>
        </w:tc>
        <w:tc>
          <w:tcPr>
            <w:tcW w:w="1525" w:type="dxa"/>
            <w:noWrap w:val="0"/>
            <w:vAlign w:val="top"/>
          </w:tcPr>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单项冠军两次及以上，集体项目前三名两次及以上的主力队员</w:t>
            </w:r>
          </w:p>
        </w:tc>
        <w:tc>
          <w:tcPr>
            <w:tcW w:w="738" w:type="dxa"/>
            <w:noWrap w:val="0"/>
            <w:vAlign w:val="top"/>
          </w:tcPr>
          <w:p>
            <w:pPr>
              <w:widowControl/>
              <w:jc w:val="center"/>
              <w:rPr>
                <w:rFonts w:ascii="等线" w:hAnsi="等线" w:cs="等线"/>
                <w:color w:val="auto"/>
                <w:kern w:val="0"/>
                <w:sz w:val="21"/>
                <w:szCs w:val="21"/>
                <w:lang w:bidi="ar"/>
              </w:rPr>
            </w:pPr>
          </w:p>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0.04</w:t>
            </w:r>
          </w:p>
        </w:tc>
        <w:tc>
          <w:tcPr>
            <w:tcW w:w="1857" w:type="dxa"/>
            <w:vMerge w:val="continue"/>
            <w:noWrap w:val="0"/>
            <w:vAlign w:val="top"/>
          </w:tcPr>
          <w:p>
            <w:pPr>
              <w:widowControl/>
              <w:rPr>
                <w:rFonts w:ascii="等线" w:hAnsi="等线" w:cs="等线"/>
                <w:color w:val="auto"/>
                <w:kern w:val="0"/>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noWrap w:val="0"/>
            <w:vAlign w:val="top"/>
          </w:tcPr>
          <w:p>
            <w:pPr>
              <w:widowControl/>
              <w:jc w:val="center"/>
              <w:rPr>
                <w:rFonts w:ascii="等线" w:hAnsi="等线" w:cs="等线"/>
                <w:color w:val="auto"/>
                <w:kern w:val="0"/>
                <w:sz w:val="21"/>
                <w:szCs w:val="21"/>
                <w:lang w:bidi="ar"/>
              </w:rPr>
            </w:pPr>
          </w:p>
          <w:p>
            <w:pPr>
              <w:widowControl/>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8</w:t>
            </w:r>
          </w:p>
        </w:tc>
        <w:tc>
          <w:tcPr>
            <w:tcW w:w="3230" w:type="dxa"/>
            <w:noWrap w:val="0"/>
            <w:vAlign w:val="center"/>
          </w:tcPr>
          <w:p>
            <w:pPr>
              <w:widowControl/>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浙江省大学生运动会和浙江省大学生单项锦标赛（普通生组）</w:t>
            </w:r>
          </w:p>
        </w:tc>
        <w:tc>
          <w:tcPr>
            <w:tcW w:w="1525" w:type="dxa"/>
            <w:noWrap w:val="0"/>
            <w:vAlign w:val="top"/>
          </w:tcPr>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单项冠军、亚军，集体项目前四名的主力队员</w:t>
            </w:r>
          </w:p>
        </w:tc>
        <w:tc>
          <w:tcPr>
            <w:tcW w:w="738" w:type="dxa"/>
            <w:noWrap w:val="0"/>
            <w:vAlign w:val="top"/>
          </w:tcPr>
          <w:p>
            <w:pPr>
              <w:widowControl/>
              <w:jc w:val="center"/>
              <w:rPr>
                <w:rFonts w:ascii="等线" w:hAnsi="等线" w:cs="等线"/>
                <w:color w:val="auto"/>
                <w:kern w:val="0"/>
                <w:sz w:val="21"/>
                <w:szCs w:val="21"/>
                <w:lang w:bidi="ar"/>
              </w:rPr>
            </w:pPr>
          </w:p>
          <w:p>
            <w:pPr>
              <w:widowControl/>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0.02</w:t>
            </w:r>
          </w:p>
        </w:tc>
        <w:tc>
          <w:tcPr>
            <w:tcW w:w="1857" w:type="dxa"/>
            <w:vMerge w:val="continue"/>
            <w:noWrap w:val="0"/>
            <w:vAlign w:val="top"/>
          </w:tcPr>
          <w:p>
            <w:pPr>
              <w:widowControl/>
              <w:rPr>
                <w:rFonts w:ascii="等线" w:hAnsi="等线" w:cs="等线"/>
                <w:color w:val="auto"/>
                <w:kern w:val="0"/>
                <w:sz w:val="21"/>
                <w:szCs w:val="21"/>
                <w:lang w:bidi="ar"/>
              </w:rPr>
            </w:pPr>
          </w:p>
        </w:tc>
      </w:tr>
    </w:tbl>
    <w:p>
      <w:pPr>
        <w:widowControl/>
        <w:ind w:firstLine="210" w:firstLineChars="100"/>
        <w:rPr>
          <w:rFonts w:ascii="等线" w:hAnsi="等线" w:cs="等线"/>
          <w:color w:val="auto"/>
          <w:kern w:val="0"/>
          <w:szCs w:val="21"/>
          <w:lang w:bidi="ar"/>
        </w:rPr>
      </w:pPr>
      <w:r>
        <w:rPr>
          <w:rFonts w:hint="eastAsia" w:ascii="等线" w:hAnsi="等线" w:cs="等线"/>
          <w:color w:val="auto"/>
          <w:kern w:val="0"/>
          <w:szCs w:val="21"/>
          <w:lang w:bidi="ar"/>
        </w:rPr>
        <w:t>注：上述集体项目指最终只决出一个总冠军的比赛项目。</w:t>
      </w:r>
    </w:p>
    <w:p>
      <w:pPr>
        <w:widowControl/>
        <w:ind w:firstLine="210" w:firstLineChars="100"/>
        <w:jc w:val="left"/>
        <w:rPr>
          <w:rFonts w:ascii="等线" w:hAnsi="等线" w:cs="等线"/>
          <w:color w:val="auto"/>
          <w:kern w:val="0"/>
          <w:szCs w:val="21"/>
          <w:lang w:bidi="ar"/>
        </w:rPr>
      </w:pPr>
    </w:p>
    <w:p>
      <w:pPr>
        <w:pStyle w:val="20"/>
        <w:widowControl/>
        <w:ind w:left="720" w:firstLine="720" w:firstLineChars="300"/>
        <w:rPr>
          <w:rFonts w:ascii="等线" w:hAnsi="等线" w:cs="等线"/>
          <w:b/>
          <w:color w:val="auto"/>
          <w:kern w:val="0"/>
          <w:sz w:val="24"/>
          <w:szCs w:val="24"/>
          <w:lang w:bidi="ar"/>
        </w:rPr>
      </w:pPr>
      <w:r>
        <w:rPr>
          <w:rFonts w:hint="eastAsia" w:ascii="等线" w:hAnsi="等线" w:cs="等线"/>
          <w:b/>
          <w:color w:val="auto"/>
          <w:kern w:val="0"/>
          <w:sz w:val="24"/>
          <w:szCs w:val="24"/>
          <w:lang w:bidi="ar"/>
        </w:rPr>
        <w:t>重大艺术比赛（非艺术类专业）清单和加分细则</w:t>
      </w:r>
    </w:p>
    <w:tbl>
      <w:tblPr>
        <w:tblStyle w:val="9"/>
        <w:tblW w:w="80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2761"/>
        <w:gridCol w:w="2268"/>
        <w:gridCol w:w="709"/>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pPr>
              <w:pStyle w:val="20"/>
              <w:widowControl/>
              <w:ind w:firstLine="0" w:firstLineChars="0"/>
              <w:jc w:val="center"/>
              <w:rPr>
                <w:rFonts w:ascii="等线" w:hAnsi="等线" w:cs="等线"/>
                <w:b/>
                <w:color w:val="auto"/>
                <w:kern w:val="0"/>
                <w:sz w:val="21"/>
                <w:szCs w:val="21"/>
                <w:lang w:bidi="ar"/>
              </w:rPr>
            </w:pPr>
            <w:r>
              <w:rPr>
                <w:rFonts w:hint="eastAsia" w:ascii="等线" w:hAnsi="等线" w:cs="等线"/>
                <w:b/>
                <w:color w:val="auto"/>
                <w:kern w:val="0"/>
                <w:sz w:val="21"/>
                <w:szCs w:val="21"/>
                <w:lang w:bidi="ar"/>
              </w:rPr>
              <w:t>序号</w:t>
            </w:r>
          </w:p>
        </w:tc>
        <w:tc>
          <w:tcPr>
            <w:tcW w:w="2761" w:type="dxa"/>
            <w:noWrap w:val="0"/>
            <w:vAlign w:val="top"/>
          </w:tcPr>
          <w:p>
            <w:pPr>
              <w:pStyle w:val="20"/>
              <w:widowControl/>
              <w:ind w:firstLine="0" w:firstLineChars="0"/>
              <w:jc w:val="center"/>
              <w:rPr>
                <w:rFonts w:ascii="等线" w:hAnsi="等线" w:cs="等线"/>
                <w:b/>
                <w:color w:val="auto"/>
                <w:kern w:val="0"/>
                <w:sz w:val="21"/>
                <w:szCs w:val="21"/>
                <w:lang w:bidi="ar"/>
              </w:rPr>
            </w:pPr>
            <w:r>
              <w:rPr>
                <w:rFonts w:hint="eastAsia" w:ascii="等线" w:hAnsi="等线" w:cs="等线"/>
                <w:b/>
                <w:color w:val="auto"/>
                <w:kern w:val="0"/>
                <w:sz w:val="21"/>
                <w:szCs w:val="21"/>
                <w:lang w:bidi="ar"/>
              </w:rPr>
              <w:t>项目名称</w:t>
            </w:r>
          </w:p>
        </w:tc>
        <w:tc>
          <w:tcPr>
            <w:tcW w:w="2268" w:type="dxa"/>
            <w:noWrap w:val="0"/>
            <w:vAlign w:val="top"/>
          </w:tcPr>
          <w:p>
            <w:pPr>
              <w:pStyle w:val="20"/>
              <w:widowControl/>
              <w:ind w:firstLine="0" w:firstLineChars="0"/>
              <w:jc w:val="center"/>
              <w:rPr>
                <w:rFonts w:ascii="等线" w:hAnsi="等线" w:cs="等线"/>
                <w:b/>
                <w:color w:val="auto"/>
                <w:kern w:val="0"/>
                <w:sz w:val="21"/>
                <w:szCs w:val="21"/>
                <w:lang w:bidi="ar"/>
              </w:rPr>
            </w:pPr>
            <w:r>
              <w:rPr>
                <w:rFonts w:hint="eastAsia" w:ascii="等线" w:hAnsi="等线" w:cs="等线"/>
                <w:b/>
                <w:color w:val="auto"/>
                <w:kern w:val="0"/>
                <w:sz w:val="21"/>
                <w:szCs w:val="21"/>
                <w:lang w:bidi="ar"/>
              </w:rPr>
              <w:t>比赛成绩</w:t>
            </w:r>
          </w:p>
        </w:tc>
        <w:tc>
          <w:tcPr>
            <w:tcW w:w="709" w:type="dxa"/>
            <w:noWrap w:val="0"/>
            <w:vAlign w:val="top"/>
          </w:tcPr>
          <w:p>
            <w:pPr>
              <w:pStyle w:val="20"/>
              <w:widowControl/>
              <w:ind w:firstLine="0" w:firstLineChars="0"/>
              <w:jc w:val="center"/>
              <w:rPr>
                <w:rFonts w:ascii="等线" w:hAnsi="等线" w:cs="等线"/>
                <w:b/>
                <w:color w:val="auto"/>
                <w:kern w:val="0"/>
                <w:sz w:val="21"/>
                <w:szCs w:val="21"/>
                <w:lang w:bidi="ar"/>
              </w:rPr>
            </w:pPr>
            <w:r>
              <w:rPr>
                <w:rFonts w:hint="eastAsia" w:ascii="等线" w:hAnsi="等线" w:cs="等线"/>
                <w:b/>
                <w:color w:val="auto"/>
                <w:kern w:val="0"/>
                <w:sz w:val="21"/>
                <w:szCs w:val="21"/>
                <w:lang w:bidi="ar"/>
              </w:rPr>
              <w:t>加分</w:t>
            </w:r>
          </w:p>
        </w:tc>
        <w:tc>
          <w:tcPr>
            <w:tcW w:w="1671" w:type="dxa"/>
            <w:noWrap w:val="0"/>
            <w:vAlign w:val="top"/>
          </w:tcPr>
          <w:p>
            <w:pPr>
              <w:pStyle w:val="20"/>
              <w:widowControl/>
              <w:ind w:firstLine="0" w:firstLineChars="0"/>
              <w:jc w:val="center"/>
              <w:rPr>
                <w:rFonts w:ascii="等线" w:hAnsi="等线" w:cs="等线"/>
                <w:b/>
                <w:color w:val="auto"/>
                <w:kern w:val="0"/>
                <w:sz w:val="21"/>
                <w:szCs w:val="21"/>
                <w:lang w:bidi="ar"/>
              </w:rPr>
            </w:pPr>
            <w:r>
              <w:rPr>
                <w:rFonts w:hint="eastAsia" w:ascii="等线" w:hAnsi="等线" w:cs="等线"/>
                <w:b/>
                <w:color w:val="auto"/>
                <w:kern w:val="0"/>
                <w:sz w:val="21"/>
                <w:szCs w:val="21"/>
                <w:lang w:bidi="ar"/>
              </w:rPr>
              <w:t>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1</w:t>
            </w:r>
          </w:p>
        </w:tc>
        <w:tc>
          <w:tcPr>
            <w:tcW w:w="2761" w:type="dxa"/>
            <w:noWrap w:val="0"/>
            <w:vAlign w:val="top"/>
          </w:tcPr>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全国美术作品展览</w:t>
            </w:r>
          </w:p>
        </w:tc>
        <w:tc>
          <w:tcPr>
            <w:tcW w:w="2268" w:type="dxa"/>
            <w:noWrap w:val="0"/>
            <w:vAlign w:val="top"/>
          </w:tcPr>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提名奖及以上</w:t>
            </w:r>
          </w:p>
        </w:tc>
        <w:tc>
          <w:tcPr>
            <w:tcW w:w="709" w:type="dxa"/>
            <w:vMerge w:val="restart"/>
            <w:noWrap w:val="0"/>
            <w:vAlign w:val="center"/>
          </w:tcPr>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1.0</w:t>
            </w:r>
          </w:p>
        </w:tc>
        <w:tc>
          <w:tcPr>
            <w:tcW w:w="1671" w:type="dxa"/>
            <w:vMerge w:val="restart"/>
            <w:noWrap w:val="0"/>
            <w:vAlign w:val="top"/>
          </w:tcPr>
          <w:p>
            <w:pPr>
              <w:pStyle w:val="20"/>
              <w:widowControl/>
              <w:ind w:firstLine="0" w:firstLineChars="0"/>
              <w:jc w:val="left"/>
              <w:rPr>
                <w:rFonts w:ascii="等线" w:hAnsi="等线" w:cs="等线"/>
                <w:color w:val="auto"/>
                <w:kern w:val="0"/>
                <w:sz w:val="21"/>
                <w:szCs w:val="21"/>
                <w:lang w:bidi="ar"/>
              </w:rPr>
            </w:pPr>
          </w:p>
          <w:p>
            <w:pPr>
              <w:pStyle w:val="20"/>
              <w:widowControl/>
              <w:ind w:firstLine="630" w:firstLineChars="300"/>
              <w:jc w:val="left"/>
              <w:rPr>
                <w:rFonts w:ascii="等线" w:hAnsi="等线" w:cs="等线"/>
                <w:color w:val="auto"/>
                <w:kern w:val="0"/>
                <w:sz w:val="21"/>
                <w:szCs w:val="21"/>
                <w:lang w:bidi="ar"/>
              </w:rPr>
            </w:pPr>
            <w:r>
              <w:rPr>
                <w:rFonts w:hint="eastAsia" w:ascii="等线" w:hAnsi="等线" w:cs="等线"/>
                <w:color w:val="auto"/>
                <w:kern w:val="0"/>
                <w:sz w:val="21"/>
                <w:szCs w:val="21"/>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2</w:t>
            </w:r>
          </w:p>
        </w:tc>
        <w:tc>
          <w:tcPr>
            <w:tcW w:w="2761" w:type="dxa"/>
            <w:noWrap w:val="0"/>
            <w:vAlign w:val="top"/>
          </w:tcPr>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中国书法兰亭奖</w:t>
            </w:r>
          </w:p>
        </w:tc>
        <w:tc>
          <w:tcPr>
            <w:tcW w:w="2268" w:type="dxa"/>
            <w:noWrap w:val="0"/>
            <w:vAlign w:val="top"/>
          </w:tcPr>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提名奖及以上</w:t>
            </w:r>
          </w:p>
        </w:tc>
        <w:tc>
          <w:tcPr>
            <w:tcW w:w="709" w:type="dxa"/>
            <w:vMerge w:val="continue"/>
            <w:noWrap w:val="0"/>
            <w:vAlign w:val="top"/>
          </w:tcPr>
          <w:p>
            <w:pPr>
              <w:pStyle w:val="20"/>
              <w:widowControl/>
              <w:ind w:firstLine="0" w:firstLineChars="0"/>
              <w:jc w:val="center"/>
              <w:rPr>
                <w:rFonts w:ascii="等线" w:hAnsi="等线" w:cs="等线"/>
                <w:color w:val="auto"/>
                <w:kern w:val="0"/>
                <w:sz w:val="21"/>
                <w:szCs w:val="21"/>
                <w:lang w:bidi="ar"/>
              </w:rPr>
            </w:pPr>
          </w:p>
        </w:tc>
        <w:tc>
          <w:tcPr>
            <w:tcW w:w="1671" w:type="dxa"/>
            <w:vMerge w:val="continue"/>
            <w:noWrap w:val="0"/>
            <w:vAlign w:val="top"/>
          </w:tcPr>
          <w:p>
            <w:pPr>
              <w:pStyle w:val="20"/>
              <w:widowControl/>
              <w:ind w:firstLine="0" w:firstLineChars="0"/>
              <w:jc w:val="left"/>
              <w:rPr>
                <w:rFonts w:ascii="等线" w:hAnsi="等线" w:cs="等线"/>
                <w:color w:val="auto"/>
                <w:kern w:val="0"/>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3</w:t>
            </w:r>
          </w:p>
        </w:tc>
        <w:tc>
          <w:tcPr>
            <w:tcW w:w="2761" w:type="dxa"/>
            <w:noWrap w:val="0"/>
            <w:vAlign w:val="top"/>
          </w:tcPr>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中国音乐金钟奖</w:t>
            </w:r>
          </w:p>
        </w:tc>
        <w:tc>
          <w:tcPr>
            <w:tcW w:w="2268" w:type="dxa"/>
            <w:noWrap w:val="0"/>
            <w:vAlign w:val="top"/>
          </w:tcPr>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入围决赛</w:t>
            </w:r>
          </w:p>
        </w:tc>
        <w:tc>
          <w:tcPr>
            <w:tcW w:w="709" w:type="dxa"/>
            <w:vMerge w:val="continue"/>
            <w:noWrap w:val="0"/>
            <w:vAlign w:val="top"/>
          </w:tcPr>
          <w:p>
            <w:pPr>
              <w:pStyle w:val="20"/>
              <w:widowControl/>
              <w:ind w:firstLine="0" w:firstLineChars="0"/>
              <w:jc w:val="center"/>
              <w:rPr>
                <w:rFonts w:ascii="等线" w:hAnsi="等线" w:cs="等线"/>
                <w:color w:val="auto"/>
                <w:kern w:val="0"/>
                <w:sz w:val="21"/>
                <w:szCs w:val="21"/>
                <w:lang w:bidi="ar"/>
              </w:rPr>
            </w:pPr>
          </w:p>
        </w:tc>
        <w:tc>
          <w:tcPr>
            <w:tcW w:w="1671" w:type="dxa"/>
            <w:vMerge w:val="continue"/>
            <w:noWrap w:val="0"/>
            <w:vAlign w:val="top"/>
          </w:tcPr>
          <w:p>
            <w:pPr>
              <w:pStyle w:val="20"/>
              <w:widowControl/>
              <w:ind w:firstLine="0" w:firstLineChars="0"/>
              <w:jc w:val="left"/>
              <w:rPr>
                <w:rFonts w:ascii="等线" w:hAnsi="等线" w:cs="等线"/>
                <w:color w:val="auto"/>
                <w:kern w:val="0"/>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4</w:t>
            </w:r>
          </w:p>
        </w:tc>
        <w:tc>
          <w:tcPr>
            <w:tcW w:w="2761" w:type="dxa"/>
            <w:noWrap w:val="0"/>
            <w:vAlign w:val="top"/>
          </w:tcPr>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中国舞蹈荷花奖</w:t>
            </w:r>
          </w:p>
        </w:tc>
        <w:tc>
          <w:tcPr>
            <w:tcW w:w="2268" w:type="dxa"/>
            <w:noWrap w:val="0"/>
            <w:vAlign w:val="top"/>
          </w:tcPr>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获奖</w:t>
            </w:r>
          </w:p>
        </w:tc>
        <w:tc>
          <w:tcPr>
            <w:tcW w:w="709" w:type="dxa"/>
            <w:vMerge w:val="continue"/>
            <w:noWrap w:val="0"/>
            <w:vAlign w:val="top"/>
          </w:tcPr>
          <w:p>
            <w:pPr>
              <w:pStyle w:val="20"/>
              <w:widowControl/>
              <w:ind w:firstLine="0" w:firstLineChars="0"/>
              <w:jc w:val="center"/>
              <w:rPr>
                <w:rFonts w:ascii="等线" w:hAnsi="等线" w:cs="等线"/>
                <w:color w:val="auto"/>
                <w:kern w:val="0"/>
                <w:sz w:val="21"/>
                <w:szCs w:val="21"/>
                <w:lang w:bidi="ar"/>
              </w:rPr>
            </w:pPr>
          </w:p>
        </w:tc>
        <w:tc>
          <w:tcPr>
            <w:tcW w:w="1671" w:type="dxa"/>
            <w:vMerge w:val="continue"/>
            <w:noWrap w:val="0"/>
            <w:vAlign w:val="top"/>
          </w:tcPr>
          <w:p>
            <w:pPr>
              <w:pStyle w:val="20"/>
              <w:widowControl/>
              <w:ind w:firstLine="0" w:firstLineChars="0"/>
              <w:jc w:val="left"/>
              <w:rPr>
                <w:rFonts w:ascii="等线" w:hAnsi="等线" w:cs="等线"/>
                <w:color w:val="auto"/>
                <w:kern w:val="0"/>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pPr>
              <w:pStyle w:val="20"/>
              <w:widowControl/>
              <w:ind w:firstLine="0" w:firstLineChars="0"/>
              <w:jc w:val="center"/>
              <w:rPr>
                <w:rFonts w:ascii="等线" w:hAnsi="等线" w:cs="等线"/>
                <w:color w:val="auto"/>
                <w:kern w:val="0"/>
                <w:sz w:val="21"/>
                <w:szCs w:val="21"/>
                <w:lang w:bidi="ar"/>
              </w:rPr>
            </w:pPr>
          </w:p>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5</w:t>
            </w:r>
          </w:p>
        </w:tc>
        <w:tc>
          <w:tcPr>
            <w:tcW w:w="2761" w:type="dxa"/>
            <w:noWrap w:val="0"/>
            <w:vAlign w:val="top"/>
          </w:tcPr>
          <w:p>
            <w:pPr>
              <w:pStyle w:val="20"/>
              <w:widowControl/>
              <w:ind w:firstLine="0" w:firstLineChars="0"/>
              <w:jc w:val="left"/>
              <w:rPr>
                <w:rFonts w:ascii="等线" w:hAnsi="等线" w:cs="等线"/>
                <w:color w:val="auto"/>
                <w:kern w:val="0"/>
                <w:sz w:val="21"/>
                <w:szCs w:val="21"/>
                <w:lang w:bidi="ar"/>
              </w:rPr>
            </w:pPr>
          </w:p>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全国大学生艺术展演比赛</w:t>
            </w:r>
          </w:p>
        </w:tc>
        <w:tc>
          <w:tcPr>
            <w:tcW w:w="2268" w:type="dxa"/>
            <w:noWrap w:val="0"/>
            <w:vAlign w:val="top"/>
          </w:tcPr>
          <w:p>
            <w:pPr>
              <w:pStyle w:val="20"/>
              <w:widowControl/>
              <w:ind w:firstLine="0" w:firstLineChars="0"/>
              <w:jc w:val="left"/>
              <w:rPr>
                <w:rFonts w:ascii="等线" w:hAnsi="等线" w:cs="等线"/>
                <w:color w:val="auto"/>
                <w:kern w:val="0"/>
                <w:sz w:val="21"/>
                <w:szCs w:val="21"/>
                <w:lang w:bidi="ar"/>
              </w:rPr>
            </w:pPr>
            <w:r>
              <w:rPr>
                <w:rFonts w:hint="eastAsia" w:ascii="等线" w:hAnsi="等线" w:cs="等线"/>
                <w:color w:val="auto"/>
                <w:kern w:val="0"/>
                <w:sz w:val="21"/>
                <w:szCs w:val="21"/>
                <w:lang w:bidi="ar"/>
              </w:rPr>
              <w:t>获得一等奖（在集体比赛中担任主要角色且团内排名前二）或十佳歌手奖</w:t>
            </w:r>
          </w:p>
        </w:tc>
        <w:tc>
          <w:tcPr>
            <w:tcW w:w="709" w:type="dxa"/>
            <w:noWrap w:val="0"/>
            <w:vAlign w:val="center"/>
          </w:tcPr>
          <w:p>
            <w:pPr>
              <w:pStyle w:val="20"/>
              <w:widowControl/>
              <w:ind w:firstLine="0" w:firstLineChars="0"/>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1.0</w:t>
            </w:r>
          </w:p>
        </w:tc>
        <w:tc>
          <w:tcPr>
            <w:tcW w:w="1671" w:type="dxa"/>
            <w:vMerge w:val="restart"/>
            <w:noWrap w:val="0"/>
            <w:vAlign w:val="center"/>
          </w:tcPr>
          <w:p>
            <w:pPr>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经学校批准同意代表浙江大学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pPr>
              <w:widowControl/>
              <w:jc w:val="center"/>
              <w:rPr>
                <w:rFonts w:ascii="等线" w:hAnsi="等线" w:cs="等线"/>
                <w:color w:val="auto"/>
                <w:kern w:val="0"/>
                <w:sz w:val="21"/>
                <w:szCs w:val="21"/>
                <w:lang w:bidi="ar"/>
              </w:rPr>
            </w:pPr>
          </w:p>
          <w:p>
            <w:pPr>
              <w:widowControl/>
              <w:ind w:firstLine="210" w:firstLineChars="100"/>
              <w:rPr>
                <w:rFonts w:ascii="等线" w:hAnsi="等线" w:cs="等线"/>
                <w:color w:val="auto"/>
                <w:kern w:val="0"/>
                <w:sz w:val="21"/>
                <w:szCs w:val="21"/>
                <w:lang w:bidi="ar"/>
              </w:rPr>
            </w:pPr>
            <w:r>
              <w:rPr>
                <w:rFonts w:hint="eastAsia" w:ascii="等线" w:hAnsi="等线" w:cs="等线"/>
                <w:color w:val="auto"/>
                <w:kern w:val="0"/>
                <w:sz w:val="21"/>
                <w:szCs w:val="21"/>
                <w:lang w:bidi="ar"/>
              </w:rPr>
              <w:t>6</w:t>
            </w:r>
          </w:p>
        </w:tc>
        <w:tc>
          <w:tcPr>
            <w:tcW w:w="2761" w:type="dxa"/>
            <w:noWrap w:val="0"/>
            <w:vAlign w:val="top"/>
          </w:tcPr>
          <w:p>
            <w:pPr>
              <w:widowControl/>
              <w:jc w:val="center"/>
              <w:rPr>
                <w:rFonts w:ascii="等线" w:hAnsi="等线" w:cs="等线"/>
                <w:color w:val="auto"/>
                <w:kern w:val="0"/>
                <w:sz w:val="21"/>
                <w:szCs w:val="21"/>
                <w:lang w:bidi="ar"/>
              </w:rPr>
            </w:pPr>
          </w:p>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全国大学生艺术展演比赛</w:t>
            </w:r>
          </w:p>
        </w:tc>
        <w:tc>
          <w:tcPr>
            <w:tcW w:w="2268" w:type="dxa"/>
            <w:noWrap w:val="0"/>
            <w:vAlign w:val="top"/>
          </w:tcPr>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获得二等奖及以上奖项（在集体比赛中担任主要角色且团内排名前二）</w:t>
            </w:r>
          </w:p>
        </w:tc>
        <w:tc>
          <w:tcPr>
            <w:tcW w:w="709" w:type="dxa"/>
            <w:noWrap w:val="0"/>
            <w:vAlign w:val="center"/>
          </w:tcPr>
          <w:p>
            <w:pPr>
              <w:widowControl/>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0.06</w:t>
            </w:r>
          </w:p>
        </w:tc>
        <w:tc>
          <w:tcPr>
            <w:tcW w:w="1671" w:type="dxa"/>
            <w:vMerge w:val="continue"/>
            <w:noWrap w:val="0"/>
            <w:vAlign w:val="top"/>
          </w:tcPr>
          <w:p>
            <w:pPr>
              <w:widowControl/>
              <w:rPr>
                <w:rFonts w:ascii="等线" w:hAnsi="等线" w:cs="等线"/>
                <w:color w:val="auto"/>
                <w:kern w:val="0"/>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pPr>
              <w:widowControl/>
              <w:jc w:val="center"/>
              <w:rPr>
                <w:rFonts w:ascii="等线" w:hAnsi="等线" w:cs="等线"/>
                <w:color w:val="auto"/>
                <w:kern w:val="0"/>
                <w:sz w:val="21"/>
                <w:szCs w:val="21"/>
                <w:lang w:bidi="ar"/>
              </w:rPr>
            </w:pPr>
          </w:p>
          <w:p>
            <w:pPr>
              <w:widowControl/>
              <w:ind w:firstLine="210" w:firstLineChars="100"/>
              <w:rPr>
                <w:rFonts w:ascii="等线" w:hAnsi="等线" w:cs="等线"/>
                <w:color w:val="auto"/>
                <w:kern w:val="0"/>
                <w:sz w:val="21"/>
                <w:szCs w:val="21"/>
                <w:lang w:bidi="ar"/>
              </w:rPr>
            </w:pPr>
            <w:r>
              <w:rPr>
                <w:rFonts w:hint="eastAsia" w:ascii="等线" w:hAnsi="等线" w:cs="等线"/>
                <w:color w:val="auto"/>
                <w:kern w:val="0"/>
                <w:sz w:val="21"/>
                <w:szCs w:val="21"/>
                <w:lang w:bidi="ar"/>
              </w:rPr>
              <w:t>7</w:t>
            </w:r>
          </w:p>
        </w:tc>
        <w:tc>
          <w:tcPr>
            <w:tcW w:w="2761" w:type="dxa"/>
            <w:noWrap w:val="0"/>
            <w:vAlign w:val="top"/>
          </w:tcPr>
          <w:p>
            <w:pPr>
              <w:widowControl/>
              <w:jc w:val="center"/>
              <w:rPr>
                <w:rFonts w:ascii="等线" w:hAnsi="等线" w:cs="等线"/>
                <w:color w:val="auto"/>
                <w:kern w:val="0"/>
                <w:sz w:val="21"/>
                <w:szCs w:val="21"/>
                <w:lang w:bidi="ar"/>
              </w:rPr>
            </w:pPr>
          </w:p>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浙江省大学生艺术展演比赛</w:t>
            </w:r>
          </w:p>
        </w:tc>
        <w:tc>
          <w:tcPr>
            <w:tcW w:w="2268" w:type="dxa"/>
            <w:noWrap w:val="0"/>
            <w:vAlign w:val="top"/>
          </w:tcPr>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获得两次一等奖（在集体比赛中担任主要角色且团内排名前二）</w:t>
            </w:r>
          </w:p>
        </w:tc>
        <w:tc>
          <w:tcPr>
            <w:tcW w:w="709" w:type="dxa"/>
            <w:noWrap w:val="0"/>
            <w:vAlign w:val="top"/>
          </w:tcPr>
          <w:p>
            <w:pPr>
              <w:widowControl/>
              <w:rPr>
                <w:rFonts w:ascii="等线" w:hAnsi="等线" w:cs="等线"/>
                <w:color w:val="auto"/>
                <w:kern w:val="0"/>
                <w:sz w:val="21"/>
                <w:szCs w:val="21"/>
                <w:lang w:bidi="ar"/>
              </w:rPr>
            </w:pPr>
          </w:p>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0.06</w:t>
            </w:r>
          </w:p>
        </w:tc>
        <w:tc>
          <w:tcPr>
            <w:tcW w:w="1671" w:type="dxa"/>
            <w:vMerge w:val="continue"/>
            <w:noWrap w:val="0"/>
            <w:vAlign w:val="top"/>
          </w:tcPr>
          <w:p>
            <w:pPr>
              <w:widowControl/>
              <w:rPr>
                <w:rFonts w:ascii="等线" w:hAnsi="等线" w:cs="等线"/>
                <w:color w:val="auto"/>
                <w:kern w:val="0"/>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pPr>
              <w:widowControl/>
              <w:ind w:firstLine="210" w:firstLineChars="100"/>
              <w:rPr>
                <w:rFonts w:ascii="等线" w:hAnsi="等线" w:cs="等线"/>
                <w:color w:val="auto"/>
                <w:kern w:val="0"/>
                <w:sz w:val="21"/>
                <w:szCs w:val="21"/>
                <w:lang w:bidi="ar"/>
              </w:rPr>
            </w:pPr>
            <w:r>
              <w:rPr>
                <w:rFonts w:hint="eastAsia" w:ascii="等线" w:hAnsi="等线" w:cs="等线"/>
                <w:color w:val="auto"/>
                <w:kern w:val="0"/>
                <w:sz w:val="21"/>
                <w:szCs w:val="21"/>
                <w:lang w:bidi="ar"/>
              </w:rPr>
              <w:t>8</w:t>
            </w:r>
          </w:p>
        </w:tc>
        <w:tc>
          <w:tcPr>
            <w:tcW w:w="2761" w:type="dxa"/>
            <w:noWrap w:val="0"/>
            <w:vAlign w:val="top"/>
          </w:tcPr>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浙江省大学生艺术展演比赛</w:t>
            </w:r>
          </w:p>
        </w:tc>
        <w:tc>
          <w:tcPr>
            <w:tcW w:w="2268" w:type="dxa"/>
            <w:noWrap w:val="0"/>
            <w:vAlign w:val="top"/>
          </w:tcPr>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获得两次一等奖或两次十佳歌手奖</w:t>
            </w:r>
          </w:p>
        </w:tc>
        <w:tc>
          <w:tcPr>
            <w:tcW w:w="709" w:type="dxa"/>
            <w:noWrap w:val="0"/>
            <w:vAlign w:val="center"/>
          </w:tcPr>
          <w:p>
            <w:pPr>
              <w:widowControl/>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0.04</w:t>
            </w:r>
          </w:p>
        </w:tc>
        <w:tc>
          <w:tcPr>
            <w:tcW w:w="1671" w:type="dxa"/>
            <w:vMerge w:val="continue"/>
            <w:noWrap w:val="0"/>
            <w:vAlign w:val="top"/>
          </w:tcPr>
          <w:p>
            <w:pPr>
              <w:widowControl/>
              <w:rPr>
                <w:rFonts w:ascii="等线" w:hAnsi="等线" w:cs="等线"/>
                <w:color w:val="auto"/>
                <w:kern w:val="0"/>
                <w:sz w:val="21"/>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pPr>
              <w:widowControl/>
              <w:ind w:firstLine="210" w:firstLineChars="100"/>
              <w:rPr>
                <w:rFonts w:ascii="等线" w:hAnsi="等线" w:cs="等线"/>
                <w:color w:val="auto"/>
                <w:kern w:val="0"/>
                <w:sz w:val="21"/>
                <w:szCs w:val="21"/>
                <w:lang w:bidi="ar"/>
              </w:rPr>
            </w:pPr>
            <w:r>
              <w:rPr>
                <w:rFonts w:hint="eastAsia" w:ascii="等线" w:hAnsi="等线" w:cs="等线"/>
                <w:color w:val="auto"/>
                <w:kern w:val="0"/>
                <w:sz w:val="21"/>
                <w:szCs w:val="21"/>
                <w:lang w:bidi="ar"/>
              </w:rPr>
              <w:t>9</w:t>
            </w:r>
          </w:p>
        </w:tc>
        <w:tc>
          <w:tcPr>
            <w:tcW w:w="2761" w:type="dxa"/>
            <w:noWrap w:val="0"/>
            <w:vAlign w:val="top"/>
          </w:tcPr>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浙江省大学生艺术展演比赛</w:t>
            </w:r>
          </w:p>
        </w:tc>
        <w:tc>
          <w:tcPr>
            <w:tcW w:w="2268" w:type="dxa"/>
            <w:noWrap w:val="0"/>
            <w:vAlign w:val="top"/>
          </w:tcPr>
          <w:p>
            <w:pPr>
              <w:widowControl/>
              <w:rPr>
                <w:rFonts w:ascii="等线" w:hAnsi="等线" w:cs="等线"/>
                <w:color w:val="auto"/>
                <w:kern w:val="0"/>
                <w:sz w:val="21"/>
                <w:szCs w:val="21"/>
                <w:lang w:bidi="ar"/>
              </w:rPr>
            </w:pPr>
            <w:r>
              <w:rPr>
                <w:rFonts w:hint="eastAsia" w:ascii="等线" w:hAnsi="等线" w:cs="等线"/>
                <w:color w:val="auto"/>
                <w:kern w:val="0"/>
                <w:sz w:val="21"/>
                <w:szCs w:val="21"/>
                <w:lang w:bidi="ar"/>
              </w:rPr>
              <w:t>获得一等奖或十佳歌手奖</w:t>
            </w:r>
          </w:p>
        </w:tc>
        <w:tc>
          <w:tcPr>
            <w:tcW w:w="709" w:type="dxa"/>
            <w:noWrap w:val="0"/>
            <w:vAlign w:val="center"/>
          </w:tcPr>
          <w:p>
            <w:pPr>
              <w:widowControl/>
              <w:jc w:val="center"/>
              <w:rPr>
                <w:rFonts w:ascii="等线" w:hAnsi="等线" w:cs="等线"/>
                <w:color w:val="auto"/>
                <w:kern w:val="0"/>
                <w:sz w:val="21"/>
                <w:szCs w:val="21"/>
                <w:lang w:bidi="ar"/>
              </w:rPr>
            </w:pPr>
            <w:r>
              <w:rPr>
                <w:rFonts w:hint="eastAsia" w:ascii="等线" w:hAnsi="等线" w:cs="等线"/>
                <w:color w:val="auto"/>
                <w:kern w:val="0"/>
                <w:sz w:val="21"/>
                <w:szCs w:val="21"/>
                <w:lang w:bidi="ar"/>
              </w:rPr>
              <w:t>0.02</w:t>
            </w:r>
          </w:p>
        </w:tc>
        <w:tc>
          <w:tcPr>
            <w:tcW w:w="1671" w:type="dxa"/>
            <w:vMerge w:val="continue"/>
            <w:noWrap w:val="0"/>
            <w:vAlign w:val="top"/>
          </w:tcPr>
          <w:p>
            <w:pPr>
              <w:widowControl/>
              <w:rPr>
                <w:rFonts w:ascii="等线" w:hAnsi="等线" w:cs="等线"/>
                <w:color w:val="auto"/>
                <w:kern w:val="0"/>
                <w:sz w:val="21"/>
                <w:szCs w:val="21"/>
                <w:lang w:bidi="ar"/>
              </w:rPr>
            </w:pPr>
          </w:p>
        </w:tc>
      </w:tr>
    </w:tbl>
    <w:p>
      <w:pPr>
        <w:spacing w:line="480" w:lineRule="exact"/>
        <w:rPr>
          <w:rFonts w:ascii="等线" w:hAnsi="等线"/>
          <w:color w:val="auto"/>
          <w:szCs w:val="21"/>
        </w:rPr>
      </w:pPr>
      <w:r>
        <w:rPr>
          <w:rFonts w:hint="eastAsia" w:ascii="等线" w:hAnsi="等线"/>
          <w:color w:val="auto"/>
          <w:szCs w:val="21"/>
        </w:rPr>
        <w:t>说明：以上办法和获奖项目核定工作由学校主管部门负责，以学校主管部门公布名单为准。</w:t>
      </w:r>
    </w:p>
    <w:p>
      <w:pPr>
        <w:spacing w:line="480" w:lineRule="exact"/>
        <w:rPr>
          <w:rFonts w:ascii="等线" w:hAnsi="等线" w:cs="Times New Roman"/>
          <w:color w:val="auto"/>
          <w:sz w:val="24"/>
          <w:szCs w:val="24"/>
        </w:rPr>
      </w:pPr>
    </w:p>
    <w:p>
      <w:pPr>
        <w:spacing w:line="480" w:lineRule="exact"/>
        <w:ind w:firstLine="480" w:firstLineChars="200"/>
        <w:rPr>
          <w:rFonts w:ascii="等线" w:hAnsi="等线" w:cs="Times New Roman"/>
          <w:color w:val="auto"/>
          <w:sz w:val="24"/>
          <w:szCs w:val="24"/>
        </w:rPr>
      </w:pPr>
      <w:r>
        <w:rPr>
          <w:rFonts w:ascii="等线" w:hAnsi="等线" w:cs="Times New Roman"/>
          <w:color w:val="auto"/>
          <w:sz w:val="24"/>
          <w:szCs w:val="24"/>
        </w:rPr>
        <w:t>2.其他学科竞赛</w:t>
      </w:r>
      <w:r>
        <w:rPr>
          <w:rFonts w:hint="eastAsia" w:ascii="等线" w:hAnsi="等线" w:cs="Times New Roman"/>
          <w:color w:val="auto"/>
          <w:sz w:val="24"/>
          <w:szCs w:val="24"/>
        </w:rPr>
        <w:t>（</w:t>
      </w:r>
      <w:r>
        <w:rPr>
          <w:rFonts w:hint="eastAsia" w:ascii="Times New Roman" w:hAnsi="Times New Roman" w:cs="Times New Roman"/>
          <w:color w:val="auto"/>
          <w:sz w:val="24"/>
          <w:szCs w:val="24"/>
        </w:rPr>
        <w:t>符合《浙江大学本科生学科竞赛管理办法》浙大本发</w:t>
      </w:r>
      <w:r>
        <w:rPr>
          <w:rFonts w:ascii="Times New Roman" w:hAnsi="Times New Roman" w:cs="Times New Roman"/>
          <w:color w:val="auto"/>
          <w:sz w:val="24"/>
          <w:szCs w:val="24"/>
        </w:rPr>
        <w:t>[2021]20</w:t>
      </w:r>
      <w:r>
        <w:rPr>
          <w:rFonts w:hint="eastAsia" w:ascii="Times New Roman" w:hAnsi="Times New Roman" w:cs="Times New Roman"/>
          <w:color w:val="auto"/>
          <w:sz w:val="24"/>
          <w:szCs w:val="24"/>
        </w:rPr>
        <w:t>号，</w:t>
      </w:r>
      <w:r>
        <w:rPr>
          <w:rFonts w:hint="eastAsia" w:ascii="等线" w:hAnsi="等线" w:cs="Times New Roman"/>
          <w:color w:val="auto"/>
          <w:sz w:val="24"/>
          <w:szCs w:val="24"/>
        </w:rPr>
        <w:t>包括“</w:t>
      </w:r>
      <w:r>
        <w:rPr>
          <w:rFonts w:hint="eastAsia" w:ascii="等线" w:hAnsi="等线"/>
          <w:color w:val="auto"/>
          <w:sz w:val="24"/>
          <w:szCs w:val="24"/>
        </w:rPr>
        <w:t>三大赛”</w:t>
      </w:r>
      <w:r>
        <w:rPr>
          <w:rFonts w:hint="eastAsia" w:ascii="等线" w:hAnsi="等线" w:cs="Times New Roman"/>
          <w:color w:val="auto"/>
          <w:sz w:val="24"/>
          <w:szCs w:val="24"/>
        </w:rPr>
        <w:t>省赛）</w:t>
      </w:r>
      <w:r>
        <w:rPr>
          <w:rFonts w:ascii="等线" w:hAnsi="等线" w:cs="Times New Roman"/>
          <w:color w:val="auto"/>
          <w:sz w:val="24"/>
          <w:szCs w:val="24"/>
        </w:rPr>
        <w:t>加分规则如下：</w:t>
      </w:r>
    </w:p>
    <w:p>
      <w:pPr>
        <w:pStyle w:val="20"/>
        <w:numPr>
          <w:ilvl w:val="0"/>
          <w:numId w:val="2"/>
        </w:numPr>
        <w:spacing w:line="480" w:lineRule="exact"/>
        <w:ind w:firstLineChars="0"/>
        <w:rPr>
          <w:rFonts w:ascii="等线" w:hAnsi="等线" w:cs="Times New Roman"/>
          <w:color w:val="auto"/>
          <w:sz w:val="24"/>
          <w:szCs w:val="24"/>
        </w:rPr>
      </w:pPr>
      <w:r>
        <w:rPr>
          <w:rFonts w:hint="eastAsia" w:ascii="等线" w:hAnsi="等线" w:cs="Times New Roman"/>
          <w:color w:val="auto"/>
          <w:sz w:val="24"/>
          <w:szCs w:val="24"/>
        </w:rPr>
        <w:t>国家一等奖（金奖），参赛小组组长加</w:t>
      </w:r>
      <w:r>
        <w:rPr>
          <w:rFonts w:ascii="等线" w:hAnsi="等线" w:cs="Times New Roman"/>
          <w:color w:val="auto"/>
          <w:sz w:val="24"/>
          <w:szCs w:val="24"/>
        </w:rPr>
        <w:t>0.06</w:t>
      </w:r>
      <w:r>
        <w:rPr>
          <w:rFonts w:hint="eastAsia" w:ascii="等线" w:hAnsi="等线" w:cs="Times New Roman"/>
          <w:color w:val="auto"/>
          <w:sz w:val="24"/>
          <w:szCs w:val="24"/>
        </w:rPr>
        <w:t>分，其他组员加</w:t>
      </w:r>
      <w:r>
        <w:rPr>
          <w:rFonts w:ascii="等线" w:hAnsi="等线" w:cs="Times New Roman"/>
          <w:color w:val="auto"/>
          <w:sz w:val="24"/>
          <w:szCs w:val="24"/>
        </w:rPr>
        <w:t>0.05</w:t>
      </w:r>
      <w:r>
        <w:rPr>
          <w:rFonts w:hint="eastAsia" w:ascii="等线" w:hAnsi="等线" w:cs="Times New Roman"/>
          <w:color w:val="auto"/>
          <w:sz w:val="24"/>
          <w:szCs w:val="24"/>
        </w:rPr>
        <w:t>分；</w:t>
      </w:r>
    </w:p>
    <w:p>
      <w:pPr>
        <w:pStyle w:val="20"/>
        <w:numPr>
          <w:ilvl w:val="0"/>
          <w:numId w:val="2"/>
        </w:numPr>
        <w:spacing w:line="480" w:lineRule="exact"/>
        <w:ind w:firstLineChars="0"/>
        <w:rPr>
          <w:rFonts w:ascii="等线" w:hAnsi="等线" w:cs="Times New Roman"/>
          <w:color w:val="auto"/>
          <w:sz w:val="24"/>
          <w:szCs w:val="24"/>
        </w:rPr>
      </w:pPr>
      <w:r>
        <w:rPr>
          <w:rFonts w:hint="eastAsia" w:ascii="等线" w:hAnsi="等线" w:cs="Times New Roman"/>
          <w:color w:val="auto"/>
          <w:sz w:val="24"/>
          <w:szCs w:val="24"/>
        </w:rPr>
        <w:t>国家二等奖（银奖）/省</w:t>
      </w:r>
      <w:bookmarkStart w:id="0" w:name="_Hlk137578031"/>
      <w:r>
        <w:rPr>
          <w:rFonts w:hint="eastAsia" w:ascii="等线" w:hAnsi="等线" w:cs="Times New Roman"/>
          <w:color w:val="auto"/>
          <w:sz w:val="24"/>
          <w:szCs w:val="24"/>
        </w:rPr>
        <w:t>（部）级</w:t>
      </w:r>
      <w:bookmarkEnd w:id="0"/>
      <w:r>
        <w:rPr>
          <w:rFonts w:hint="eastAsia" w:ascii="等线" w:hAnsi="等线" w:cs="Times New Roman"/>
          <w:color w:val="auto"/>
          <w:sz w:val="24"/>
          <w:szCs w:val="24"/>
        </w:rPr>
        <w:t>一等奖（金奖），参赛小组组长加0</w:t>
      </w:r>
      <w:r>
        <w:rPr>
          <w:rFonts w:ascii="等线" w:hAnsi="等线" w:cs="Times New Roman"/>
          <w:color w:val="auto"/>
          <w:sz w:val="24"/>
          <w:szCs w:val="24"/>
        </w:rPr>
        <w:t>.04</w:t>
      </w:r>
      <w:r>
        <w:rPr>
          <w:rFonts w:hint="eastAsia" w:ascii="等线" w:hAnsi="等线" w:cs="Times New Roman"/>
          <w:color w:val="auto"/>
          <w:sz w:val="24"/>
          <w:szCs w:val="24"/>
        </w:rPr>
        <w:t>分，其他组员加0</w:t>
      </w:r>
      <w:r>
        <w:rPr>
          <w:rFonts w:ascii="等线" w:hAnsi="等线" w:cs="Times New Roman"/>
          <w:color w:val="auto"/>
          <w:sz w:val="24"/>
          <w:szCs w:val="24"/>
        </w:rPr>
        <w:t>.03</w:t>
      </w:r>
      <w:r>
        <w:rPr>
          <w:rFonts w:hint="eastAsia" w:ascii="等线" w:hAnsi="等线" w:cs="Times New Roman"/>
          <w:color w:val="auto"/>
          <w:sz w:val="24"/>
          <w:szCs w:val="24"/>
        </w:rPr>
        <w:t>分；</w:t>
      </w:r>
    </w:p>
    <w:p>
      <w:pPr>
        <w:pStyle w:val="20"/>
        <w:numPr>
          <w:ilvl w:val="0"/>
          <w:numId w:val="2"/>
        </w:numPr>
        <w:spacing w:line="480" w:lineRule="exact"/>
        <w:ind w:firstLineChars="0"/>
        <w:rPr>
          <w:rFonts w:ascii="等线" w:hAnsi="等线" w:cs="Times New Roman"/>
          <w:color w:val="auto"/>
          <w:sz w:val="24"/>
          <w:szCs w:val="24"/>
        </w:rPr>
      </w:pPr>
      <w:r>
        <w:rPr>
          <w:rFonts w:hint="eastAsia" w:ascii="等线" w:hAnsi="等线" w:cs="Times New Roman"/>
          <w:color w:val="auto"/>
          <w:sz w:val="24"/>
          <w:szCs w:val="24"/>
        </w:rPr>
        <w:t>国家三等奖（铜奖）/省（部）级二等奖（银奖），参赛小组组长加0</w:t>
      </w:r>
      <w:r>
        <w:rPr>
          <w:rFonts w:ascii="等线" w:hAnsi="等线" w:cs="Times New Roman"/>
          <w:color w:val="auto"/>
          <w:sz w:val="24"/>
          <w:szCs w:val="24"/>
        </w:rPr>
        <w:t>.02</w:t>
      </w:r>
      <w:r>
        <w:rPr>
          <w:rFonts w:hint="eastAsia" w:ascii="等线" w:hAnsi="等线" w:cs="Times New Roman"/>
          <w:color w:val="auto"/>
          <w:sz w:val="24"/>
          <w:szCs w:val="24"/>
        </w:rPr>
        <w:t>分，其他组员加0</w:t>
      </w:r>
      <w:r>
        <w:rPr>
          <w:rFonts w:ascii="等线" w:hAnsi="等线" w:cs="Times New Roman"/>
          <w:color w:val="auto"/>
          <w:sz w:val="24"/>
          <w:szCs w:val="24"/>
        </w:rPr>
        <w:t>.01</w:t>
      </w:r>
      <w:r>
        <w:rPr>
          <w:rFonts w:hint="eastAsia" w:ascii="等线" w:hAnsi="等线" w:cs="Times New Roman"/>
          <w:color w:val="auto"/>
          <w:sz w:val="24"/>
          <w:szCs w:val="24"/>
        </w:rPr>
        <w:t>分；</w:t>
      </w:r>
    </w:p>
    <w:p>
      <w:pPr>
        <w:pStyle w:val="20"/>
        <w:numPr>
          <w:ilvl w:val="0"/>
          <w:numId w:val="2"/>
        </w:numPr>
        <w:spacing w:line="480" w:lineRule="exact"/>
        <w:ind w:firstLineChars="0"/>
        <w:rPr>
          <w:rFonts w:ascii="等线" w:hAnsi="等线" w:cs="Times New Roman"/>
          <w:color w:val="auto"/>
          <w:sz w:val="24"/>
          <w:szCs w:val="24"/>
        </w:rPr>
      </w:pPr>
      <w:r>
        <w:rPr>
          <w:rFonts w:hint="eastAsia" w:ascii="等线" w:hAnsi="等线" w:cs="Times New Roman"/>
          <w:color w:val="auto"/>
          <w:sz w:val="24"/>
          <w:szCs w:val="24"/>
        </w:rPr>
        <w:t>省（部）级三等奖（铜奖），参赛小组组长加0</w:t>
      </w:r>
      <w:r>
        <w:rPr>
          <w:rFonts w:ascii="等线" w:hAnsi="等线" w:cs="Times New Roman"/>
          <w:color w:val="auto"/>
          <w:sz w:val="24"/>
          <w:szCs w:val="24"/>
        </w:rPr>
        <w:t>.01</w:t>
      </w:r>
      <w:r>
        <w:rPr>
          <w:rFonts w:hint="eastAsia" w:ascii="等线" w:hAnsi="等线" w:cs="Times New Roman"/>
          <w:color w:val="auto"/>
          <w:sz w:val="24"/>
          <w:szCs w:val="24"/>
        </w:rPr>
        <w:t>分，其他组员不加分；</w:t>
      </w:r>
    </w:p>
    <w:p>
      <w:pPr>
        <w:spacing w:line="360" w:lineRule="auto"/>
        <w:rPr>
          <w:rFonts w:ascii="等线" w:hAnsi="等线" w:cs="Times New Roman"/>
          <w:color w:val="auto"/>
          <w:szCs w:val="21"/>
        </w:rPr>
      </w:pPr>
    </w:p>
    <w:p>
      <w:pPr>
        <w:spacing w:line="360" w:lineRule="auto"/>
        <w:rPr>
          <w:rFonts w:ascii="等线" w:hAnsi="等线" w:cs="Times New Roman"/>
          <w:color w:val="auto"/>
          <w:szCs w:val="21"/>
        </w:rPr>
      </w:pPr>
      <w:r>
        <w:rPr>
          <w:rFonts w:ascii="等线" w:hAnsi="等线" w:cs="Times New Roman"/>
          <w:color w:val="auto"/>
          <w:szCs w:val="21"/>
        </w:rPr>
        <w:t>说明：1、</w:t>
      </w:r>
      <w:r>
        <w:rPr>
          <w:rFonts w:hint="eastAsia" w:ascii="等线" w:hAnsi="等线" w:cs="Times New Roman"/>
          <w:color w:val="auto"/>
          <w:szCs w:val="21"/>
        </w:rPr>
        <w:t>若奖项设有特等奖，则一等奖、二等奖加分下降一个等级，三等奖不加分。</w:t>
      </w:r>
    </w:p>
    <w:p>
      <w:pPr>
        <w:spacing w:line="360" w:lineRule="auto"/>
        <w:ind w:firstLine="630" w:firstLineChars="300"/>
        <w:rPr>
          <w:rFonts w:ascii="等线" w:hAnsi="等线" w:cs="Times New Roman"/>
          <w:color w:val="auto"/>
          <w:szCs w:val="21"/>
        </w:rPr>
      </w:pPr>
      <w:r>
        <w:rPr>
          <w:rFonts w:ascii="等线" w:hAnsi="等线" w:cs="Times New Roman"/>
          <w:bCs/>
          <w:color w:val="auto"/>
          <w:szCs w:val="21"/>
        </w:rPr>
        <w:t>2、</w:t>
      </w:r>
      <w:r>
        <w:rPr>
          <w:rFonts w:ascii="等线" w:hAnsi="等线" w:cs="Times New Roman"/>
          <w:color w:val="auto"/>
          <w:szCs w:val="21"/>
        </w:rPr>
        <w:t>同一作品取最高奖项，不累计加分。</w:t>
      </w:r>
    </w:p>
    <w:p>
      <w:pPr>
        <w:spacing w:line="360" w:lineRule="auto"/>
        <w:ind w:firstLine="630" w:firstLineChars="300"/>
        <w:rPr>
          <w:rFonts w:ascii="等线" w:hAnsi="等线" w:cs="Times New Roman"/>
          <w:bCs/>
          <w:color w:val="auto"/>
          <w:szCs w:val="21"/>
        </w:rPr>
      </w:pPr>
      <w:r>
        <w:rPr>
          <w:rFonts w:hint="eastAsia" w:ascii="等线" w:hAnsi="等线" w:cs="Times New Roman"/>
          <w:bCs/>
          <w:color w:val="auto"/>
          <w:szCs w:val="21"/>
        </w:rPr>
        <w:t>3、加分组员（包括组长）不超过五人，</w:t>
      </w:r>
      <w:r>
        <w:rPr>
          <w:rFonts w:ascii="等线" w:hAnsi="等线" w:cs="Times New Roman"/>
          <w:bCs/>
          <w:color w:val="auto"/>
          <w:szCs w:val="21"/>
        </w:rPr>
        <w:t>排列位次根据证书上的团队排列位次计算。</w:t>
      </w:r>
    </w:p>
    <w:p>
      <w:pPr>
        <w:spacing w:line="360" w:lineRule="auto"/>
        <w:jc w:val="both"/>
        <w:rPr>
          <w:rFonts w:ascii="等线" w:hAnsi="等线" w:cs="Times New Roman"/>
          <w:b/>
          <w:sz w:val="24"/>
        </w:rPr>
      </w:pPr>
      <w:r>
        <w:rPr>
          <w:rFonts w:ascii="等线" w:hAnsi="等线" w:cs="Times New Roman"/>
          <w:b/>
          <w:sz w:val="24"/>
        </w:rPr>
        <w:t>（六）</w:t>
      </w:r>
      <w:r>
        <w:rPr>
          <w:rFonts w:hint="eastAsia" w:ascii="等线" w:hAnsi="等线" w:cs="Times New Roman"/>
          <w:b/>
          <w:sz w:val="24"/>
        </w:rPr>
        <w:t>社会工作</w:t>
      </w:r>
    </w:p>
    <w:p>
      <w:pPr>
        <w:spacing w:line="360" w:lineRule="auto"/>
        <w:ind w:firstLine="480" w:firstLineChars="200"/>
        <w:jc w:val="left"/>
        <w:rPr>
          <w:rFonts w:ascii="等线" w:hAnsi="等线" w:cs="Times New Roman"/>
          <w:sz w:val="28"/>
          <w:szCs w:val="28"/>
        </w:rPr>
      </w:pPr>
      <w:r>
        <w:rPr>
          <w:rFonts w:ascii="等线" w:hAnsi="等线" w:cs="Times New Roman"/>
          <w:sz w:val="24"/>
        </w:rPr>
        <w:t>加分细则如下：</w:t>
      </w:r>
    </w:p>
    <w:tbl>
      <w:tblPr>
        <w:tblStyle w:val="8"/>
        <w:tblW w:w="52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9"/>
        <w:gridCol w:w="1309"/>
        <w:gridCol w:w="3494"/>
        <w:gridCol w:w="1706"/>
        <w:gridCol w:w="1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25" w:type="pct"/>
            <w:noWrap/>
            <w:vAlign w:val="center"/>
          </w:tcPr>
          <w:p>
            <w:pPr>
              <w:widowControl/>
              <w:jc w:val="center"/>
              <w:rPr>
                <w:rFonts w:ascii="等线" w:hAnsi="等线" w:cs="Times New Roman"/>
                <w:b/>
                <w:bCs/>
                <w:kern w:val="0"/>
                <w:sz w:val="21"/>
                <w:szCs w:val="21"/>
              </w:rPr>
            </w:pPr>
            <w:r>
              <w:rPr>
                <w:rFonts w:ascii="等线" w:hAnsi="等线" w:cs="Times New Roman"/>
                <w:b/>
                <w:bCs/>
                <w:kern w:val="0"/>
                <w:sz w:val="21"/>
                <w:szCs w:val="21"/>
              </w:rPr>
              <w:t>加分项目</w:t>
            </w:r>
          </w:p>
        </w:tc>
        <w:tc>
          <w:tcPr>
            <w:tcW w:w="725" w:type="pct"/>
            <w:noWrap w:val="0"/>
            <w:vAlign w:val="center"/>
          </w:tcPr>
          <w:p>
            <w:pPr>
              <w:widowControl/>
              <w:jc w:val="center"/>
              <w:rPr>
                <w:rFonts w:ascii="等线" w:hAnsi="等线" w:cs="Times New Roman"/>
                <w:b/>
                <w:bCs/>
                <w:kern w:val="0"/>
                <w:sz w:val="21"/>
                <w:szCs w:val="21"/>
              </w:rPr>
            </w:pPr>
            <w:r>
              <w:rPr>
                <w:rFonts w:ascii="等线" w:hAnsi="等线" w:cs="Times New Roman"/>
                <w:b/>
                <w:bCs/>
                <w:kern w:val="0"/>
                <w:sz w:val="21"/>
                <w:szCs w:val="21"/>
              </w:rPr>
              <w:t>类型</w:t>
            </w:r>
          </w:p>
        </w:tc>
        <w:tc>
          <w:tcPr>
            <w:tcW w:w="1935" w:type="pct"/>
            <w:noWrap/>
            <w:vAlign w:val="center"/>
          </w:tcPr>
          <w:p>
            <w:pPr>
              <w:widowControl/>
              <w:jc w:val="center"/>
              <w:rPr>
                <w:rFonts w:ascii="等线" w:hAnsi="等线" w:cs="Times New Roman"/>
                <w:b/>
                <w:bCs/>
                <w:kern w:val="0"/>
                <w:sz w:val="21"/>
                <w:szCs w:val="21"/>
              </w:rPr>
            </w:pPr>
            <w:r>
              <w:rPr>
                <w:rFonts w:ascii="等线" w:hAnsi="等线" w:cs="Times New Roman"/>
                <w:b/>
                <w:bCs/>
                <w:kern w:val="0"/>
                <w:sz w:val="21"/>
                <w:szCs w:val="21"/>
              </w:rPr>
              <w:t>担任职务</w:t>
            </w:r>
          </w:p>
        </w:tc>
        <w:tc>
          <w:tcPr>
            <w:tcW w:w="945" w:type="pct"/>
            <w:noWrap w:val="0"/>
            <w:vAlign w:val="center"/>
          </w:tcPr>
          <w:p>
            <w:pPr>
              <w:widowControl/>
              <w:jc w:val="center"/>
              <w:rPr>
                <w:rFonts w:ascii="等线" w:hAnsi="等线" w:cs="Times New Roman"/>
                <w:b/>
                <w:bCs/>
                <w:kern w:val="0"/>
                <w:sz w:val="21"/>
                <w:szCs w:val="21"/>
              </w:rPr>
            </w:pPr>
            <w:r>
              <w:rPr>
                <w:rFonts w:ascii="等线" w:hAnsi="等线" w:cs="Times New Roman"/>
                <w:b/>
                <w:bCs/>
                <w:kern w:val="0"/>
                <w:sz w:val="21"/>
                <w:szCs w:val="21"/>
              </w:rPr>
              <w:t>考核结果</w:t>
            </w:r>
          </w:p>
        </w:tc>
        <w:tc>
          <w:tcPr>
            <w:tcW w:w="670" w:type="pct"/>
            <w:noWrap/>
            <w:vAlign w:val="center"/>
          </w:tcPr>
          <w:p>
            <w:pPr>
              <w:widowControl/>
              <w:jc w:val="center"/>
              <w:rPr>
                <w:rFonts w:ascii="等线" w:hAnsi="等线" w:cs="Times New Roman"/>
                <w:b/>
                <w:bCs/>
                <w:kern w:val="0"/>
                <w:sz w:val="21"/>
                <w:szCs w:val="21"/>
              </w:rPr>
            </w:pPr>
            <w:r>
              <w:rPr>
                <w:rFonts w:ascii="等线" w:hAnsi="等线" w:cs="Times New Roman"/>
                <w:b/>
                <w:bCs/>
                <w:kern w:val="0"/>
                <w:sz w:val="21"/>
                <w:szCs w:val="21"/>
              </w:rPr>
              <w:t>加分标准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725" w:type="pct"/>
            <w:vMerge w:val="restart"/>
            <w:noWrap w:val="0"/>
            <w:vAlign w:val="center"/>
          </w:tcPr>
          <w:p>
            <w:pPr>
              <w:widowControl/>
              <w:jc w:val="center"/>
              <w:rPr>
                <w:rFonts w:ascii="等线" w:hAnsi="等线" w:cs="Times New Roman"/>
                <w:kern w:val="0"/>
                <w:sz w:val="21"/>
                <w:szCs w:val="21"/>
              </w:rPr>
            </w:pPr>
            <w:r>
              <w:rPr>
                <w:rFonts w:ascii="等线" w:hAnsi="等线" w:cs="Times New Roman"/>
                <w:kern w:val="0"/>
                <w:sz w:val="21"/>
                <w:szCs w:val="21"/>
              </w:rPr>
              <w:t>学生干部考核</w:t>
            </w:r>
          </w:p>
        </w:tc>
        <w:tc>
          <w:tcPr>
            <w:tcW w:w="725" w:type="pct"/>
            <w:vMerge w:val="restart"/>
            <w:noWrap w:val="0"/>
            <w:vAlign w:val="center"/>
          </w:tcPr>
          <w:p>
            <w:pPr>
              <w:widowControl/>
              <w:jc w:val="center"/>
              <w:rPr>
                <w:rFonts w:ascii="等线" w:hAnsi="等线" w:cs="Times New Roman"/>
                <w:kern w:val="0"/>
                <w:sz w:val="21"/>
                <w:szCs w:val="21"/>
              </w:rPr>
            </w:pPr>
            <w:r>
              <w:rPr>
                <w:rFonts w:ascii="等线" w:hAnsi="等线" w:cs="Times New Roman"/>
                <w:kern w:val="0"/>
                <w:sz w:val="21"/>
                <w:szCs w:val="21"/>
              </w:rPr>
              <w:t>院级</w:t>
            </w:r>
          </w:p>
        </w:tc>
        <w:tc>
          <w:tcPr>
            <w:tcW w:w="1935" w:type="pct"/>
            <w:vMerge w:val="restart"/>
            <w:noWrap w:val="0"/>
            <w:vAlign w:val="center"/>
          </w:tcPr>
          <w:p>
            <w:pPr>
              <w:widowControl/>
              <w:jc w:val="center"/>
              <w:rPr>
                <w:rFonts w:ascii="等线" w:hAnsi="等线" w:cs="Times New Roman"/>
                <w:sz w:val="21"/>
                <w:szCs w:val="21"/>
              </w:rPr>
            </w:pPr>
            <w:r>
              <w:rPr>
                <w:rFonts w:ascii="等线" w:hAnsi="等线" w:cs="Times New Roman"/>
                <w:sz w:val="21"/>
                <w:szCs w:val="21"/>
              </w:rPr>
              <w:t>传媒学院学生会主席团成员</w:t>
            </w:r>
          </w:p>
        </w:tc>
        <w:tc>
          <w:tcPr>
            <w:tcW w:w="945" w:type="pct"/>
            <w:noWrap w:val="0"/>
            <w:vAlign w:val="center"/>
          </w:tcPr>
          <w:p>
            <w:pPr>
              <w:jc w:val="center"/>
              <w:rPr>
                <w:rFonts w:ascii="等线" w:hAnsi="等线" w:cs="Times New Roman"/>
                <w:sz w:val="21"/>
                <w:szCs w:val="21"/>
              </w:rPr>
            </w:pPr>
            <w:r>
              <w:rPr>
                <w:rFonts w:ascii="等线" w:hAnsi="等线" w:cs="Times New Roman"/>
                <w:sz w:val="21"/>
                <w:szCs w:val="21"/>
              </w:rPr>
              <w:t>优秀</w:t>
            </w:r>
          </w:p>
        </w:tc>
        <w:tc>
          <w:tcPr>
            <w:tcW w:w="670" w:type="pct"/>
            <w:noWrap/>
            <w:vAlign w:val="center"/>
          </w:tcPr>
          <w:p>
            <w:pPr>
              <w:jc w:val="center"/>
              <w:rPr>
                <w:rFonts w:ascii="等线" w:hAnsi="等线" w:cs="Times New Roman"/>
                <w:kern w:val="0"/>
                <w:sz w:val="21"/>
                <w:szCs w:val="21"/>
              </w:rPr>
            </w:pPr>
            <w:r>
              <w:rPr>
                <w:rFonts w:ascii="等线" w:hAnsi="等线" w:cs="Times New Roman"/>
                <w:kern w:val="0"/>
                <w:sz w:val="21"/>
                <w:szCs w:val="21"/>
              </w:rPr>
              <w:t>0.02分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725" w:type="pct"/>
            <w:vMerge w:val="continue"/>
            <w:noWrap w:val="0"/>
            <w:vAlign w:val="center"/>
          </w:tcPr>
          <w:p>
            <w:pPr>
              <w:widowControl/>
              <w:jc w:val="center"/>
              <w:rPr>
                <w:rFonts w:ascii="等线" w:hAnsi="等线" w:cs="Times New Roman"/>
                <w:kern w:val="0"/>
                <w:sz w:val="21"/>
                <w:szCs w:val="21"/>
              </w:rPr>
            </w:pPr>
          </w:p>
        </w:tc>
        <w:tc>
          <w:tcPr>
            <w:tcW w:w="725" w:type="pct"/>
            <w:vMerge w:val="continue"/>
            <w:noWrap w:val="0"/>
            <w:vAlign w:val="center"/>
          </w:tcPr>
          <w:p>
            <w:pPr>
              <w:widowControl/>
              <w:jc w:val="center"/>
              <w:rPr>
                <w:rFonts w:ascii="等线" w:hAnsi="等线" w:cs="Times New Roman"/>
                <w:kern w:val="0"/>
                <w:sz w:val="21"/>
                <w:szCs w:val="21"/>
              </w:rPr>
            </w:pPr>
          </w:p>
        </w:tc>
        <w:tc>
          <w:tcPr>
            <w:tcW w:w="1935" w:type="pct"/>
            <w:vMerge w:val="continue"/>
            <w:noWrap w:val="0"/>
            <w:vAlign w:val="center"/>
          </w:tcPr>
          <w:p>
            <w:pPr>
              <w:widowControl/>
              <w:jc w:val="center"/>
              <w:rPr>
                <w:rFonts w:ascii="等线" w:hAnsi="等线" w:cs="Times New Roman"/>
                <w:sz w:val="21"/>
                <w:szCs w:val="21"/>
              </w:rPr>
            </w:pPr>
          </w:p>
        </w:tc>
        <w:tc>
          <w:tcPr>
            <w:tcW w:w="945" w:type="pct"/>
            <w:noWrap w:val="0"/>
            <w:vAlign w:val="center"/>
          </w:tcPr>
          <w:p>
            <w:pPr>
              <w:jc w:val="center"/>
              <w:rPr>
                <w:rFonts w:ascii="等线" w:hAnsi="等线" w:cs="Times New Roman"/>
                <w:sz w:val="21"/>
                <w:szCs w:val="21"/>
              </w:rPr>
            </w:pPr>
            <w:r>
              <w:rPr>
                <w:rFonts w:ascii="等线" w:hAnsi="等线" w:cs="Times New Roman"/>
                <w:sz w:val="21"/>
                <w:szCs w:val="21"/>
              </w:rPr>
              <w:t>合格</w:t>
            </w:r>
          </w:p>
        </w:tc>
        <w:tc>
          <w:tcPr>
            <w:tcW w:w="670" w:type="pct"/>
            <w:noWrap/>
            <w:vAlign w:val="center"/>
          </w:tcPr>
          <w:p>
            <w:pPr>
              <w:jc w:val="center"/>
              <w:rPr>
                <w:rFonts w:ascii="等线" w:hAnsi="等线" w:cs="Times New Roman"/>
                <w:kern w:val="0"/>
                <w:sz w:val="21"/>
                <w:szCs w:val="21"/>
              </w:rPr>
            </w:pPr>
            <w:r>
              <w:rPr>
                <w:rFonts w:ascii="等线" w:hAnsi="等线" w:cs="Times New Roman"/>
                <w:kern w:val="0"/>
                <w:sz w:val="21"/>
                <w:szCs w:val="21"/>
              </w:rPr>
              <w:t>0.01分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725" w:type="pct"/>
            <w:vMerge w:val="continue"/>
            <w:noWrap w:val="0"/>
            <w:vAlign w:val="center"/>
          </w:tcPr>
          <w:p>
            <w:pPr>
              <w:widowControl/>
              <w:jc w:val="center"/>
              <w:rPr>
                <w:rFonts w:ascii="等线" w:hAnsi="等线" w:cs="Times New Roman"/>
                <w:kern w:val="0"/>
                <w:sz w:val="21"/>
                <w:szCs w:val="21"/>
              </w:rPr>
            </w:pPr>
          </w:p>
        </w:tc>
        <w:tc>
          <w:tcPr>
            <w:tcW w:w="725" w:type="pct"/>
            <w:vMerge w:val="continue"/>
            <w:noWrap w:val="0"/>
            <w:vAlign w:val="center"/>
          </w:tcPr>
          <w:p>
            <w:pPr>
              <w:widowControl/>
              <w:jc w:val="center"/>
              <w:rPr>
                <w:rFonts w:ascii="等线" w:hAnsi="等线" w:cs="Times New Roman"/>
                <w:kern w:val="0"/>
                <w:sz w:val="21"/>
                <w:szCs w:val="21"/>
              </w:rPr>
            </w:pPr>
          </w:p>
        </w:tc>
        <w:tc>
          <w:tcPr>
            <w:tcW w:w="1935" w:type="pct"/>
            <w:vMerge w:val="restart"/>
            <w:noWrap w:val="0"/>
            <w:vAlign w:val="center"/>
          </w:tcPr>
          <w:p>
            <w:pPr>
              <w:widowControl/>
              <w:jc w:val="center"/>
              <w:rPr>
                <w:rFonts w:ascii="等线" w:hAnsi="等线" w:cs="Times New Roman"/>
                <w:sz w:val="21"/>
                <w:szCs w:val="21"/>
              </w:rPr>
            </w:pPr>
            <w:r>
              <w:rPr>
                <w:rFonts w:ascii="等线" w:hAnsi="等线" w:cs="Times New Roman"/>
                <w:sz w:val="21"/>
                <w:szCs w:val="21"/>
              </w:rPr>
              <w:t>传媒学院</w:t>
            </w:r>
            <w:r>
              <w:rPr>
                <w:rFonts w:hint="eastAsia" w:ascii="等线" w:hAnsi="等线" w:cs="Times New Roman"/>
                <w:sz w:val="21"/>
                <w:szCs w:val="21"/>
              </w:rPr>
              <w:t>兼职团委副书记、团委书记助理</w:t>
            </w:r>
          </w:p>
        </w:tc>
        <w:tc>
          <w:tcPr>
            <w:tcW w:w="945" w:type="pct"/>
            <w:noWrap w:val="0"/>
            <w:vAlign w:val="center"/>
          </w:tcPr>
          <w:p>
            <w:pPr>
              <w:jc w:val="center"/>
              <w:rPr>
                <w:rFonts w:ascii="等线" w:hAnsi="等线" w:cs="Times New Roman"/>
                <w:sz w:val="21"/>
                <w:szCs w:val="21"/>
              </w:rPr>
            </w:pPr>
            <w:r>
              <w:rPr>
                <w:rFonts w:ascii="等线" w:hAnsi="等线" w:cs="Times New Roman"/>
                <w:sz w:val="21"/>
                <w:szCs w:val="21"/>
              </w:rPr>
              <w:t>优秀</w:t>
            </w:r>
          </w:p>
        </w:tc>
        <w:tc>
          <w:tcPr>
            <w:tcW w:w="670" w:type="pct"/>
            <w:noWrap/>
            <w:vAlign w:val="center"/>
          </w:tcPr>
          <w:p>
            <w:pPr>
              <w:jc w:val="center"/>
              <w:rPr>
                <w:rFonts w:ascii="等线" w:hAnsi="等线" w:cs="Times New Roman"/>
                <w:kern w:val="0"/>
                <w:sz w:val="21"/>
                <w:szCs w:val="21"/>
              </w:rPr>
            </w:pPr>
            <w:r>
              <w:rPr>
                <w:rFonts w:ascii="等线" w:hAnsi="等线" w:cs="Times New Roman"/>
                <w:kern w:val="0"/>
                <w:sz w:val="21"/>
                <w:szCs w:val="21"/>
              </w:rPr>
              <w:t>0.02分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725" w:type="pct"/>
            <w:vMerge w:val="continue"/>
            <w:noWrap w:val="0"/>
            <w:vAlign w:val="center"/>
          </w:tcPr>
          <w:p>
            <w:pPr>
              <w:widowControl/>
              <w:jc w:val="center"/>
              <w:rPr>
                <w:rFonts w:ascii="等线" w:hAnsi="等线" w:cs="Times New Roman"/>
                <w:kern w:val="0"/>
                <w:sz w:val="21"/>
                <w:szCs w:val="21"/>
              </w:rPr>
            </w:pPr>
          </w:p>
        </w:tc>
        <w:tc>
          <w:tcPr>
            <w:tcW w:w="725" w:type="pct"/>
            <w:vMerge w:val="continue"/>
            <w:noWrap w:val="0"/>
            <w:vAlign w:val="center"/>
          </w:tcPr>
          <w:p>
            <w:pPr>
              <w:widowControl/>
              <w:jc w:val="center"/>
              <w:rPr>
                <w:rFonts w:ascii="等线" w:hAnsi="等线" w:cs="Times New Roman"/>
                <w:kern w:val="0"/>
                <w:sz w:val="21"/>
                <w:szCs w:val="21"/>
              </w:rPr>
            </w:pPr>
          </w:p>
        </w:tc>
        <w:tc>
          <w:tcPr>
            <w:tcW w:w="1935" w:type="pct"/>
            <w:vMerge w:val="continue"/>
            <w:noWrap w:val="0"/>
            <w:vAlign w:val="center"/>
          </w:tcPr>
          <w:p>
            <w:pPr>
              <w:widowControl/>
              <w:jc w:val="center"/>
              <w:rPr>
                <w:rFonts w:ascii="等线" w:hAnsi="等线" w:cs="Times New Roman"/>
                <w:sz w:val="21"/>
                <w:szCs w:val="21"/>
              </w:rPr>
            </w:pPr>
          </w:p>
        </w:tc>
        <w:tc>
          <w:tcPr>
            <w:tcW w:w="945" w:type="pct"/>
            <w:noWrap w:val="0"/>
            <w:vAlign w:val="center"/>
          </w:tcPr>
          <w:p>
            <w:pPr>
              <w:jc w:val="center"/>
              <w:rPr>
                <w:rFonts w:ascii="等线" w:hAnsi="等线" w:cs="Times New Roman"/>
                <w:sz w:val="21"/>
                <w:szCs w:val="21"/>
              </w:rPr>
            </w:pPr>
            <w:r>
              <w:rPr>
                <w:rFonts w:ascii="等线" w:hAnsi="等线" w:cs="Times New Roman"/>
                <w:sz w:val="21"/>
                <w:szCs w:val="21"/>
              </w:rPr>
              <w:t>合格</w:t>
            </w:r>
          </w:p>
        </w:tc>
        <w:tc>
          <w:tcPr>
            <w:tcW w:w="670" w:type="pct"/>
            <w:noWrap/>
            <w:vAlign w:val="center"/>
          </w:tcPr>
          <w:p>
            <w:pPr>
              <w:jc w:val="center"/>
              <w:rPr>
                <w:rFonts w:ascii="等线" w:hAnsi="等线" w:cs="Times New Roman"/>
                <w:kern w:val="0"/>
                <w:sz w:val="21"/>
                <w:szCs w:val="21"/>
              </w:rPr>
            </w:pPr>
            <w:r>
              <w:rPr>
                <w:rFonts w:ascii="等线" w:hAnsi="等线" w:cs="Times New Roman"/>
                <w:kern w:val="0"/>
                <w:sz w:val="21"/>
                <w:szCs w:val="21"/>
              </w:rPr>
              <w:t>0.01分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725" w:type="pct"/>
            <w:vMerge w:val="continue"/>
            <w:noWrap w:val="0"/>
            <w:vAlign w:val="center"/>
          </w:tcPr>
          <w:p>
            <w:pPr>
              <w:widowControl/>
              <w:jc w:val="center"/>
              <w:rPr>
                <w:rFonts w:ascii="等线" w:hAnsi="等线" w:cs="Times New Roman"/>
                <w:kern w:val="0"/>
                <w:sz w:val="21"/>
                <w:szCs w:val="21"/>
              </w:rPr>
            </w:pPr>
          </w:p>
        </w:tc>
        <w:tc>
          <w:tcPr>
            <w:tcW w:w="725" w:type="pct"/>
            <w:vMerge w:val="continue"/>
            <w:noWrap w:val="0"/>
            <w:vAlign w:val="center"/>
          </w:tcPr>
          <w:p>
            <w:pPr>
              <w:widowControl/>
              <w:jc w:val="center"/>
              <w:rPr>
                <w:rFonts w:ascii="等线" w:hAnsi="等线" w:cs="Times New Roman"/>
                <w:kern w:val="0"/>
                <w:sz w:val="21"/>
                <w:szCs w:val="21"/>
              </w:rPr>
            </w:pPr>
          </w:p>
        </w:tc>
        <w:tc>
          <w:tcPr>
            <w:tcW w:w="1935" w:type="pct"/>
            <w:noWrap w:val="0"/>
            <w:vAlign w:val="center"/>
          </w:tcPr>
          <w:p>
            <w:pPr>
              <w:widowControl/>
              <w:jc w:val="center"/>
              <w:rPr>
                <w:rFonts w:ascii="等线" w:hAnsi="等线" w:cs="Times New Roman"/>
                <w:sz w:val="21"/>
                <w:szCs w:val="21"/>
              </w:rPr>
            </w:pPr>
            <w:r>
              <w:rPr>
                <w:rFonts w:hint="eastAsia" w:ascii="等线" w:hAnsi="等线"/>
                <w:sz w:val="21"/>
                <w:szCs w:val="21"/>
              </w:rPr>
              <w:t>传媒学院学生融媒体中心主任团</w:t>
            </w:r>
          </w:p>
        </w:tc>
        <w:tc>
          <w:tcPr>
            <w:tcW w:w="945" w:type="pct"/>
            <w:noWrap w:val="0"/>
            <w:vAlign w:val="center"/>
          </w:tcPr>
          <w:p>
            <w:pPr>
              <w:widowControl/>
              <w:jc w:val="center"/>
              <w:rPr>
                <w:rFonts w:ascii="等线" w:hAnsi="等线" w:cs="Times New Roman"/>
                <w:sz w:val="21"/>
                <w:szCs w:val="21"/>
              </w:rPr>
            </w:pPr>
            <w:r>
              <w:rPr>
                <w:rFonts w:hint="eastAsia" w:ascii="等线" w:hAnsi="等线"/>
                <w:sz w:val="21"/>
                <w:szCs w:val="21"/>
              </w:rPr>
              <w:t>优秀</w:t>
            </w:r>
          </w:p>
        </w:tc>
        <w:tc>
          <w:tcPr>
            <w:tcW w:w="670" w:type="pct"/>
            <w:noWrap/>
            <w:vAlign w:val="center"/>
          </w:tcPr>
          <w:p>
            <w:pPr>
              <w:widowControl/>
              <w:jc w:val="center"/>
              <w:rPr>
                <w:rFonts w:ascii="等线" w:hAnsi="等线" w:cs="Times New Roman"/>
                <w:kern w:val="0"/>
                <w:sz w:val="21"/>
                <w:szCs w:val="21"/>
              </w:rPr>
            </w:pPr>
            <w:r>
              <w:rPr>
                <w:rFonts w:hint="eastAsia" w:ascii="等线" w:hAnsi="等线" w:cs="Times New Roman"/>
                <w:sz w:val="21"/>
                <w:szCs w:val="21"/>
              </w:rPr>
              <w:t>0</w:t>
            </w:r>
            <w:r>
              <w:rPr>
                <w:rFonts w:ascii="等线" w:hAnsi="等线" w:cs="Times New Roman"/>
                <w:sz w:val="21"/>
                <w:szCs w:val="21"/>
              </w:rPr>
              <w:t>.01</w:t>
            </w:r>
            <w:r>
              <w:rPr>
                <w:rFonts w:hint="eastAsia" w:ascii="等线" w:hAnsi="等线" w:cs="Times New Roman"/>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725" w:type="pct"/>
            <w:vMerge w:val="continue"/>
            <w:noWrap w:val="0"/>
            <w:vAlign w:val="center"/>
          </w:tcPr>
          <w:p>
            <w:pPr>
              <w:widowControl/>
              <w:jc w:val="center"/>
              <w:rPr>
                <w:rFonts w:ascii="等线" w:hAnsi="等线" w:cs="Times New Roman"/>
                <w:kern w:val="0"/>
                <w:sz w:val="21"/>
                <w:szCs w:val="21"/>
              </w:rPr>
            </w:pPr>
          </w:p>
        </w:tc>
        <w:tc>
          <w:tcPr>
            <w:tcW w:w="725" w:type="pct"/>
            <w:vMerge w:val="continue"/>
            <w:noWrap w:val="0"/>
            <w:vAlign w:val="center"/>
          </w:tcPr>
          <w:p>
            <w:pPr>
              <w:widowControl/>
              <w:jc w:val="center"/>
              <w:rPr>
                <w:rFonts w:ascii="等线" w:hAnsi="等线" w:cs="Times New Roman"/>
                <w:kern w:val="0"/>
                <w:sz w:val="21"/>
                <w:szCs w:val="21"/>
              </w:rPr>
            </w:pPr>
          </w:p>
        </w:tc>
        <w:tc>
          <w:tcPr>
            <w:tcW w:w="1935" w:type="pct"/>
            <w:noWrap w:val="0"/>
            <w:vAlign w:val="center"/>
          </w:tcPr>
          <w:p>
            <w:pPr>
              <w:widowControl/>
              <w:jc w:val="center"/>
              <w:rPr>
                <w:rFonts w:ascii="等线" w:hAnsi="等线" w:cs="Times New Roman"/>
                <w:sz w:val="21"/>
                <w:szCs w:val="21"/>
              </w:rPr>
            </w:pPr>
            <w:r>
              <w:rPr>
                <w:rFonts w:ascii="等线" w:hAnsi="等线" w:cs="Times New Roman"/>
                <w:sz w:val="21"/>
                <w:szCs w:val="21"/>
              </w:rPr>
              <w:t>传媒学院党支部委员</w:t>
            </w:r>
          </w:p>
        </w:tc>
        <w:tc>
          <w:tcPr>
            <w:tcW w:w="945" w:type="pct"/>
            <w:noWrap w:val="0"/>
            <w:vAlign w:val="center"/>
          </w:tcPr>
          <w:p>
            <w:pPr>
              <w:widowControl/>
              <w:jc w:val="center"/>
              <w:rPr>
                <w:rFonts w:ascii="等线" w:hAnsi="等线" w:cs="Times New Roman"/>
                <w:sz w:val="21"/>
                <w:szCs w:val="21"/>
              </w:rPr>
            </w:pPr>
            <w:r>
              <w:rPr>
                <w:rFonts w:ascii="等线" w:hAnsi="等线" w:cs="Times New Roman"/>
                <w:sz w:val="21"/>
                <w:szCs w:val="21"/>
              </w:rPr>
              <w:t>优秀</w:t>
            </w:r>
          </w:p>
        </w:tc>
        <w:tc>
          <w:tcPr>
            <w:tcW w:w="670" w:type="pct"/>
            <w:noWrap/>
            <w:vAlign w:val="center"/>
          </w:tcPr>
          <w:p>
            <w:pPr>
              <w:widowControl/>
              <w:jc w:val="center"/>
              <w:rPr>
                <w:rFonts w:ascii="等线" w:hAnsi="等线" w:cs="Times New Roman"/>
                <w:kern w:val="0"/>
                <w:sz w:val="21"/>
                <w:szCs w:val="21"/>
              </w:rPr>
            </w:pPr>
            <w:r>
              <w:rPr>
                <w:rFonts w:ascii="等线" w:hAnsi="等线" w:cs="Times New Roman"/>
                <w:kern w:val="0"/>
                <w:sz w:val="21"/>
                <w:szCs w:val="21"/>
              </w:rPr>
              <w:t>0.01分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725" w:type="pct"/>
            <w:vMerge w:val="continue"/>
            <w:noWrap w:val="0"/>
            <w:vAlign w:val="center"/>
          </w:tcPr>
          <w:p>
            <w:pPr>
              <w:widowControl/>
              <w:jc w:val="center"/>
              <w:rPr>
                <w:rFonts w:ascii="等线" w:hAnsi="等线" w:cs="Times New Roman"/>
                <w:kern w:val="0"/>
                <w:sz w:val="21"/>
                <w:szCs w:val="21"/>
              </w:rPr>
            </w:pPr>
          </w:p>
        </w:tc>
        <w:tc>
          <w:tcPr>
            <w:tcW w:w="725" w:type="pct"/>
            <w:vMerge w:val="continue"/>
            <w:noWrap w:val="0"/>
            <w:vAlign w:val="center"/>
          </w:tcPr>
          <w:p>
            <w:pPr>
              <w:widowControl/>
              <w:jc w:val="center"/>
              <w:rPr>
                <w:rFonts w:ascii="等线" w:hAnsi="等线" w:cs="Times New Roman"/>
                <w:kern w:val="0"/>
                <w:sz w:val="21"/>
                <w:szCs w:val="21"/>
              </w:rPr>
            </w:pPr>
          </w:p>
        </w:tc>
        <w:tc>
          <w:tcPr>
            <w:tcW w:w="1935" w:type="pct"/>
            <w:noWrap w:val="0"/>
            <w:vAlign w:val="center"/>
          </w:tcPr>
          <w:p>
            <w:pPr>
              <w:jc w:val="center"/>
              <w:rPr>
                <w:rFonts w:ascii="等线" w:hAnsi="等线" w:cs="Times New Roman"/>
                <w:sz w:val="21"/>
                <w:szCs w:val="21"/>
              </w:rPr>
            </w:pPr>
            <w:r>
              <w:rPr>
                <w:rFonts w:ascii="等线" w:hAnsi="等线" w:cs="Times New Roman"/>
                <w:sz w:val="21"/>
                <w:szCs w:val="21"/>
              </w:rPr>
              <w:t>传媒学院班团委员</w:t>
            </w:r>
          </w:p>
        </w:tc>
        <w:tc>
          <w:tcPr>
            <w:tcW w:w="945" w:type="pct"/>
            <w:noWrap w:val="0"/>
            <w:vAlign w:val="center"/>
          </w:tcPr>
          <w:p>
            <w:pPr>
              <w:jc w:val="center"/>
              <w:rPr>
                <w:rFonts w:ascii="等线" w:hAnsi="等线" w:cs="Times New Roman"/>
                <w:sz w:val="21"/>
                <w:szCs w:val="21"/>
              </w:rPr>
            </w:pPr>
            <w:r>
              <w:rPr>
                <w:rFonts w:ascii="等线" w:hAnsi="等线" w:cs="Times New Roman"/>
                <w:sz w:val="21"/>
                <w:szCs w:val="21"/>
              </w:rPr>
              <w:t>优秀</w:t>
            </w:r>
          </w:p>
        </w:tc>
        <w:tc>
          <w:tcPr>
            <w:tcW w:w="670" w:type="pct"/>
            <w:noWrap/>
            <w:vAlign w:val="center"/>
          </w:tcPr>
          <w:p>
            <w:pPr>
              <w:jc w:val="center"/>
              <w:rPr>
                <w:rFonts w:ascii="等线" w:hAnsi="等线" w:cs="Times New Roman"/>
                <w:kern w:val="0"/>
                <w:sz w:val="21"/>
                <w:szCs w:val="21"/>
              </w:rPr>
            </w:pPr>
            <w:r>
              <w:rPr>
                <w:rFonts w:ascii="等线" w:hAnsi="等线" w:cs="Times New Roman"/>
                <w:kern w:val="0"/>
                <w:sz w:val="21"/>
                <w:szCs w:val="21"/>
              </w:rPr>
              <w:t>0.01分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25" w:type="pct"/>
            <w:vMerge w:val="continue"/>
            <w:noWrap w:val="0"/>
            <w:vAlign w:val="center"/>
          </w:tcPr>
          <w:p>
            <w:pPr>
              <w:widowControl/>
              <w:jc w:val="center"/>
              <w:rPr>
                <w:rFonts w:ascii="等线" w:hAnsi="等线" w:cs="Times New Roman"/>
                <w:kern w:val="0"/>
                <w:sz w:val="21"/>
                <w:szCs w:val="21"/>
              </w:rPr>
            </w:pPr>
          </w:p>
        </w:tc>
        <w:tc>
          <w:tcPr>
            <w:tcW w:w="725" w:type="pct"/>
            <w:noWrap w:val="0"/>
            <w:vAlign w:val="center"/>
          </w:tcPr>
          <w:p>
            <w:pPr>
              <w:widowControl/>
              <w:jc w:val="center"/>
              <w:rPr>
                <w:rFonts w:ascii="等线" w:hAnsi="等线" w:cs="Times New Roman"/>
                <w:kern w:val="0"/>
                <w:sz w:val="21"/>
                <w:szCs w:val="21"/>
              </w:rPr>
            </w:pPr>
            <w:r>
              <w:rPr>
                <w:rFonts w:ascii="等线" w:hAnsi="等线" w:cs="Times New Roman"/>
                <w:kern w:val="0"/>
                <w:sz w:val="21"/>
                <w:szCs w:val="21"/>
              </w:rPr>
              <w:t>校级</w:t>
            </w:r>
          </w:p>
        </w:tc>
        <w:tc>
          <w:tcPr>
            <w:tcW w:w="1935" w:type="pct"/>
            <w:noWrap w:val="0"/>
            <w:vAlign w:val="center"/>
          </w:tcPr>
          <w:p>
            <w:pPr>
              <w:widowControl/>
              <w:jc w:val="center"/>
              <w:rPr>
                <w:rFonts w:ascii="等线" w:hAnsi="等线" w:cs="Times New Roman"/>
                <w:sz w:val="21"/>
                <w:szCs w:val="21"/>
              </w:rPr>
            </w:pPr>
            <w:r>
              <w:rPr>
                <w:rFonts w:hint="eastAsia" w:ascii="等线" w:hAnsi="等线" w:cs="Times New Roman"/>
                <w:sz w:val="21"/>
                <w:szCs w:val="21"/>
              </w:rPr>
              <w:t>经学校相关部门正式聘任的校级学生会（学生组织）</w:t>
            </w:r>
          </w:p>
          <w:p>
            <w:pPr>
              <w:widowControl/>
              <w:jc w:val="center"/>
              <w:rPr>
                <w:rFonts w:ascii="等线" w:hAnsi="等线" w:cs="Times New Roman"/>
                <w:sz w:val="21"/>
                <w:szCs w:val="21"/>
              </w:rPr>
            </w:pPr>
            <w:r>
              <w:rPr>
                <w:rFonts w:hint="eastAsia" w:ascii="等线" w:hAnsi="等线" w:cs="Times New Roman"/>
                <w:sz w:val="21"/>
                <w:szCs w:val="21"/>
              </w:rPr>
              <w:t>主席团（主任团）成员、兼职辅导员、兼职团委副书记、四星级及以上学生社团主要负责人</w:t>
            </w:r>
          </w:p>
        </w:tc>
        <w:tc>
          <w:tcPr>
            <w:tcW w:w="945" w:type="pct"/>
            <w:noWrap w:val="0"/>
            <w:vAlign w:val="center"/>
          </w:tcPr>
          <w:p>
            <w:pPr>
              <w:widowControl/>
              <w:jc w:val="center"/>
              <w:rPr>
                <w:rFonts w:ascii="等线" w:hAnsi="等线" w:cs="Times New Roman"/>
                <w:sz w:val="21"/>
                <w:szCs w:val="21"/>
              </w:rPr>
            </w:pPr>
            <w:r>
              <w:rPr>
                <w:rFonts w:ascii="等线" w:hAnsi="等线" w:cs="Times New Roman"/>
                <w:sz w:val="21"/>
                <w:szCs w:val="21"/>
              </w:rPr>
              <w:t>合格</w:t>
            </w:r>
          </w:p>
        </w:tc>
        <w:tc>
          <w:tcPr>
            <w:tcW w:w="670" w:type="pct"/>
            <w:noWrap/>
            <w:vAlign w:val="center"/>
          </w:tcPr>
          <w:p>
            <w:pPr>
              <w:widowControl/>
              <w:jc w:val="center"/>
              <w:rPr>
                <w:rFonts w:ascii="等线" w:hAnsi="等线" w:cs="Times New Roman"/>
                <w:kern w:val="0"/>
                <w:sz w:val="21"/>
                <w:szCs w:val="21"/>
              </w:rPr>
            </w:pPr>
            <w:r>
              <w:rPr>
                <w:rFonts w:ascii="等线" w:hAnsi="等线" w:cs="Times New Roman"/>
                <w:kern w:val="0"/>
                <w:sz w:val="21"/>
                <w:szCs w:val="21"/>
              </w:rPr>
              <w:t>0.01分</w:t>
            </w:r>
          </w:p>
        </w:tc>
      </w:tr>
    </w:tbl>
    <w:p>
      <w:pPr>
        <w:spacing w:line="360" w:lineRule="auto"/>
        <w:jc w:val="left"/>
        <w:rPr>
          <w:rFonts w:ascii="等线" w:hAnsi="等线" w:cs="Times New Roman"/>
          <w:sz w:val="24"/>
        </w:rPr>
      </w:pPr>
    </w:p>
    <w:p>
      <w:pPr>
        <w:spacing w:line="360" w:lineRule="auto"/>
        <w:rPr>
          <w:rFonts w:ascii="等线" w:hAnsi="等线" w:cs="Times New Roman"/>
          <w:sz w:val="24"/>
        </w:rPr>
      </w:pPr>
      <w:r>
        <w:rPr>
          <w:rFonts w:ascii="等线" w:hAnsi="等线" w:cs="Times New Roman"/>
          <w:sz w:val="24"/>
        </w:rPr>
        <w:t>备注：1.学生干部按学年进行考核，任期须至少满一年。</w:t>
      </w:r>
      <w:r>
        <w:rPr>
          <w:rFonts w:hint="eastAsia" w:ascii="等线" w:hAnsi="等线" w:cs="Times New Roman"/>
          <w:sz w:val="24"/>
        </w:rPr>
        <w:t>考核办法另行制订。</w:t>
      </w:r>
    </w:p>
    <w:p>
      <w:pPr>
        <w:spacing w:line="360" w:lineRule="auto"/>
        <w:rPr>
          <w:rFonts w:ascii="等线" w:hAnsi="等线" w:cs="Times New Roman"/>
          <w:sz w:val="24"/>
        </w:rPr>
      </w:pPr>
      <w:r>
        <w:rPr>
          <w:rFonts w:ascii="等线" w:hAnsi="等线" w:cs="Times New Roman"/>
          <w:sz w:val="24"/>
        </w:rPr>
        <w:t xml:space="preserve">      2.</w:t>
      </w:r>
      <w:r>
        <w:rPr>
          <w:rFonts w:hint="eastAsia" w:ascii="等线" w:hAnsi="等线" w:cs="Times New Roman"/>
          <w:sz w:val="24"/>
        </w:rPr>
        <w:t>学院</w:t>
      </w:r>
      <w:r>
        <w:rPr>
          <w:rFonts w:ascii="等线" w:hAnsi="等线" w:cs="Times New Roman"/>
          <w:sz w:val="24"/>
        </w:rPr>
        <w:t>学生干部的考核由学院学生干部考核工作小组负责进行，报学院党委审批。院级学生会主席团成员、</w:t>
      </w:r>
      <w:r>
        <w:rPr>
          <w:rFonts w:hint="eastAsia" w:ascii="等线" w:hAnsi="等线" w:cs="Times New Roman"/>
          <w:sz w:val="24"/>
        </w:rPr>
        <w:t>兼</w:t>
      </w:r>
      <w:r>
        <w:rPr>
          <w:rFonts w:ascii="等线" w:hAnsi="等线" w:cs="Times New Roman"/>
          <w:sz w:val="24"/>
        </w:rPr>
        <w:t>职团干部</w:t>
      </w:r>
      <w:r>
        <w:rPr>
          <w:rFonts w:hint="eastAsia" w:ascii="等线" w:hAnsi="等线" w:cs="Times New Roman"/>
          <w:sz w:val="24"/>
        </w:rPr>
        <w:t>、传媒学院学生融媒体中心主任团</w:t>
      </w:r>
      <w:r>
        <w:rPr>
          <w:rFonts w:ascii="等线" w:hAnsi="等线" w:cs="Times New Roman"/>
          <w:sz w:val="24"/>
        </w:rPr>
        <w:t>全体</w:t>
      </w:r>
      <w:r>
        <w:rPr>
          <w:rFonts w:hint="eastAsia" w:ascii="等线" w:hAnsi="等线" w:cs="Times New Roman"/>
          <w:sz w:val="24"/>
        </w:rPr>
        <w:t>本科生</w:t>
      </w:r>
      <w:r>
        <w:rPr>
          <w:rFonts w:ascii="等线" w:hAnsi="等线" w:cs="Times New Roman"/>
          <w:sz w:val="24"/>
        </w:rPr>
        <w:t>成员参与考核，每项优秀率不超过30%；传媒学院党支部委员以支部为单位每个支部推荐1名候选人参与考核，考核优秀率不超过候选人总数的80%；传媒学院班团委员以班级为单位每个班级推荐1名候选人参与考核，考核优秀率不超过候选人总数的80%；以上均四舍五入。</w:t>
      </w:r>
    </w:p>
    <w:p>
      <w:pPr>
        <w:spacing w:line="360" w:lineRule="auto"/>
        <w:ind w:firstLine="787" w:firstLineChars="328"/>
        <w:rPr>
          <w:rFonts w:ascii="等线" w:hAnsi="等线" w:cs="Times New Roman"/>
          <w:sz w:val="24"/>
        </w:rPr>
      </w:pPr>
      <w:r>
        <w:rPr>
          <w:rFonts w:ascii="等线" w:hAnsi="等线" w:cs="Times New Roman"/>
          <w:sz w:val="24"/>
        </w:rPr>
        <w:t>3.在本科学习阶段，同项学生干部得分不可累加。同时担任多项学生干部的，可累计加分，加分上限为0.03。</w:t>
      </w:r>
    </w:p>
    <w:p>
      <w:pPr>
        <w:spacing w:line="360" w:lineRule="auto"/>
        <w:rPr>
          <w:rFonts w:ascii="等线" w:hAnsi="等线"/>
          <w:b/>
          <w:bCs/>
          <w:sz w:val="24"/>
          <w:szCs w:val="24"/>
        </w:rPr>
      </w:pPr>
      <w:r>
        <w:rPr>
          <w:rFonts w:hint="eastAsia" w:ascii="等线" w:hAnsi="等线" w:cs="Times New Roman"/>
          <w:b/>
          <w:bCs/>
          <w:sz w:val="24"/>
        </w:rPr>
        <w:t>（七）</w:t>
      </w:r>
      <w:r>
        <w:rPr>
          <w:rFonts w:hint="eastAsia" w:ascii="等线" w:hAnsi="等线"/>
          <w:b/>
          <w:bCs/>
          <w:sz w:val="24"/>
          <w:szCs w:val="24"/>
        </w:rPr>
        <w:t>思政2+</w:t>
      </w:r>
      <w:r>
        <w:rPr>
          <w:rFonts w:ascii="等线" w:hAnsi="等线"/>
          <w:b/>
          <w:bCs/>
          <w:sz w:val="24"/>
          <w:szCs w:val="24"/>
        </w:rPr>
        <w:t>2</w:t>
      </w:r>
    </w:p>
    <w:p>
      <w:pPr>
        <w:spacing w:line="480" w:lineRule="exact"/>
        <w:ind w:firstLine="480" w:firstLineChars="200"/>
        <w:rPr>
          <w:rFonts w:ascii="等线" w:hAnsi="等线"/>
          <w:bCs/>
          <w:sz w:val="24"/>
          <w:szCs w:val="24"/>
        </w:rPr>
      </w:pPr>
      <w:r>
        <w:rPr>
          <w:rFonts w:ascii="等线" w:hAnsi="等线"/>
          <w:bCs/>
          <w:sz w:val="24"/>
          <w:szCs w:val="24"/>
        </w:rPr>
        <w:t>对于</w:t>
      </w:r>
      <w:r>
        <w:rPr>
          <w:rFonts w:hint="eastAsia" w:ascii="等线" w:hAnsi="等线"/>
          <w:bCs/>
          <w:sz w:val="24"/>
          <w:szCs w:val="24"/>
        </w:rPr>
        <w:t>通过</w:t>
      </w:r>
      <w:r>
        <w:rPr>
          <w:rFonts w:ascii="等线" w:hAnsi="等线"/>
          <w:bCs/>
          <w:sz w:val="24"/>
          <w:szCs w:val="24"/>
        </w:rPr>
        <w:t>思政2+2</w:t>
      </w:r>
      <w:r>
        <w:rPr>
          <w:rFonts w:hint="eastAsia" w:ascii="等线" w:hAnsi="等线"/>
          <w:bCs/>
          <w:sz w:val="24"/>
          <w:szCs w:val="24"/>
        </w:rPr>
        <w:t>项目认定</w:t>
      </w:r>
      <w:r>
        <w:rPr>
          <w:rFonts w:ascii="等线" w:hAnsi="等线"/>
          <w:bCs/>
          <w:sz w:val="24"/>
          <w:szCs w:val="24"/>
        </w:rPr>
        <w:t>的学生，</w:t>
      </w:r>
      <w:r>
        <w:rPr>
          <w:rFonts w:ascii="等线" w:hAnsi="等线" w:cs="Times New Roman"/>
          <w:bCs/>
          <w:sz w:val="24"/>
          <w:szCs w:val="24"/>
        </w:rPr>
        <w:t>根据学校相关规定进行专项评价</w:t>
      </w:r>
      <w:r>
        <w:rPr>
          <w:rFonts w:ascii="等线" w:hAnsi="等线"/>
          <w:bCs/>
          <w:sz w:val="24"/>
          <w:szCs w:val="24"/>
        </w:rPr>
        <w:t>。思政2+2推免专项评价的细则制定和成绩核定工作由党委学生工作部负责。获得思政2+2加分的学生，得到推免资格后，不得转为普通推免生。</w:t>
      </w:r>
    </w:p>
    <w:p>
      <w:pPr>
        <w:spacing w:line="480" w:lineRule="exact"/>
        <w:rPr>
          <w:rFonts w:ascii="等线" w:hAnsi="等线"/>
          <w:b/>
          <w:bCs/>
          <w:sz w:val="24"/>
          <w:szCs w:val="24"/>
        </w:rPr>
      </w:pPr>
      <w:r>
        <w:rPr>
          <w:rFonts w:hint="eastAsia" w:ascii="等线" w:hAnsi="等线"/>
          <w:b/>
          <w:bCs/>
          <w:sz w:val="24"/>
          <w:szCs w:val="24"/>
        </w:rPr>
        <w:t>（八）特色辅修班</w:t>
      </w:r>
    </w:p>
    <w:p>
      <w:pPr>
        <w:spacing w:line="480" w:lineRule="exact"/>
        <w:ind w:firstLine="480" w:firstLineChars="200"/>
        <w:rPr>
          <w:rFonts w:ascii="等线" w:hAnsi="等线"/>
          <w:bCs/>
          <w:sz w:val="24"/>
          <w:szCs w:val="24"/>
        </w:rPr>
      </w:pPr>
      <w:r>
        <w:rPr>
          <w:rFonts w:ascii="等线" w:hAnsi="等线"/>
          <w:bCs/>
          <w:sz w:val="24"/>
          <w:szCs w:val="24"/>
        </w:rPr>
        <w:t xml:space="preserve"> </w:t>
      </w:r>
      <w:r>
        <w:rPr>
          <w:rFonts w:hint="eastAsia" w:ascii="等线" w:hAnsi="等线"/>
          <w:bCs/>
          <w:sz w:val="24"/>
          <w:szCs w:val="24"/>
        </w:rPr>
        <w:t>对于参加学校认定的特殊人才培养项目（国精班、竺院工高班、竺院创新创业管理强化班、竺院公共管理强化班</w:t>
      </w:r>
      <w:r>
        <w:rPr>
          <w:rFonts w:hint="eastAsia"/>
          <w:bCs/>
          <w:color w:val="auto"/>
          <w:sz w:val="24"/>
          <w:szCs w:val="24"/>
          <w:lang w:val="en-US" w:eastAsia="zh-CN"/>
        </w:rPr>
        <w:t>等</w:t>
      </w:r>
      <w:r>
        <w:rPr>
          <w:rFonts w:hint="eastAsia" w:ascii="等线" w:hAnsi="等线"/>
          <w:bCs/>
          <w:sz w:val="24"/>
          <w:szCs w:val="24"/>
        </w:rPr>
        <w:t>）学习并通过各主管部门（院系）制定细则的学生，</w:t>
      </w:r>
      <w:r>
        <w:rPr>
          <w:rFonts w:ascii="等线" w:hAnsi="等线" w:cs="Times New Roman"/>
          <w:bCs/>
          <w:sz w:val="24"/>
          <w:szCs w:val="24"/>
        </w:rPr>
        <w:t>根据学校相关规定进行专项评价</w:t>
      </w:r>
      <w:r>
        <w:rPr>
          <w:rFonts w:hint="eastAsia" w:ascii="等线" w:hAnsi="等线"/>
          <w:bCs/>
          <w:sz w:val="24"/>
          <w:szCs w:val="24"/>
        </w:rPr>
        <w:t>。</w:t>
      </w:r>
    </w:p>
    <w:p>
      <w:pPr>
        <w:spacing w:line="480" w:lineRule="exact"/>
        <w:rPr>
          <w:rFonts w:ascii="等线" w:hAnsi="等线"/>
          <w:b/>
          <w:bCs/>
          <w:sz w:val="24"/>
          <w:szCs w:val="24"/>
        </w:rPr>
      </w:pPr>
      <w:r>
        <w:rPr>
          <w:rFonts w:hint="eastAsia" w:ascii="等线" w:hAnsi="等线"/>
          <w:b/>
          <w:bCs/>
          <w:sz w:val="24"/>
          <w:szCs w:val="24"/>
        </w:rPr>
        <w:t>（九）研究生支教</w:t>
      </w:r>
    </w:p>
    <w:p>
      <w:pPr>
        <w:spacing w:line="480" w:lineRule="exact"/>
        <w:ind w:firstLine="480" w:firstLineChars="200"/>
        <w:rPr>
          <w:rFonts w:ascii="等线" w:hAnsi="等线" w:cs="Times New Roman"/>
          <w:sz w:val="24"/>
        </w:rPr>
      </w:pPr>
      <w:r>
        <w:rPr>
          <w:rFonts w:hint="eastAsia" w:ascii="等线" w:hAnsi="等线"/>
          <w:bCs/>
          <w:sz w:val="24"/>
          <w:szCs w:val="24"/>
        </w:rPr>
        <w:t>对于申请</w:t>
      </w:r>
      <w:r>
        <w:rPr>
          <w:rFonts w:ascii="等线" w:hAnsi="等线"/>
          <w:bCs/>
          <w:sz w:val="24"/>
          <w:szCs w:val="24"/>
        </w:rPr>
        <w:t>1+2支教团的学生，</w:t>
      </w:r>
      <w:r>
        <w:rPr>
          <w:rFonts w:ascii="等线" w:hAnsi="等线" w:cs="Times New Roman"/>
          <w:bCs/>
          <w:sz w:val="24"/>
          <w:szCs w:val="24"/>
        </w:rPr>
        <w:t>根据学校相关规定进行专项评价</w:t>
      </w:r>
      <w:r>
        <w:rPr>
          <w:rFonts w:ascii="等线" w:hAnsi="等线"/>
          <w:bCs/>
          <w:sz w:val="24"/>
          <w:szCs w:val="24"/>
        </w:rPr>
        <w:t>。</w:t>
      </w:r>
      <w:r>
        <w:rPr>
          <w:rFonts w:hint="eastAsia" w:ascii="等线" w:hAnsi="等线"/>
          <w:bCs/>
          <w:sz w:val="24"/>
          <w:szCs w:val="24"/>
        </w:rPr>
        <w:t>支教</w:t>
      </w:r>
      <w:r>
        <w:rPr>
          <w:rFonts w:ascii="等线" w:hAnsi="等线"/>
          <w:bCs/>
          <w:sz w:val="24"/>
          <w:szCs w:val="24"/>
        </w:rPr>
        <w:t>1+2推免专项评价的细则制定和成绩核定工作由学校团委负责。获得支教1+2加分的学生，得到推免资格后，不得转为普通推免</w:t>
      </w:r>
      <w:r>
        <w:rPr>
          <w:rFonts w:hint="eastAsia" w:ascii="等线" w:hAnsi="等线"/>
          <w:bCs/>
          <w:sz w:val="24"/>
          <w:szCs w:val="24"/>
        </w:rPr>
        <w:t>生。</w:t>
      </w:r>
    </w:p>
    <w:p>
      <w:pPr>
        <w:rPr>
          <w:rFonts w:ascii="等线" w:hAnsi="等线"/>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Unicode MS">
    <w:altName w:val="Arial"/>
    <w:panose1 w:val="020B0604020202020204"/>
    <w:charset w:val="80"/>
    <w:family w:val="swiss"/>
    <w:pitch w:val="default"/>
    <w:sig w:usb0="00000000" w:usb1="00000000" w:usb2="0000003F" w:usb3="00000000" w:csb0="003F01F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2"/>
        <w:spacing w:line="435" w:lineRule="atLeast"/>
        <w:rPr>
          <w:rFonts w:ascii="等线 Light" w:hAnsi="等线 Light" w:eastAsia="等线 Light"/>
          <w:sz w:val="21"/>
          <w:szCs w:val="21"/>
        </w:rPr>
      </w:pPr>
      <w:r>
        <w:rPr>
          <w:rStyle w:val="12"/>
          <w:rFonts w:ascii="宋体"/>
          <w:b w:val="0"/>
          <w:bCs w:val="0"/>
          <w:sz w:val="21"/>
        </w:rPr>
        <w:footnoteRef/>
      </w:r>
      <w:r>
        <w:rPr>
          <w:rFonts w:hint="eastAsia" w:ascii="等线 Light" w:hAnsi="等线 Light" w:eastAsia="等线 Light"/>
          <w:b w:val="0"/>
          <w:bCs w:val="0"/>
          <w:sz w:val="21"/>
          <w:szCs w:val="21"/>
        </w:rPr>
        <w:t>国内学术期刊分级以学校公布的最新版《国内学术期刊目录》为准。</w:t>
      </w:r>
    </w:p>
  </w:footnote>
  <w:footnote w:id="1">
    <w:p>
      <w:pPr>
        <w:spacing w:before="335"/>
        <w:rPr>
          <w:rFonts w:ascii="等线 Light" w:hAnsi="等线 Light" w:eastAsia="等线 Light"/>
          <w:szCs w:val="21"/>
        </w:rPr>
      </w:pPr>
      <w:r>
        <w:rPr>
          <w:rStyle w:val="12"/>
          <w:rFonts w:ascii="等线 Light" w:hAnsi="等线 Light" w:eastAsia="等线 Light"/>
          <w:szCs w:val="21"/>
        </w:rPr>
        <w:footnoteRef/>
      </w:r>
      <w:r>
        <w:rPr>
          <w:rFonts w:hint="eastAsia" w:ascii="等线 Light" w:hAnsi="等线 Light" w:eastAsia="等线 Light"/>
          <w:szCs w:val="21"/>
        </w:rPr>
        <w:t>以最新版《浙江大学本科生学科竞赛认定项目名单》为准。</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803174"/>
    <w:multiLevelType w:val="multilevel"/>
    <w:tmpl w:val="26803174"/>
    <w:lvl w:ilvl="0" w:tentative="0">
      <w:start w:val="1"/>
      <w:numFmt w:val="decimal"/>
      <w:lvlText w:val="%1."/>
      <w:lvlJc w:val="left"/>
      <w:pPr>
        <w:ind w:left="720" w:hanging="360"/>
      </w:pPr>
      <w:rPr>
        <w:rFonts w:hint="default" w:cs="Times New Roman"/>
        <w:color w:val="auto"/>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44146BF8"/>
    <w:multiLevelType w:val="multilevel"/>
    <w:tmpl w:val="44146BF8"/>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FmNDc3YTkxMDdkZmQ1OTA4MDAzODM0MmUzMmFlMDQifQ=="/>
  </w:docVars>
  <w:rsids>
    <w:rsidRoot w:val="00664914"/>
    <w:rsid w:val="00017075"/>
    <w:rsid w:val="00045CB3"/>
    <w:rsid w:val="00096FF7"/>
    <w:rsid w:val="000979ED"/>
    <w:rsid w:val="000A106C"/>
    <w:rsid w:val="001017A4"/>
    <w:rsid w:val="00102E75"/>
    <w:rsid w:val="001067C2"/>
    <w:rsid w:val="001236A8"/>
    <w:rsid w:val="00154DCB"/>
    <w:rsid w:val="001669F2"/>
    <w:rsid w:val="001677F2"/>
    <w:rsid w:val="0017424A"/>
    <w:rsid w:val="001C3A08"/>
    <w:rsid w:val="001D1A20"/>
    <w:rsid w:val="001D4461"/>
    <w:rsid w:val="00216183"/>
    <w:rsid w:val="002217DE"/>
    <w:rsid w:val="0024335C"/>
    <w:rsid w:val="00247959"/>
    <w:rsid w:val="002506AC"/>
    <w:rsid w:val="00254387"/>
    <w:rsid w:val="00266214"/>
    <w:rsid w:val="00276B8F"/>
    <w:rsid w:val="00282725"/>
    <w:rsid w:val="00290992"/>
    <w:rsid w:val="002D1DED"/>
    <w:rsid w:val="002D3A0D"/>
    <w:rsid w:val="002F4A9A"/>
    <w:rsid w:val="00302FAC"/>
    <w:rsid w:val="00310C63"/>
    <w:rsid w:val="00323439"/>
    <w:rsid w:val="0037032D"/>
    <w:rsid w:val="003917FC"/>
    <w:rsid w:val="003A5536"/>
    <w:rsid w:val="003B445F"/>
    <w:rsid w:val="003C4076"/>
    <w:rsid w:val="003C640E"/>
    <w:rsid w:val="003E74E5"/>
    <w:rsid w:val="0041346D"/>
    <w:rsid w:val="00450851"/>
    <w:rsid w:val="004710CA"/>
    <w:rsid w:val="00471540"/>
    <w:rsid w:val="00494DE7"/>
    <w:rsid w:val="004C418E"/>
    <w:rsid w:val="004C608B"/>
    <w:rsid w:val="004C63FC"/>
    <w:rsid w:val="004F4676"/>
    <w:rsid w:val="004F725B"/>
    <w:rsid w:val="005214B3"/>
    <w:rsid w:val="0057006A"/>
    <w:rsid w:val="005B6912"/>
    <w:rsid w:val="005C3182"/>
    <w:rsid w:val="005F12E1"/>
    <w:rsid w:val="005F3EFC"/>
    <w:rsid w:val="00603FAD"/>
    <w:rsid w:val="006430B2"/>
    <w:rsid w:val="00664914"/>
    <w:rsid w:val="0066491C"/>
    <w:rsid w:val="00670CBE"/>
    <w:rsid w:val="006948FD"/>
    <w:rsid w:val="006A6F44"/>
    <w:rsid w:val="006E11A9"/>
    <w:rsid w:val="006E578E"/>
    <w:rsid w:val="006F0D89"/>
    <w:rsid w:val="00716111"/>
    <w:rsid w:val="00723183"/>
    <w:rsid w:val="00727A04"/>
    <w:rsid w:val="00742D97"/>
    <w:rsid w:val="00777B6B"/>
    <w:rsid w:val="007A7E4C"/>
    <w:rsid w:val="007C34BB"/>
    <w:rsid w:val="007C3561"/>
    <w:rsid w:val="00821275"/>
    <w:rsid w:val="008317D5"/>
    <w:rsid w:val="0086569D"/>
    <w:rsid w:val="00896D26"/>
    <w:rsid w:val="008C2AD1"/>
    <w:rsid w:val="008C3D5D"/>
    <w:rsid w:val="008F34D9"/>
    <w:rsid w:val="0091354A"/>
    <w:rsid w:val="009526AF"/>
    <w:rsid w:val="009915C7"/>
    <w:rsid w:val="009B6D82"/>
    <w:rsid w:val="009F454E"/>
    <w:rsid w:val="009F507D"/>
    <w:rsid w:val="009F7C1F"/>
    <w:rsid w:val="00A0485B"/>
    <w:rsid w:val="00A14158"/>
    <w:rsid w:val="00A20872"/>
    <w:rsid w:val="00A361B7"/>
    <w:rsid w:val="00A521C0"/>
    <w:rsid w:val="00A76E40"/>
    <w:rsid w:val="00A831B3"/>
    <w:rsid w:val="00A958AF"/>
    <w:rsid w:val="00AC05CE"/>
    <w:rsid w:val="00AC0E03"/>
    <w:rsid w:val="00AD0680"/>
    <w:rsid w:val="00AD66E5"/>
    <w:rsid w:val="00AF7EB1"/>
    <w:rsid w:val="00B16878"/>
    <w:rsid w:val="00B5679C"/>
    <w:rsid w:val="00B93B4F"/>
    <w:rsid w:val="00BB0EF1"/>
    <w:rsid w:val="00BB2481"/>
    <w:rsid w:val="00BF7C05"/>
    <w:rsid w:val="00C36A17"/>
    <w:rsid w:val="00C44912"/>
    <w:rsid w:val="00C55100"/>
    <w:rsid w:val="00C648F1"/>
    <w:rsid w:val="00C844CB"/>
    <w:rsid w:val="00C93B37"/>
    <w:rsid w:val="00CC0E5F"/>
    <w:rsid w:val="00CE6CB3"/>
    <w:rsid w:val="00CF7548"/>
    <w:rsid w:val="00D066F9"/>
    <w:rsid w:val="00D16596"/>
    <w:rsid w:val="00D21E13"/>
    <w:rsid w:val="00D44A0F"/>
    <w:rsid w:val="00D50A13"/>
    <w:rsid w:val="00D67BC3"/>
    <w:rsid w:val="00DA582E"/>
    <w:rsid w:val="00DA5FB2"/>
    <w:rsid w:val="00DD1725"/>
    <w:rsid w:val="00DD53A7"/>
    <w:rsid w:val="00DE4A04"/>
    <w:rsid w:val="00DE5272"/>
    <w:rsid w:val="00E076F2"/>
    <w:rsid w:val="00E24CEA"/>
    <w:rsid w:val="00E72568"/>
    <w:rsid w:val="00E74AF8"/>
    <w:rsid w:val="00E85239"/>
    <w:rsid w:val="00EB67D5"/>
    <w:rsid w:val="00EB7AD4"/>
    <w:rsid w:val="00ED3FA7"/>
    <w:rsid w:val="00ED528B"/>
    <w:rsid w:val="00ED798C"/>
    <w:rsid w:val="00EF4C5A"/>
    <w:rsid w:val="00F11D00"/>
    <w:rsid w:val="00F275D1"/>
    <w:rsid w:val="00F54375"/>
    <w:rsid w:val="00FE6D00"/>
    <w:rsid w:val="02756A6A"/>
    <w:rsid w:val="05585651"/>
    <w:rsid w:val="0D7F0A90"/>
    <w:rsid w:val="1158509E"/>
    <w:rsid w:val="11932122"/>
    <w:rsid w:val="158D17DE"/>
    <w:rsid w:val="1A7647E7"/>
    <w:rsid w:val="1E9505DC"/>
    <w:rsid w:val="27082DFB"/>
    <w:rsid w:val="289706A8"/>
    <w:rsid w:val="2C65089E"/>
    <w:rsid w:val="2EF37D5C"/>
    <w:rsid w:val="355B631C"/>
    <w:rsid w:val="3AED0D23"/>
    <w:rsid w:val="3F6F6ACD"/>
    <w:rsid w:val="400F7F20"/>
    <w:rsid w:val="40EE65D6"/>
    <w:rsid w:val="42EA5D54"/>
    <w:rsid w:val="43A373BF"/>
    <w:rsid w:val="4453644B"/>
    <w:rsid w:val="44922D55"/>
    <w:rsid w:val="47182221"/>
    <w:rsid w:val="4A470F38"/>
    <w:rsid w:val="4AF83550"/>
    <w:rsid w:val="540E17E4"/>
    <w:rsid w:val="58055B00"/>
    <w:rsid w:val="5FE0350D"/>
    <w:rsid w:val="60636CB3"/>
    <w:rsid w:val="609266F9"/>
    <w:rsid w:val="62EF200D"/>
    <w:rsid w:val="65E46673"/>
    <w:rsid w:val="68CE5704"/>
    <w:rsid w:val="6F2C05A2"/>
    <w:rsid w:val="6F5558EE"/>
    <w:rsid w:val="78755483"/>
    <w:rsid w:val="79E07A7B"/>
    <w:rsid w:val="7A8E06B1"/>
    <w:rsid w:val="7AD12483"/>
    <w:rsid w:val="7C0B3072"/>
    <w:rsid w:val="7E002A9B"/>
    <w:rsid w:val="7E942F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uiPriority="99"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13"/>
    <w:qFormat/>
    <w:uiPriority w:val="0"/>
    <w:pPr>
      <w:widowControl/>
      <w:spacing w:before="100" w:beforeAutospacing="1" w:after="100" w:afterAutospacing="1"/>
      <w:jc w:val="left"/>
      <w:outlineLvl w:val="0"/>
    </w:pPr>
    <w:rPr>
      <w:rFonts w:ascii="Arial Unicode MS" w:hAnsi="Arial Unicode MS" w:eastAsia="宋体" w:cs="Arial Unicode MS"/>
      <w:b/>
      <w:bCs/>
      <w:kern w:val="36"/>
      <w:sz w:val="48"/>
      <w:szCs w:val="48"/>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3">
    <w:name w:val="endnote text"/>
    <w:basedOn w:val="1"/>
    <w:link w:val="14"/>
    <w:unhideWhenUsed/>
    <w:qFormat/>
    <w:uiPriority w:val="99"/>
    <w:pPr>
      <w:snapToGrid w:val="0"/>
      <w:jc w:val="left"/>
    </w:pPr>
  </w:style>
  <w:style w:type="paragraph" w:styleId="4">
    <w:name w:val="Balloon Text"/>
    <w:basedOn w:val="1"/>
    <w:link w:val="15"/>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8"/>
    <w:unhideWhenUsed/>
    <w:qFormat/>
    <w:uiPriority w:val="99"/>
    <w:pPr>
      <w:snapToGrid w:val="0"/>
      <w:jc w:val="left"/>
    </w:pPr>
    <w:rPr>
      <w:sz w:val="18"/>
      <w:szCs w:val="18"/>
    </w:rPr>
  </w:style>
  <w:style w:type="table" w:styleId="9">
    <w:name w:val="Table Grid"/>
    <w:basedOn w:val="8"/>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endnote reference"/>
    <w:basedOn w:val="10"/>
    <w:unhideWhenUsed/>
    <w:qFormat/>
    <w:uiPriority w:val="99"/>
    <w:rPr>
      <w:vertAlign w:val="superscript"/>
    </w:rPr>
  </w:style>
  <w:style w:type="character" w:styleId="12">
    <w:name w:val="footnote reference"/>
    <w:semiHidden/>
    <w:qFormat/>
    <w:uiPriority w:val="0"/>
    <w:rPr>
      <w:rFonts w:cs="Times New Roman"/>
      <w:vertAlign w:val="superscript"/>
    </w:rPr>
  </w:style>
  <w:style w:type="character" w:customStyle="1" w:styleId="13">
    <w:name w:val="标题 1 字符1"/>
    <w:link w:val="2"/>
    <w:qFormat/>
    <w:locked/>
    <w:uiPriority w:val="0"/>
    <w:rPr>
      <w:rFonts w:ascii="Arial Unicode MS" w:hAnsi="Arial Unicode MS" w:eastAsia="宋体" w:cs="Arial Unicode MS"/>
      <w:b/>
      <w:bCs/>
      <w:kern w:val="36"/>
      <w:sz w:val="48"/>
      <w:szCs w:val="48"/>
    </w:rPr>
  </w:style>
  <w:style w:type="character" w:customStyle="1" w:styleId="14">
    <w:name w:val="尾注文本 字符"/>
    <w:basedOn w:val="10"/>
    <w:link w:val="3"/>
    <w:semiHidden/>
    <w:qFormat/>
    <w:uiPriority w:val="99"/>
  </w:style>
  <w:style w:type="character" w:customStyle="1" w:styleId="15">
    <w:name w:val="批注框文本 字符"/>
    <w:basedOn w:val="10"/>
    <w:link w:val="4"/>
    <w:semiHidden/>
    <w:qFormat/>
    <w:uiPriority w:val="99"/>
    <w:rPr>
      <w:sz w:val="18"/>
      <w:szCs w:val="18"/>
    </w:rPr>
  </w:style>
  <w:style w:type="character" w:customStyle="1" w:styleId="16">
    <w:name w:val="页脚 字符"/>
    <w:basedOn w:val="10"/>
    <w:link w:val="5"/>
    <w:qFormat/>
    <w:uiPriority w:val="99"/>
    <w:rPr>
      <w:sz w:val="18"/>
      <w:szCs w:val="18"/>
    </w:rPr>
  </w:style>
  <w:style w:type="character" w:customStyle="1" w:styleId="17">
    <w:name w:val="页眉 字符"/>
    <w:basedOn w:val="10"/>
    <w:link w:val="6"/>
    <w:qFormat/>
    <w:uiPriority w:val="99"/>
    <w:rPr>
      <w:sz w:val="18"/>
      <w:szCs w:val="18"/>
    </w:rPr>
  </w:style>
  <w:style w:type="character" w:customStyle="1" w:styleId="18">
    <w:name w:val="脚注文本 字符"/>
    <w:basedOn w:val="10"/>
    <w:link w:val="7"/>
    <w:semiHidden/>
    <w:qFormat/>
    <w:uiPriority w:val="99"/>
    <w:rPr>
      <w:sz w:val="18"/>
      <w:szCs w:val="18"/>
    </w:rPr>
  </w:style>
  <w:style w:type="character" w:customStyle="1" w:styleId="19">
    <w:name w:val="标题 1 字符"/>
    <w:basedOn w:val="10"/>
    <w:qFormat/>
    <w:uiPriority w:val="9"/>
    <w:rPr>
      <w:b/>
      <w:bCs/>
      <w:kern w:val="44"/>
      <w:sz w:val="44"/>
      <w:szCs w:val="44"/>
    </w:rPr>
  </w:style>
  <w:style w:type="paragraph" w:styleId="20">
    <w:name w:val="List Paragraph"/>
    <w:basedOn w:val="1"/>
    <w:qFormat/>
    <w:uiPriority w:val="34"/>
    <w:pPr>
      <w:ind w:firstLine="420" w:firstLineChars="200"/>
    </w:pPr>
  </w:style>
  <w:style w:type="paragraph" w:customStyle="1" w:styleId="21">
    <w:name w:val="修订1"/>
    <w:semiHidden/>
    <w:qFormat/>
    <w:uiPriority w:val="99"/>
    <w:rPr>
      <w:rFonts w:ascii="等线" w:hAnsi="等线" w:eastAsia="等线" w:cs="Times New Roman"/>
      <w:kern w:val="2"/>
      <w:sz w:val="21"/>
      <w:szCs w:val="22"/>
      <w:lang w:val="en-US" w:eastAsia="zh-CN" w:bidi="ar-SA"/>
    </w:rPr>
  </w:style>
  <w:style w:type="paragraph" w:customStyle="1" w:styleId="22">
    <w:name w:val="Revision"/>
    <w:unhideWhenUsed/>
    <w:qFormat/>
    <w:uiPriority w:val="99"/>
    <w:rPr>
      <w:rFonts w:ascii="等线" w:hAnsi="等线" w:eastAsia="等线"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2747</Words>
  <Characters>2943</Characters>
  <Lines>23</Lines>
  <Paragraphs>6</Paragraphs>
  <TotalTime>22</TotalTime>
  <ScaleCrop>false</ScaleCrop>
  <LinksUpToDate>false</LinksUpToDate>
  <CharactersWithSpaces>2957</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2023-07-11T08:54:00Z</dcterms:created>
  <dc:creator>WangQiongqiong</dc:creator>
  <cp:lastModifiedBy>粒粒橙</cp:lastModifiedBy>
  <cp:lastPrinted>2023-06-15T09:17:00Z</cp:lastPrinted>
  <dcterms:modified xsi:type="dcterms:W3CDTF">2023-08-10T12:12:19Z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459564AF72554BDA9C526ED6257335F1_13</vt:lpwstr>
  </property>
</Properties>
</file>