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2"/>
        </w:rPr>
      </w:pPr>
      <w:r>
        <w:rPr>
          <w:rFonts w:hint="eastAsia" w:ascii="方正小标宋简体" w:eastAsia="方正小标宋简体"/>
          <w:sz w:val="32"/>
        </w:rPr>
        <w:t>杭州师范大学</w:t>
      </w:r>
      <w:r>
        <w:rPr>
          <w:rFonts w:ascii="方正小标宋简体" w:eastAsia="方正小标宋简体"/>
          <w:sz w:val="32"/>
        </w:rPr>
        <w:t>药学院</w:t>
      </w:r>
      <w:r>
        <w:rPr>
          <w:rFonts w:hint="eastAsia" w:ascii="方正小标宋简体" w:eastAsia="方正小标宋简体"/>
          <w:sz w:val="32"/>
        </w:rPr>
        <w:t>推荐优秀应届本科毕业生</w:t>
      </w:r>
    </w:p>
    <w:p>
      <w:pPr>
        <w:jc w:val="center"/>
        <w:rPr>
          <w:rFonts w:ascii="方正小标宋简体" w:eastAsia="方正小标宋简体"/>
          <w:sz w:val="32"/>
        </w:rPr>
      </w:pPr>
      <w:r>
        <w:rPr>
          <w:rFonts w:hint="eastAsia" w:ascii="方正小标宋简体" w:eastAsia="方正小标宋简体"/>
          <w:sz w:val="32"/>
        </w:rPr>
        <w:t>免试攻读研究生工作实施细则</w:t>
      </w:r>
    </w:p>
    <w:p>
      <w:pPr>
        <w:jc w:val="center"/>
        <w:rPr>
          <w:rFonts w:ascii="方正小标宋简体" w:eastAsia="方正小标宋简体"/>
          <w:sz w:val="32"/>
        </w:rPr>
      </w:pPr>
      <w:r>
        <w:rPr>
          <w:rFonts w:hint="eastAsia" w:ascii="方正小标宋简体" w:eastAsia="方正小标宋简体"/>
          <w:sz w:val="32"/>
        </w:rPr>
        <w:t>（试行）</w:t>
      </w:r>
    </w:p>
    <w:p>
      <w:pPr>
        <w:ind w:firstLine="560" w:firstLineChars="200"/>
        <w:rPr>
          <w:rFonts w:hint="eastAsia" w:ascii="仿宋" w:hAnsi="仿宋" w:eastAsia="仿宋"/>
          <w:sz w:val="28"/>
          <w:szCs w:val="28"/>
        </w:rPr>
      </w:pPr>
      <w:r>
        <w:rPr>
          <w:rFonts w:hint="eastAsia" w:ascii="仿宋" w:hAnsi="仿宋" w:eastAsia="仿宋"/>
          <w:sz w:val="28"/>
          <w:szCs w:val="28"/>
        </w:rPr>
        <w:t>为进一步提高我校推荐优秀应届本科毕业生免试攻读研究生工作的规范化和科学化水平，保证人才遴选质量，激励学生勤奋学习、勇于创新、全面发展，根据《杭州师范大学推荐优秀应届本科毕业生免试攻读研究生工作实施办法》文件精神，结合</w:t>
      </w:r>
      <w:r>
        <w:rPr>
          <w:rFonts w:ascii="仿宋" w:hAnsi="仿宋" w:eastAsia="仿宋"/>
          <w:sz w:val="28"/>
          <w:szCs w:val="28"/>
        </w:rPr>
        <w:t>药学院</w:t>
      </w:r>
      <w:r>
        <w:rPr>
          <w:rFonts w:hint="eastAsia" w:ascii="仿宋" w:hAnsi="仿宋" w:eastAsia="仿宋"/>
          <w:sz w:val="28"/>
          <w:szCs w:val="28"/>
        </w:rPr>
        <w:t>实际，制定本细则。</w:t>
      </w:r>
    </w:p>
    <w:p>
      <w:pPr>
        <w:ind w:firstLine="561" w:firstLineChars="200"/>
        <w:rPr>
          <w:rFonts w:hint="eastAsia" w:ascii="仿宋" w:hAnsi="仿宋" w:eastAsia="仿宋"/>
          <w:b/>
          <w:sz w:val="28"/>
          <w:szCs w:val="28"/>
        </w:rPr>
      </w:pPr>
      <w:r>
        <w:rPr>
          <w:rFonts w:hint="eastAsia" w:ascii="仿宋" w:hAnsi="仿宋" w:eastAsia="仿宋"/>
          <w:b/>
          <w:sz w:val="28"/>
          <w:szCs w:val="28"/>
        </w:rPr>
        <w:t>一、工作机构</w:t>
      </w:r>
    </w:p>
    <w:p>
      <w:pPr>
        <w:ind w:firstLine="560" w:firstLineChars="200"/>
        <w:rPr>
          <w:rFonts w:hint="eastAsia" w:ascii="仿宋" w:hAnsi="仿宋" w:eastAsia="仿宋"/>
          <w:sz w:val="28"/>
          <w:szCs w:val="28"/>
        </w:rPr>
      </w:pPr>
      <w:r>
        <w:rPr>
          <w:rFonts w:ascii="仿宋" w:hAnsi="仿宋" w:eastAsia="仿宋"/>
          <w:sz w:val="28"/>
          <w:szCs w:val="28"/>
        </w:rPr>
        <w:t>药学院</w:t>
      </w:r>
      <w:r>
        <w:rPr>
          <w:rFonts w:hint="eastAsia" w:ascii="仿宋" w:hAnsi="仿宋" w:eastAsia="仿宋"/>
          <w:sz w:val="28"/>
          <w:szCs w:val="28"/>
        </w:rPr>
        <w:t>成立“推免生”遴选工作小组，组长为</w:t>
      </w:r>
      <w:r>
        <w:rPr>
          <w:rFonts w:ascii="仿宋" w:hAnsi="仿宋" w:eastAsia="仿宋"/>
          <w:sz w:val="28"/>
          <w:szCs w:val="28"/>
        </w:rPr>
        <w:t>学院</w:t>
      </w:r>
      <w:r>
        <w:rPr>
          <w:rFonts w:hint="eastAsia" w:ascii="仿宋" w:hAnsi="仿宋" w:eastAsia="仿宋"/>
          <w:sz w:val="28"/>
          <w:szCs w:val="28"/>
        </w:rPr>
        <w:t>党组织和行政主要负责人，副组长为</w:t>
      </w:r>
      <w:r>
        <w:rPr>
          <w:rFonts w:ascii="仿宋" w:hAnsi="仿宋" w:eastAsia="仿宋"/>
          <w:sz w:val="28"/>
          <w:szCs w:val="28"/>
        </w:rPr>
        <w:t>学院</w:t>
      </w:r>
      <w:r>
        <w:rPr>
          <w:rFonts w:hint="eastAsia" w:ascii="仿宋" w:hAnsi="仿宋" w:eastAsia="仿宋"/>
          <w:sz w:val="28"/>
          <w:szCs w:val="28"/>
        </w:rPr>
        <w:t>分管领导，组员为教学工作办公室、学生工作办公室、各教研室相关负责人。推免工作由学生工作办公室负责组织。</w:t>
      </w:r>
      <w:r>
        <w:rPr>
          <w:rFonts w:ascii="仿宋" w:hAnsi="仿宋" w:eastAsia="仿宋"/>
          <w:sz w:val="28"/>
          <w:szCs w:val="28"/>
        </w:rPr>
        <w:t>药学院</w:t>
      </w:r>
      <w:r>
        <w:rPr>
          <w:rFonts w:hint="eastAsia" w:ascii="仿宋" w:hAnsi="仿宋" w:eastAsia="仿宋"/>
          <w:sz w:val="28"/>
          <w:szCs w:val="28"/>
        </w:rPr>
        <w:t>纪委作为监督部门，全程监督推荐工作。药学院“推免生”遴选工作小组名单如下：</w:t>
      </w:r>
    </w:p>
    <w:p>
      <w:pPr>
        <w:ind w:firstLine="560" w:firstLineChars="200"/>
        <w:rPr>
          <w:rFonts w:hint="eastAsia" w:ascii="仿宋" w:hAnsi="仿宋" w:eastAsia="仿宋"/>
          <w:sz w:val="28"/>
          <w:szCs w:val="28"/>
        </w:rPr>
      </w:pPr>
      <w:r>
        <w:rPr>
          <w:rFonts w:hint="eastAsia" w:ascii="仿宋" w:hAnsi="仿宋" w:eastAsia="仿宋"/>
          <w:sz w:val="28"/>
          <w:szCs w:val="28"/>
        </w:rPr>
        <w:t>组长：赵飞、谢恬</w:t>
      </w:r>
    </w:p>
    <w:p>
      <w:pPr>
        <w:ind w:firstLine="560" w:firstLineChars="200"/>
        <w:rPr>
          <w:rFonts w:hint="eastAsia" w:ascii="仿宋" w:hAnsi="仿宋" w:eastAsia="仿宋"/>
          <w:sz w:val="28"/>
          <w:szCs w:val="28"/>
        </w:rPr>
      </w:pPr>
      <w:r>
        <w:rPr>
          <w:rFonts w:hint="eastAsia" w:ascii="仿宋" w:hAnsi="仿宋" w:eastAsia="仿宋"/>
          <w:sz w:val="28"/>
          <w:szCs w:val="28"/>
        </w:rPr>
        <w:t>副组长：沈嘉炜、</w:t>
      </w:r>
      <w:r>
        <w:rPr>
          <w:rFonts w:ascii="仿宋" w:hAnsi="仿宋" w:eastAsia="仿宋" w:cs="仿宋"/>
          <w:color w:val="000000"/>
          <w:sz w:val="28"/>
          <w:szCs w:val="28"/>
        </w:rPr>
        <w:t>黄智慧</w:t>
      </w:r>
      <w:r>
        <w:rPr>
          <w:rFonts w:hint="eastAsia" w:ascii="仿宋" w:hAnsi="仿宋" w:eastAsia="仿宋" w:cs="仿宋"/>
          <w:color w:val="000000"/>
          <w:sz w:val="28"/>
          <w:szCs w:val="28"/>
        </w:rPr>
        <w:t>、陈大竞</w:t>
      </w:r>
    </w:p>
    <w:p>
      <w:pPr>
        <w:ind w:firstLine="560" w:firstLineChars="200"/>
        <w:rPr>
          <w:rFonts w:hint="eastAsia" w:ascii="仿宋" w:hAnsi="仿宋" w:eastAsia="仿宋"/>
          <w:sz w:val="28"/>
          <w:szCs w:val="28"/>
        </w:rPr>
      </w:pPr>
      <w:r>
        <w:rPr>
          <w:rFonts w:hint="eastAsia" w:ascii="仿宋" w:hAnsi="仿宋" w:eastAsia="仿宋"/>
          <w:sz w:val="28"/>
          <w:szCs w:val="28"/>
        </w:rPr>
        <w:t>组员：张丽慧、陈健翔、周建良、陈侠斌、白仁仁、陈功星、魏晓红、王丽薇、王永杰、郑威、张宏莹、吕璐、顿希贤、刘弘业、陈佳瀛</w:t>
      </w:r>
    </w:p>
    <w:p>
      <w:pPr>
        <w:ind w:firstLine="561" w:firstLineChars="200"/>
        <w:rPr>
          <w:rFonts w:hint="eastAsia" w:ascii="仿宋" w:hAnsi="仿宋" w:eastAsia="仿宋"/>
          <w:b/>
          <w:sz w:val="28"/>
          <w:szCs w:val="28"/>
        </w:rPr>
      </w:pPr>
      <w:r>
        <w:rPr>
          <w:rFonts w:hint="eastAsia" w:ascii="仿宋" w:hAnsi="仿宋" w:eastAsia="仿宋"/>
          <w:b/>
          <w:sz w:val="28"/>
          <w:szCs w:val="28"/>
        </w:rPr>
        <w:t>二、推荐基本条件</w:t>
      </w:r>
    </w:p>
    <w:p>
      <w:pPr>
        <w:ind w:firstLine="560" w:firstLineChars="200"/>
        <w:rPr>
          <w:rFonts w:hint="eastAsia" w:ascii="仿宋" w:hAnsi="仿宋" w:eastAsia="仿宋"/>
          <w:sz w:val="28"/>
          <w:szCs w:val="28"/>
        </w:rPr>
      </w:pPr>
      <w:r>
        <w:rPr>
          <w:rFonts w:hint="eastAsia" w:ascii="仿宋" w:hAnsi="仿宋" w:eastAsia="仿宋"/>
          <w:sz w:val="28"/>
          <w:szCs w:val="28"/>
        </w:rPr>
        <w:t>在综合评价基础上，择优推荐和选拔思想品德过硬、专业素质优秀并具有创新精神和科研创新潜力的学生。“推免生”申请者需达到以下基本条件：</w:t>
      </w:r>
    </w:p>
    <w:p>
      <w:pPr>
        <w:ind w:firstLine="560" w:firstLineChars="200"/>
        <w:rPr>
          <w:rFonts w:hint="eastAsia" w:ascii="仿宋" w:hAnsi="仿宋" w:eastAsia="仿宋"/>
          <w:sz w:val="28"/>
          <w:szCs w:val="28"/>
        </w:rPr>
      </w:pPr>
      <w:r>
        <w:rPr>
          <w:rFonts w:hint="eastAsia" w:ascii="仿宋" w:hAnsi="仿宋" w:eastAsia="仿宋"/>
          <w:sz w:val="28"/>
          <w:szCs w:val="28"/>
        </w:rPr>
        <w:t>1.国家普通本科招生计划录取的本校应届本科毕业生（不含专升本和第二学士学位学生）。</w:t>
      </w:r>
    </w:p>
    <w:p>
      <w:pPr>
        <w:ind w:firstLine="560" w:firstLineChars="200"/>
        <w:rPr>
          <w:rFonts w:hint="eastAsia" w:ascii="仿宋" w:hAnsi="仿宋" w:eastAsia="仿宋"/>
          <w:sz w:val="28"/>
          <w:szCs w:val="28"/>
        </w:rPr>
      </w:pPr>
      <w:r>
        <w:rPr>
          <w:rFonts w:hint="eastAsia" w:ascii="仿宋" w:hAnsi="仿宋" w:eastAsia="仿宋"/>
          <w:sz w:val="28"/>
          <w:szCs w:val="28"/>
        </w:rPr>
        <w:t>2.拥护中国共产党领导，具有高尚的爱国主义情操和集体主义精神，遵守宪法、法律、法规，遵守公民道德规范，遵守学校管理制度，无任何违法违纪处分记录。</w:t>
      </w:r>
    </w:p>
    <w:p>
      <w:pPr>
        <w:ind w:firstLine="560" w:firstLineChars="200"/>
        <w:rPr>
          <w:rFonts w:hint="eastAsia" w:ascii="仿宋" w:hAnsi="仿宋" w:eastAsia="仿宋"/>
          <w:sz w:val="28"/>
          <w:szCs w:val="28"/>
        </w:rPr>
      </w:pPr>
      <w:r>
        <w:rPr>
          <w:rFonts w:hint="eastAsia" w:ascii="仿宋" w:hAnsi="仿宋" w:eastAsia="仿宋"/>
          <w:sz w:val="28"/>
          <w:szCs w:val="28"/>
        </w:rPr>
        <w:t>3.诚实守信，学风端正，无考试作弊和其他学术不端行为。</w:t>
      </w:r>
    </w:p>
    <w:p>
      <w:pPr>
        <w:ind w:firstLine="560" w:firstLineChars="200"/>
        <w:rPr>
          <w:rFonts w:hint="eastAsia" w:ascii="仿宋" w:hAnsi="仿宋" w:eastAsia="仿宋"/>
          <w:sz w:val="28"/>
          <w:szCs w:val="28"/>
        </w:rPr>
      </w:pPr>
      <w:r>
        <w:rPr>
          <w:rFonts w:hint="eastAsia" w:ascii="仿宋" w:hAnsi="仿宋" w:eastAsia="仿宋"/>
          <w:sz w:val="28"/>
          <w:szCs w:val="28"/>
        </w:rPr>
        <w:t>4.身体健康，符合国家硕士生招生体检标准。</w:t>
      </w:r>
    </w:p>
    <w:p>
      <w:pPr>
        <w:ind w:firstLine="560" w:firstLineChars="200"/>
        <w:rPr>
          <w:rFonts w:hint="eastAsia" w:ascii="仿宋" w:hAnsi="仿宋" w:eastAsia="仿宋"/>
          <w:sz w:val="28"/>
          <w:szCs w:val="28"/>
        </w:rPr>
      </w:pPr>
      <w:r>
        <w:rPr>
          <w:rFonts w:hint="eastAsia" w:ascii="仿宋" w:hAnsi="仿宋" w:eastAsia="仿宋"/>
          <w:sz w:val="28"/>
          <w:szCs w:val="28"/>
        </w:rPr>
        <w:t>5.在校期间前三学年（五年制专业为前四学年）学习成绩或综合素质评价排名列同专业年级（或班级）前 35%。</w:t>
      </w:r>
    </w:p>
    <w:p>
      <w:pPr>
        <w:ind w:firstLine="560" w:firstLineChars="200"/>
        <w:rPr>
          <w:rFonts w:hint="eastAsia" w:ascii="仿宋" w:hAnsi="仿宋" w:eastAsia="仿宋"/>
          <w:sz w:val="28"/>
          <w:szCs w:val="28"/>
        </w:rPr>
      </w:pPr>
      <w:r>
        <w:rPr>
          <w:rFonts w:hint="eastAsia" w:ascii="仿宋" w:hAnsi="仿宋" w:eastAsia="仿宋"/>
          <w:sz w:val="28"/>
          <w:szCs w:val="28"/>
        </w:rPr>
        <w:t xml:space="preserve">6.普通专业学生需全国大学英语六级考试成绩 425 分及以上；英语专业学生需全国高校英语专业四级考试成绩良好及以上；艺术类、体育类等专业学生需全国大学英语四级考试成绩425 分及以上；学习其它语种者需达到相应的等级水平；非英语专业学生雅思成绩 6.0 或托福成绩 80 分及以上、英语专业学生雅思成绩 6.5 或托福成绩 90 分及以上视为符合本条件。 </w:t>
      </w:r>
    </w:p>
    <w:p>
      <w:pPr>
        <w:ind w:firstLine="560" w:firstLineChars="200"/>
        <w:rPr>
          <w:rFonts w:hint="eastAsia" w:ascii="仿宋" w:hAnsi="仿宋" w:eastAsia="仿宋"/>
          <w:bCs/>
          <w:sz w:val="28"/>
          <w:szCs w:val="28"/>
        </w:rPr>
      </w:pPr>
      <w:r>
        <w:rPr>
          <w:rFonts w:hint="eastAsia" w:ascii="仿宋" w:hAnsi="仿宋" w:eastAsia="仿宋"/>
          <w:bCs/>
          <w:sz w:val="28"/>
          <w:szCs w:val="28"/>
        </w:rPr>
        <w:t>申请有特殊学术专长的推免生，在符合推免生基本要求和普通推免生具体条件的基础上，必须是“互联网+”大学生创新创业大赛、“挑战杯”大学生课外学术科技作品竞赛、“挑战杯”大学生创业计划竞赛、大学生职业生涯规划大赛中获国赛银奖（或同等级）及以上项目的负责人。要严格审核认定学生的特殊学术专长。学生与直系亲属或学历、职称、职务明显高于本人者合作的科研成果、竞赛奖项等仅作为参考，不纳入学生本人推免遴选综合成绩计算体系，同等条件下可优先考虑。</w:t>
      </w:r>
    </w:p>
    <w:p>
      <w:pPr>
        <w:ind w:firstLine="561" w:firstLineChars="200"/>
        <w:rPr>
          <w:rFonts w:hint="eastAsia" w:ascii="仿宋" w:hAnsi="仿宋" w:eastAsia="仿宋"/>
          <w:sz w:val="28"/>
          <w:szCs w:val="28"/>
        </w:rPr>
      </w:pPr>
      <w:r>
        <w:rPr>
          <w:rFonts w:hint="eastAsia" w:ascii="仿宋" w:hAnsi="仿宋" w:eastAsia="仿宋"/>
          <w:b/>
          <w:sz w:val="28"/>
          <w:szCs w:val="28"/>
        </w:rPr>
        <w:t>三、推荐标准</w:t>
      </w:r>
    </w:p>
    <w:p>
      <w:pPr>
        <w:ind w:firstLine="560" w:firstLineChars="200"/>
        <w:rPr>
          <w:rFonts w:hint="eastAsia" w:ascii="仿宋" w:hAnsi="仿宋" w:eastAsia="仿宋"/>
          <w:bCs/>
          <w:sz w:val="28"/>
          <w:szCs w:val="28"/>
        </w:rPr>
      </w:pPr>
      <w:r>
        <w:rPr>
          <w:rFonts w:hint="eastAsia" w:ascii="仿宋" w:hAnsi="仿宋" w:eastAsia="仿宋"/>
          <w:bCs/>
          <w:sz w:val="28"/>
          <w:szCs w:val="28"/>
        </w:rPr>
        <w:t>推免依据主要为学生的综合成绩排名。综合成绩由学习成绩、综合能力、创新能力三项指标构成。其中，学习成绩占 75%，综合能力占 15%，创新能力占 10%。分数计算方式为百分制，总分为 100 分。</w:t>
      </w:r>
    </w:p>
    <w:p>
      <w:pPr>
        <w:ind w:firstLine="560" w:firstLineChars="200"/>
        <w:rPr>
          <w:rFonts w:hint="eastAsia" w:ascii="仿宋" w:hAnsi="仿宋" w:eastAsia="仿宋"/>
          <w:bCs/>
          <w:sz w:val="28"/>
          <w:szCs w:val="28"/>
        </w:rPr>
      </w:pPr>
      <w:r>
        <w:rPr>
          <w:rFonts w:hint="eastAsia" w:ascii="仿宋" w:hAnsi="仿宋" w:eastAsia="仿宋"/>
          <w:bCs/>
          <w:sz w:val="28"/>
          <w:szCs w:val="28"/>
        </w:rPr>
        <w:t>综合成绩=学习成绩×75%+综合能力×15%+创新能力×10%。学习成绩由教务处统一提供学生前三学年（五年制专业为前四学年）平均学分绩点。学习成绩=个人平均学分绩点/年级专业（班级）最高个人平均学分绩点×100。</w:t>
      </w:r>
    </w:p>
    <w:p>
      <w:pPr>
        <w:ind w:firstLine="560" w:firstLineChars="200"/>
        <w:rPr>
          <w:rFonts w:hint="eastAsia" w:ascii="仿宋" w:hAnsi="仿宋" w:eastAsia="仿宋"/>
          <w:bCs/>
          <w:sz w:val="28"/>
          <w:szCs w:val="28"/>
        </w:rPr>
      </w:pPr>
      <w:r>
        <w:rPr>
          <w:rFonts w:hint="eastAsia" w:ascii="仿宋" w:hAnsi="仿宋" w:eastAsia="仿宋"/>
          <w:bCs/>
          <w:sz w:val="28"/>
          <w:szCs w:val="28"/>
        </w:rPr>
        <w:t>综合能力分数采用积分制，可将学生获得的优秀党员、十佳大学生、三好学生、优秀学生干部、优秀团干部等综合性荣誉，以及参军入伍服兵役、参加志愿服务、到国际组织实习等符合全面发展价值导向等因素纳入加分体系。其他单项荣誉不加分。同年度同一项荣誉以最高级加分，不重复加分。综合能力=个人综合能力积分/年级专业（班级）最高个人综合能力积分×100。</w:t>
      </w:r>
    </w:p>
    <w:p>
      <w:pPr>
        <w:ind w:firstLine="560" w:firstLineChars="200"/>
        <w:rPr>
          <w:rFonts w:hint="eastAsia" w:ascii="仿宋" w:hAnsi="仿宋" w:eastAsia="仿宋"/>
          <w:bCs/>
          <w:sz w:val="28"/>
          <w:szCs w:val="28"/>
        </w:rPr>
      </w:pPr>
      <w:r>
        <w:rPr>
          <w:rFonts w:hint="eastAsia" w:ascii="仿宋" w:hAnsi="仿宋" w:eastAsia="仿宋"/>
          <w:bCs/>
          <w:sz w:val="28"/>
          <w:szCs w:val="28"/>
        </w:rPr>
        <w:t>创新能力分数采用积分制，根据学生在校期间发表学术论文、申请国家专利、参加学科竞赛获奖等情况加分。同一项目按最高级加分，不重复加分。创新能力=个人创新能力积分/年级专业（班级）最高个人创新能力积分×100。</w:t>
      </w:r>
    </w:p>
    <w:p>
      <w:pPr>
        <w:ind w:firstLine="561" w:firstLineChars="200"/>
        <w:rPr>
          <w:rFonts w:hint="eastAsia" w:ascii="仿宋" w:hAnsi="仿宋" w:eastAsia="仿宋"/>
          <w:b/>
          <w:sz w:val="28"/>
          <w:szCs w:val="28"/>
        </w:rPr>
      </w:pPr>
      <w:r>
        <w:rPr>
          <w:rFonts w:hint="eastAsia" w:ascii="仿宋" w:hAnsi="仿宋" w:eastAsia="仿宋"/>
          <w:b/>
          <w:sz w:val="28"/>
          <w:szCs w:val="28"/>
        </w:rPr>
        <w:t>四、推免工作程序</w:t>
      </w:r>
    </w:p>
    <w:p>
      <w:pPr>
        <w:ind w:firstLine="560" w:firstLineChars="200"/>
        <w:rPr>
          <w:rFonts w:hint="eastAsia" w:ascii="仿宋" w:hAnsi="仿宋" w:eastAsia="仿宋"/>
          <w:sz w:val="28"/>
          <w:szCs w:val="28"/>
        </w:rPr>
      </w:pPr>
      <w:r>
        <w:rPr>
          <w:rFonts w:hint="eastAsia" w:ascii="仿宋" w:hAnsi="仿宋" w:eastAsia="仿宋"/>
          <w:sz w:val="28"/>
          <w:szCs w:val="28"/>
        </w:rPr>
        <w:t>严格规范推免程序，确保推免选拔质量，确保推免工作公平公正，充分发挥推免政策引导和激励作用。</w:t>
      </w:r>
    </w:p>
    <w:p>
      <w:pPr>
        <w:ind w:firstLine="560" w:firstLineChars="200"/>
        <w:rPr>
          <w:rFonts w:hint="eastAsia" w:ascii="仿宋" w:hAnsi="仿宋" w:eastAsia="仿宋"/>
          <w:sz w:val="28"/>
          <w:szCs w:val="28"/>
        </w:rPr>
      </w:pPr>
      <w:r>
        <w:rPr>
          <w:rFonts w:hint="eastAsia" w:ascii="仿宋" w:hAnsi="仿宋" w:eastAsia="仿宋"/>
          <w:sz w:val="28"/>
          <w:szCs w:val="28"/>
        </w:rPr>
        <w:t>1.向当年应届毕业生公布本单位推荐工作程序和时间安排。</w:t>
      </w:r>
    </w:p>
    <w:p>
      <w:pPr>
        <w:ind w:firstLine="560" w:firstLineChars="200"/>
        <w:rPr>
          <w:rFonts w:hint="eastAsia" w:ascii="仿宋" w:hAnsi="仿宋" w:eastAsia="仿宋"/>
          <w:sz w:val="28"/>
          <w:szCs w:val="28"/>
        </w:rPr>
      </w:pPr>
      <w:r>
        <w:rPr>
          <w:rFonts w:hint="eastAsia" w:ascii="仿宋" w:hAnsi="仿宋" w:eastAsia="仿宋"/>
          <w:sz w:val="28"/>
          <w:szCs w:val="28"/>
        </w:rPr>
        <w:t>2.有申请意向的学生填写《</w:t>
      </w:r>
      <w:r>
        <w:rPr>
          <w:rFonts w:ascii="仿宋" w:hAnsi="仿宋" w:eastAsia="仿宋"/>
          <w:sz w:val="28"/>
          <w:szCs w:val="28"/>
        </w:rPr>
        <w:t>药学院</w:t>
      </w:r>
      <w:r>
        <w:rPr>
          <w:rFonts w:hint="eastAsia" w:ascii="仿宋" w:hAnsi="仿宋" w:eastAsia="仿宋"/>
          <w:sz w:val="28"/>
          <w:szCs w:val="28"/>
        </w:rPr>
        <w:t>推免生综合评价评分表》（见附件2）、《杭州师范大学推荐免试攻读研究生资格申请表》及《承诺书》，并在规定日期内提交</w:t>
      </w:r>
      <w:r>
        <w:rPr>
          <w:rFonts w:ascii="仿宋" w:hAnsi="仿宋" w:eastAsia="仿宋"/>
          <w:sz w:val="28"/>
          <w:szCs w:val="28"/>
        </w:rPr>
        <w:t>药学院</w:t>
      </w:r>
      <w:r>
        <w:rPr>
          <w:rFonts w:hint="eastAsia" w:ascii="仿宋" w:hAnsi="仿宋" w:eastAsia="仿宋"/>
          <w:sz w:val="28"/>
          <w:szCs w:val="28"/>
        </w:rPr>
        <w:t>学工办。</w:t>
      </w:r>
    </w:p>
    <w:p>
      <w:pPr>
        <w:ind w:firstLine="560" w:firstLineChars="200"/>
        <w:rPr>
          <w:rFonts w:hint="eastAsia" w:ascii="仿宋" w:hAnsi="仿宋" w:eastAsia="仿宋"/>
          <w:sz w:val="28"/>
          <w:szCs w:val="28"/>
        </w:rPr>
      </w:pPr>
      <w:r>
        <w:rPr>
          <w:rFonts w:hint="eastAsia" w:ascii="仿宋" w:hAnsi="仿宋" w:eastAsia="仿宋"/>
          <w:sz w:val="28"/>
          <w:szCs w:val="28"/>
        </w:rPr>
        <w:t xml:space="preserve">3. </w:t>
      </w:r>
      <w:r>
        <w:rPr>
          <w:rFonts w:ascii="仿宋" w:hAnsi="仿宋" w:eastAsia="仿宋"/>
          <w:sz w:val="28"/>
          <w:szCs w:val="28"/>
        </w:rPr>
        <w:t>药学院</w:t>
      </w:r>
      <w:r>
        <w:rPr>
          <w:rFonts w:hint="eastAsia" w:ascii="仿宋" w:hAnsi="仿宋" w:eastAsia="仿宋"/>
          <w:sz w:val="28"/>
          <w:szCs w:val="28"/>
        </w:rPr>
        <w:t>全面审查申请者是否符合条件，并按照申请者的综合评价成绩排序推荐人选。</w:t>
      </w:r>
      <w:r>
        <w:rPr>
          <w:rFonts w:ascii="仿宋" w:hAnsi="仿宋" w:eastAsia="仿宋"/>
          <w:sz w:val="28"/>
          <w:szCs w:val="28"/>
        </w:rPr>
        <w:t>药学院</w:t>
      </w:r>
      <w:r>
        <w:rPr>
          <w:rFonts w:hint="eastAsia" w:ascii="仿宋" w:hAnsi="仿宋" w:eastAsia="仿宋"/>
          <w:sz w:val="28"/>
          <w:szCs w:val="28"/>
        </w:rPr>
        <w:t>“推免生”遴选工作小组根据推荐情况，讨论审定，确定最终推荐人选。公示3天无异议后，</w:t>
      </w:r>
      <w:r>
        <w:rPr>
          <w:rFonts w:ascii="仿宋" w:hAnsi="仿宋" w:eastAsia="仿宋"/>
          <w:sz w:val="28"/>
          <w:szCs w:val="28"/>
        </w:rPr>
        <w:t>药学院</w:t>
      </w:r>
      <w:r>
        <w:rPr>
          <w:rFonts w:hint="eastAsia" w:ascii="仿宋" w:hAnsi="仿宋" w:eastAsia="仿宋"/>
          <w:sz w:val="28"/>
          <w:szCs w:val="28"/>
        </w:rPr>
        <w:t>将推荐名单在学校规定的日期内提交学校。</w:t>
      </w:r>
    </w:p>
    <w:p>
      <w:pPr>
        <w:ind w:firstLine="561" w:firstLineChars="200"/>
        <w:rPr>
          <w:rFonts w:hint="eastAsia" w:ascii="仿宋" w:hAnsi="仿宋" w:eastAsia="仿宋"/>
          <w:b/>
          <w:sz w:val="28"/>
          <w:szCs w:val="28"/>
        </w:rPr>
      </w:pPr>
      <w:r>
        <w:rPr>
          <w:rFonts w:hint="eastAsia" w:ascii="仿宋" w:hAnsi="仿宋" w:eastAsia="仿宋"/>
          <w:b/>
          <w:sz w:val="28"/>
          <w:szCs w:val="28"/>
        </w:rPr>
        <w:t>五、其他说明</w:t>
      </w:r>
    </w:p>
    <w:p>
      <w:pPr>
        <w:ind w:firstLine="560" w:firstLineChars="200"/>
        <w:rPr>
          <w:rFonts w:hint="eastAsia" w:ascii="仿宋" w:hAnsi="仿宋" w:eastAsia="仿宋"/>
          <w:sz w:val="28"/>
          <w:szCs w:val="28"/>
        </w:rPr>
      </w:pPr>
      <w:r>
        <w:rPr>
          <w:rFonts w:hint="eastAsia" w:ascii="仿宋" w:hAnsi="仿宋" w:eastAsia="仿宋"/>
          <w:sz w:val="28"/>
          <w:szCs w:val="28"/>
        </w:rPr>
        <w:t>1.获得推免生资格的学生自行通过“全国推荐优秀应届本科毕业生免试攻读研究生信息公开暨管理服务系统”（网址：http://yz.chsi.com.cn/tm）进行注册并填报个人资料信息、填报志愿、接收并确认招生单位的复试及待录取通知。具体操作方法、时间节点及要求查看网站说明。</w:t>
      </w:r>
    </w:p>
    <w:p>
      <w:pPr>
        <w:ind w:firstLine="560" w:firstLineChars="200"/>
        <w:rPr>
          <w:rFonts w:hint="eastAsia" w:ascii="仿宋" w:hAnsi="仿宋" w:eastAsia="仿宋"/>
          <w:sz w:val="28"/>
          <w:szCs w:val="28"/>
        </w:rPr>
      </w:pPr>
      <w:r>
        <w:rPr>
          <w:rFonts w:hint="eastAsia" w:ascii="仿宋" w:hAnsi="仿宋" w:eastAsia="仿宋"/>
          <w:sz w:val="28"/>
          <w:szCs w:val="28"/>
        </w:rPr>
        <w:t>2.凡获得推免资格的学生，不发放就业协议书，不得参加当年研究生入学考试。如有违规，一经查实，即取消优秀毕业生评选资格。</w:t>
      </w:r>
    </w:p>
    <w:p>
      <w:pPr>
        <w:ind w:firstLine="560" w:firstLineChars="200"/>
        <w:rPr>
          <w:rFonts w:hint="eastAsia" w:ascii="仿宋" w:hAnsi="仿宋" w:eastAsia="仿宋"/>
          <w:sz w:val="28"/>
          <w:szCs w:val="28"/>
        </w:rPr>
      </w:pPr>
      <w:r>
        <w:rPr>
          <w:rFonts w:hint="eastAsia" w:ascii="仿宋" w:hAnsi="仿宋" w:eastAsia="仿宋"/>
          <w:sz w:val="28"/>
          <w:szCs w:val="28"/>
        </w:rPr>
        <w:t>3.获得“推免生”资格的学生，不得擅自放弃攻读研究生资格。</w:t>
      </w:r>
    </w:p>
    <w:p>
      <w:pPr>
        <w:ind w:firstLine="560" w:firstLineChars="200"/>
        <w:rPr>
          <w:rFonts w:hint="eastAsia" w:ascii="仿宋" w:hAnsi="仿宋" w:eastAsia="仿宋"/>
          <w:sz w:val="28"/>
          <w:szCs w:val="28"/>
        </w:rPr>
      </w:pPr>
      <w:r>
        <w:rPr>
          <w:rFonts w:hint="eastAsia" w:ascii="仿宋" w:hAnsi="仿宋" w:eastAsia="仿宋"/>
          <w:sz w:val="28"/>
          <w:szCs w:val="28"/>
        </w:rPr>
        <w:t>4.在规定截止时间内，获得“推免生”资格的学生仍未落实接收单位的，“推免生”资格即失效。</w:t>
      </w:r>
    </w:p>
    <w:p>
      <w:pPr>
        <w:ind w:firstLine="560" w:firstLineChars="200"/>
        <w:rPr>
          <w:rFonts w:hint="eastAsia" w:ascii="仿宋" w:hAnsi="仿宋" w:eastAsia="仿宋"/>
          <w:sz w:val="28"/>
          <w:szCs w:val="28"/>
        </w:rPr>
      </w:pPr>
      <w:r>
        <w:rPr>
          <w:rFonts w:hint="eastAsia" w:ascii="仿宋" w:hAnsi="仿宋" w:eastAsia="仿宋"/>
          <w:sz w:val="28"/>
          <w:szCs w:val="28"/>
        </w:rPr>
        <w:t>5.“推免生”出现下列情况之一的，取消推荐资格：</w:t>
      </w:r>
    </w:p>
    <w:p>
      <w:pPr>
        <w:ind w:firstLine="560" w:firstLineChars="200"/>
        <w:rPr>
          <w:rFonts w:hint="eastAsia" w:ascii="仿宋" w:hAnsi="仿宋" w:eastAsia="仿宋"/>
          <w:sz w:val="28"/>
          <w:szCs w:val="28"/>
        </w:rPr>
      </w:pPr>
      <w:r>
        <w:rPr>
          <w:rFonts w:hint="eastAsia" w:ascii="仿宋" w:hAnsi="仿宋" w:eastAsia="仿宋"/>
          <w:sz w:val="28"/>
          <w:szCs w:val="28"/>
        </w:rPr>
        <w:t>（1）在申请“推免生”过程中发现有弄虚作假行为的。</w:t>
      </w:r>
    </w:p>
    <w:p>
      <w:pPr>
        <w:ind w:firstLine="560" w:firstLineChars="200"/>
        <w:rPr>
          <w:rFonts w:hint="eastAsia" w:ascii="仿宋" w:hAnsi="仿宋" w:eastAsia="仿宋"/>
          <w:sz w:val="28"/>
          <w:szCs w:val="28"/>
        </w:rPr>
      </w:pPr>
      <w:r>
        <w:rPr>
          <w:rFonts w:hint="eastAsia" w:ascii="仿宋" w:hAnsi="仿宋" w:eastAsia="仿宋"/>
          <w:sz w:val="28"/>
          <w:szCs w:val="28"/>
        </w:rPr>
        <w:t>（2）在毕业前违反校纪校规，受到学校纪律处分的。</w:t>
      </w:r>
    </w:p>
    <w:p>
      <w:pPr>
        <w:ind w:firstLine="560" w:firstLineChars="200"/>
        <w:rPr>
          <w:rFonts w:hint="eastAsia" w:ascii="仿宋" w:hAnsi="仿宋" w:eastAsia="仿宋"/>
          <w:sz w:val="28"/>
          <w:szCs w:val="28"/>
        </w:rPr>
      </w:pPr>
      <w:r>
        <w:rPr>
          <w:rFonts w:hint="eastAsia" w:ascii="仿宋" w:hAnsi="仿宋" w:eastAsia="仿宋"/>
          <w:sz w:val="28"/>
          <w:szCs w:val="28"/>
        </w:rPr>
        <w:t>（3）毕业时未能获得本科毕业证书或学士学位的。</w:t>
      </w:r>
    </w:p>
    <w:p>
      <w:pPr>
        <w:ind w:firstLine="560" w:firstLineChars="200"/>
        <w:rPr>
          <w:rFonts w:hint="eastAsia" w:ascii="仿宋" w:hAnsi="仿宋" w:eastAsia="仿宋"/>
          <w:sz w:val="28"/>
          <w:szCs w:val="28"/>
        </w:rPr>
      </w:pPr>
      <w:r>
        <w:rPr>
          <w:rFonts w:hint="eastAsia" w:ascii="仿宋" w:hAnsi="仿宋" w:eastAsia="仿宋"/>
          <w:sz w:val="28"/>
          <w:szCs w:val="28"/>
        </w:rPr>
        <w:t>本办法由</w:t>
      </w:r>
      <w:r>
        <w:rPr>
          <w:rFonts w:ascii="仿宋" w:hAnsi="仿宋" w:eastAsia="仿宋"/>
          <w:sz w:val="28"/>
          <w:szCs w:val="28"/>
        </w:rPr>
        <w:t>药学院</w:t>
      </w:r>
      <w:r>
        <w:rPr>
          <w:rFonts w:hint="eastAsia" w:ascii="仿宋" w:hAnsi="仿宋" w:eastAsia="仿宋"/>
          <w:sz w:val="28"/>
          <w:szCs w:val="28"/>
        </w:rPr>
        <w:t>学工办负责解释，未尽事宜，由</w:t>
      </w:r>
      <w:r>
        <w:rPr>
          <w:rFonts w:ascii="仿宋" w:hAnsi="仿宋" w:eastAsia="仿宋"/>
          <w:sz w:val="28"/>
          <w:szCs w:val="28"/>
        </w:rPr>
        <w:t>药学院</w:t>
      </w:r>
      <w:r>
        <w:rPr>
          <w:rFonts w:hint="eastAsia" w:ascii="仿宋" w:hAnsi="仿宋" w:eastAsia="仿宋"/>
          <w:sz w:val="28"/>
          <w:szCs w:val="28"/>
        </w:rPr>
        <w:t>“推免生”遴选工作小组研究决定。</w:t>
      </w: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jc w:val="right"/>
        <w:rPr>
          <w:rFonts w:hint="eastAsia" w:ascii="仿宋" w:hAnsi="仿宋" w:eastAsia="仿宋"/>
          <w:sz w:val="28"/>
          <w:szCs w:val="28"/>
        </w:rPr>
      </w:pPr>
      <w:r>
        <w:rPr>
          <w:rFonts w:hint="eastAsia" w:ascii="仿宋" w:hAnsi="仿宋" w:eastAsia="仿宋"/>
          <w:sz w:val="28"/>
          <w:szCs w:val="28"/>
        </w:rPr>
        <w:t>杭州师范大学</w:t>
      </w:r>
      <w:r>
        <w:rPr>
          <w:rFonts w:ascii="仿宋" w:hAnsi="仿宋" w:eastAsia="仿宋"/>
          <w:sz w:val="28"/>
          <w:szCs w:val="28"/>
        </w:rPr>
        <w:t>药学院</w:t>
      </w:r>
    </w:p>
    <w:p>
      <w:pPr>
        <w:ind w:firstLine="560" w:firstLineChars="200"/>
        <w:jc w:val="right"/>
        <w:rPr>
          <w:rFonts w:hint="eastAsia"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202</w:t>
      </w:r>
      <w:r>
        <w:rPr>
          <w:rFonts w:hint="eastAsia" w:ascii="仿宋" w:hAnsi="仿宋" w:eastAsia="仿宋"/>
          <w:sz w:val="28"/>
          <w:szCs w:val="28"/>
        </w:rPr>
        <w:t>4</w:t>
      </w:r>
      <w:r>
        <w:rPr>
          <w:rFonts w:ascii="仿宋" w:hAnsi="仿宋" w:eastAsia="仿宋"/>
          <w:sz w:val="28"/>
          <w:szCs w:val="28"/>
        </w:rPr>
        <w:t>年</w:t>
      </w:r>
      <w:r>
        <w:rPr>
          <w:rFonts w:hint="eastAsia" w:ascii="仿宋" w:hAnsi="仿宋" w:eastAsia="仿宋"/>
          <w:sz w:val="28"/>
          <w:szCs w:val="28"/>
        </w:rPr>
        <w:t>0</w:t>
      </w:r>
      <w:r>
        <w:rPr>
          <w:rFonts w:hint="default" w:ascii="仿宋" w:hAnsi="仿宋" w:eastAsia="仿宋"/>
          <w:sz w:val="28"/>
          <w:szCs w:val="28"/>
          <w:woUserID w:val="1"/>
        </w:rPr>
        <w:t>8</w:t>
      </w:r>
      <w:bookmarkStart w:id="0" w:name="_GoBack"/>
      <w:bookmarkEnd w:id="0"/>
      <w:r>
        <w:rPr>
          <w:rFonts w:ascii="仿宋" w:hAnsi="仿宋" w:eastAsia="仿宋"/>
          <w:sz w:val="28"/>
          <w:szCs w:val="28"/>
        </w:rPr>
        <w:t>月</w:t>
      </w: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jc w:val="left"/>
        <w:rPr>
          <w:rFonts w:hint="eastAsia" w:ascii="仿宋" w:hAnsi="仿宋" w:eastAsia="仿宋"/>
          <w:sz w:val="28"/>
          <w:szCs w:val="28"/>
        </w:rPr>
      </w:pPr>
    </w:p>
    <w:p>
      <w:pPr>
        <w:rPr>
          <w:rFonts w:hint="eastAsia" w:ascii="仿宋" w:hAnsi="仿宋" w:eastAsia="仿宋"/>
          <w:sz w:val="28"/>
          <w:szCs w:val="28"/>
        </w:rPr>
      </w:pPr>
      <w:r>
        <w:rPr>
          <w:rFonts w:hint="eastAsia" w:ascii="黑体" w:hAnsi="黑体" w:eastAsia="黑体"/>
          <w:sz w:val="28"/>
          <w:szCs w:val="28"/>
        </w:rPr>
        <w:t>附件1：</w:t>
      </w:r>
      <w:r>
        <w:rPr>
          <w:rFonts w:ascii="黑体" w:hAnsi="黑体" w:eastAsia="黑体"/>
          <w:sz w:val="28"/>
          <w:szCs w:val="28"/>
        </w:rPr>
        <w:t>药学院</w:t>
      </w:r>
      <w:r>
        <w:rPr>
          <w:rFonts w:hint="eastAsia" w:ascii="黑体" w:hAnsi="黑体" w:eastAsia="黑体"/>
          <w:sz w:val="28"/>
          <w:szCs w:val="28"/>
        </w:rPr>
        <w:t>“推免生”综合能力计分对照表</w:t>
      </w:r>
    </w:p>
    <w:tbl>
      <w:tblPr>
        <w:tblStyle w:val="5"/>
        <w:tblpPr w:leftFromText="180" w:rightFromText="180" w:vertAnchor="text" w:horzAnchor="page" w:tblpX="1996" w:tblpY="608"/>
        <w:tblOverlap w:val="never"/>
        <w:tblW w:w="86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31"/>
        <w:gridCol w:w="1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7" w:hRule="atLeast"/>
        </w:trPr>
        <w:tc>
          <w:tcPr>
            <w:tcW w:w="6831" w:type="dxa"/>
          </w:tcPr>
          <w:p>
            <w:pPr>
              <w:pStyle w:val="13"/>
              <w:spacing w:before="137"/>
              <w:ind w:left="31" w:right="12"/>
              <w:jc w:val="center"/>
              <w:rPr>
                <w:rFonts w:hint="eastAsia"/>
                <w:sz w:val="24"/>
                <w:szCs w:val="24"/>
              </w:rPr>
            </w:pPr>
            <w:r>
              <w:rPr>
                <w:sz w:val="24"/>
                <w:szCs w:val="24"/>
              </w:rPr>
              <w:t>综合能力类别</w:t>
            </w:r>
          </w:p>
        </w:tc>
        <w:tc>
          <w:tcPr>
            <w:tcW w:w="1802" w:type="dxa"/>
          </w:tcPr>
          <w:p>
            <w:pPr>
              <w:pStyle w:val="13"/>
              <w:spacing w:before="137"/>
              <w:ind w:left="135" w:right="115"/>
              <w:jc w:val="center"/>
              <w:rPr>
                <w:rFonts w:hint="eastAsia"/>
                <w:sz w:val="24"/>
                <w:szCs w:val="24"/>
              </w:rPr>
            </w:pPr>
            <w:r>
              <w:rPr>
                <w:sz w:val="24"/>
                <w:szCs w:val="24"/>
              </w:rPr>
              <w:t>积分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0" w:hRule="atLeast"/>
        </w:trPr>
        <w:tc>
          <w:tcPr>
            <w:tcW w:w="6831" w:type="dxa"/>
          </w:tcPr>
          <w:p>
            <w:pPr>
              <w:pStyle w:val="13"/>
              <w:spacing w:before="137"/>
              <w:ind w:left="31" w:right="12"/>
              <w:jc w:val="center"/>
              <w:rPr>
                <w:rFonts w:hint="eastAsia"/>
                <w:sz w:val="24"/>
                <w:szCs w:val="24"/>
              </w:rPr>
            </w:pPr>
            <w:r>
              <w:rPr>
                <w:sz w:val="24"/>
                <w:szCs w:val="24"/>
              </w:rPr>
              <w:t>获全国十佳大学生、全国大学生年度人物、全国自强之星、优秀团员等国家级荣誉称号</w:t>
            </w:r>
          </w:p>
        </w:tc>
        <w:tc>
          <w:tcPr>
            <w:tcW w:w="1802" w:type="dxa"/>
          </w:tcPr>
          <w:p>
            <w:pPr>
              <w:pStyle w:val="13"/>
              <w:spacing w:line="360" w:lineRule="auto"/>
              <w:ind w:right="115"/>
              <w:jc w:val="center"/>
              <w:rPr>
                <w:rFonts w:hint="eastAsia"/>
                <w:sz w:val="24"/>
                <w:szCs w:val="24"/>
              </w:rPr>
            </w:pPr>
            <w:r>
              <w:rPr>
                <w:rFonts w:hint="eastAsia"/>
                <w:sz w:val="24"/>
                <w:szCs w:val="24"/>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831" w:type="dxa"/>
          </w:tcPr>
          <w:p>
            <w:pPr>
              <w:pStyle w:val="13"/>
              <w:spacing w:before="135"/>
              <w:ind w:left="111"/>
              <w:jc w:val="center"/>
              <w:rPr>
                <w:rFonts w:hint="eastAsia"/>
                <w:sz w:val="24"/>
                <w:szCs w:val="24"/>
              </w:rPr>
            </w:pPr>
            <w:r>
              <w:rPr>
                <w:spacing w:val="-20"/>
                <w:sz w:val="24"/>
                <w:szCs w:val="24"/>
              </w:rPr>
              <w:t>获浙江省十佳大学生提名、省级优秀党员、十佳大学生、三好学生、优秀学生干部</w:t>
            </w:r>
            <w:r>
              <w:rPr>
                <w:sz w:val="24"/>
                <w:szCs w:val="24"/>
              </w:rPr>
              <w:t>优秀团员等省部级荣誉称号</w:t>
            </w:r>
          </w:p>
        </w:tc>
        <w:tc>
          <w:tcPr>
            <w:tcW w:w="1802" w:type="dxa"/>
          </w:tcPr>
          <w:p>
            <w:pPr>
              <w:pStyle w:val="13"/>
              <w:spacing w:before="1" w:line="480" w:lineRule="auto"/>
              <w:ind w:right="115"/>
              <w:jc w:val="center"/>
              <w:rPr>
                <w:rFonts w:hint="eastAsia"/>
                <w:sz w:val="24"/>
                <w:szCs w:val="24"/>
              </w:rPr>
            </w:pPr>
            <w:r>
              <w:rPr>
                <w:rFonts w:hint="eastAsia"/>
                <w:sz w:val="24"/>
                <w:szCs w:val="24"/>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6831" w:type="dxa"/>
          </w:tcPr>
          <w:p>
            <w:pPr>
              <w:pStyle w:val="13"/>
              <w:spacing w:before="135"/>
              <w:ind w:left="31" w:right="12"/>
              <w:jc w:val="center"/>
              <w:rPr>
                <w:rFonts w:hint="eastAsia"/>
                <w:sz w:val="24"/>
                <w:szCs w:val="24"/>
              </w:rPr>
            </w:pPr>
            <w:r>
              <w:rPr>
                <w:sz w:val="24"/>
                <w:szCs w:val="24"/>
              </w:rPr>
              <w:t>获杭州市优秀团干部、优秀党员、十佳大学生、三好学生、优秀学生干部、优秀团员等市厅级荣誉称号</w:t>
            </w:r>
          </w:p>
        </w:tc>
        <w:tc>
          <w:tcPr>
            <w:tcW w:w="1802" w:type="dxa"/>
          </w:tcPr>
          <w:p>
            <w:pPr>
              <w:pStyle w:val="13"/>
              <w:spacing w:line="480" w:lineRule="auto"/>
              <w:ind w:right="115"/>
              <w:jc w:val="center"/>
              <w:rPr>
                <w:rFonts w:hint="eastAsia"/>
                <w:sz w:val="24"/>
                <w:szCs w:val="24"/>
              </w:rPr>
            </w:pPr>
            <w:r>
              <w:rPr>
                <w:rFonts w:hint="eastAsia"/>
                <w:sz w:val="24"/>
                <w:szCs w:val="24"/>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4" w:hRule="atLeast"/>
        </w:trPr>
        <w:tc>
          <w:tcPr>
            <w:tcW w:w="6831" w:type="dxa"/>
          </w:tcPr>
          <w:p>
            <w:pPr>
              <w:pStyle w:val="13"/>
              <w:spacing w:before="135"/>
              <w:ind w:left="31" w:right="12"/>
              <w:jc w:val="center"/>
              <w:rPr>
                <w:rFonts w:hint="eastAsia"/>
                <w:sz w:val="24"/>
                <w:szCs w:val="24"/>
              </w:rPr>
            </w:pPr>
            <w:r>
              <w:rPr>
                <w:sz w:val="24"/>
                <w:szCs w:val="24"/>
              </w:rPr>
              <w:t>获校级优秀党员、十佳大学生、经亨颐奖学金等校级层面竞争选拔的综合性荣誉</w:t>
            </w:r>
          </w:p>
        </w:tc>
        <w:tc>
          <w:tcPr>
            <w:tcW w:w="1802" w:type="dxa"/>
          </w:tcPr>
          <w:p>
            <w:pPr>
              <w:pStyle w:val="13"/>
              <w:spacing w:before="135" w:line="480" w:lineRule="auto"/>
              <w:ind w:firstLine="960" w:firstLineChars="400"/>
              <w:rPr>
                <w:rFonts w:hint="eastAsia"/>
                <w:sz w:val="24"/>
                <w:szCs w:val="24"/>
              </w:rPr>
            </w:pPr>
            <w:r>
              <w:rPr>
                <w:rFonts w:hint="eastAsia"/>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07" w:hRule="atLeast"/>
        </w:trPr>
        <w:tc>
          <w:tcPr>
            <w:tcW w:w="6831" w:type="dxa"/>
          </w:tcPr>
          <w:p>
            <w:pPr>
              <w:pStyle w:val="13"/>
              <w:spacing w:before="138"/>
              <w:ind w:left="31" w:right="12"/>
              <w:jc w:val="center"/>
              <w:rPr>
                <w:rFonts w:hint="eastAsia"/>
                <w:sz w:val="24"/>
                <w:szCs w:val="24"/>
              </w:rPr>
            </w:pPr>
            <w:r>
              <w:rPr>
                <w:sz w:val="24"/>
                <w:szCs w:val="24"/>
              </w:rPr>
              <w:t>获国家奖学金</w:t>
            </w:r>
            <w:r>
              <w:rPr>
                <w:rFonts w:hint="eastAsia"/>
                <w:sz w:val="24"/>
                <w:szCs w:val="24"/>
              </w:rPr>
              <w:t>特别奖</w:t>
            </w:r>
            <w:r>
              <w:rPr>
                <w:sz w:val="24"/>
                <w:szCs w:val="24"/>
              </w:rPr>
              <w:t>或校十佳团干部、十佳团员、十佳志愿者（最美志愿者）等校级层面典型人物称号</w:t>
            </w:r>
          </w:p>
        </w:tc>
        <w:tc>
          <w:tcPr>
            <w:tcW w:w="1802" w:type="dxa"/>
          </w:tcPr>
          <w:p>
            <w:pPr>
              <w:pStyle w:val="13"/>
              <w:spacing w:before="1" w:line="480" w:lineRule="auto"/>
              <w:jc w:val="center"/>
              <w:rPr>
                <w:rFonts w:hint="eastAsia"/>
                <w:sz w:val="24"/>
                <w:szCs w:val="24"/>
              </w:rPr>
            </w:pPr>
            <w:r>
              <w:rPr>
                <w:rFonts w:hint="eastAsia"/>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3" w:hRule="atLeast"/>
        </w:trPr>
        <w:tc>
          <w:tcPr>
            <w:tcW w:w="6831" w:type="dxa"/>
          </w:tcPr>
          <w:p>
            <w:pPr>
              <w:pStyle w:val="13"/>
              <w:spacing w:before="135"/>
              <w:ind w:left="29" w:right="12"/>
              <w:jc w:val="center"/>
              <w:rPr>
                <w:rFonts w:hint="eastAsia"/>
                <w:sz w:val="24"/>
                <w:szCs w:val="24"/>
              </w:rPr>
            </w:pPr>
            <w:r>
              <w:rPr>
                <w:sz w:val="24"/>
                <w:szCs w:val="24"/>
              </w:rPr>
              <w:t>参军入伍服兵役</w:t>
            </w:r>
          </w:p>
        </w:tc>
        <w:tc>
          <w:tcPr>
            <w:tcW w:w="1802" w:type="dxa"/>
          </w:tcPr>
          <w:p>
            <w:pPr>
              <w:pStyle w:val="13"/>
              <w:spacing w:before="135" w:line="360" w:lineRule="auto"/>
              <w:ind w:left="17"/>
              <w:jc w:val="center"/>
              <w:rPr>
                <w:rFonts w:hint="eastAsia"/>
                <w:sz w:val="24"/>
                <w:szCs w:val="24"/>
              </w:rPr>
            </w:pPr>
            <w:r>
              <w:rPr>
                <w:sz w:val="24"/>
                <w:szCs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3" w:hRule="atLeast"/>
        </w:trPr>
        <w:tc>
          <w:tcPr>
            <w:tcW w:w="6831" w:type="dxa"/>
          </w:tcPr>
          <w:p>
            <w:pPr>
              <w:pStyle w:val="13"/>
              <w:spacing w:before="135"/>
              <w:ind w:left="31" w:right="12"/>
              <w:jc w:val="center"/>
              <w:rPr>
                <w:rFonts w:hint="eastAsia"/>
                <w:sz w:val="24"/>
                <w:szCs w:val="24"/>
              </w:rPr>
            </w:pPr>
            <w:r>
              <w:rPr>
                <w:sz w:val="24"/>
                <w:szCs w:val="24"/>
              </w:rPr>
              <w:t>参与国际组织实习</w:t>
            </w:r>
          </w:p>
        </w:tc>
        <w:tc>
          <w:tcPr>
            <w:tcW w:w="1802" w:type="dxa"/>
          </w:tcPr>
          <w:p>
            <w:pPr>
              <w:pStyle w:val="13"/>
              <w:spacing w:before="135" w:line="360" w:lineRule="auto"/>
              <w:ind w:left="17"/>
              <w:jc w:val="center"/>
              <w:rPr>
                <w:rFonts w:hint="eastAsia"/>
                <w:sz w:val="24"/>
                <w:szCs w:val="24"/>
              </w:rPr>
            </w:pPr>
            <w:r>
              <w:rPr>
                <w:sz w:val="24"/>
                <w:szCs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8" w:hRule="atLeast"/>
        </w:trPr>
        <w:tc>
          <w:tcPr>
            <w:tcW w:w="6831" w:type="dxa"/>
            <w:vAlign w:val="center"/>
          </w:tcPr>
          <w:p>
            <w:pPr>
              <w:pStyle w:val="13"/>
              <w:spacing w:before="136"/>
              <w:ind w:left="31" w:right="12"/>
              <w:jc w:val="center"/>
              <w:rPr>
                <w:rFonts w:hint="eastAsia"/>
                <w:sz w:val="24"/>
                <w:szCs w:val="24"/>
              </w:rPr>
            </w:pPr>
            <w:r>
              <w:rPr>
                <w:sz w:val="24"/>
                <w:szCs w:val="24"/>
              </w:rPr>
              <w:t>获</w:t>
            </w:r>
            <w:r>
              <w:rPr>
                <w:rFonts w:hint="eastAsia"/>
                <w:sz w:val="24"/>
                <w:szCs w:val="24"/>
              </w:rPr>
              <w:t>国家奖学金、</w:t>
            </w:r>
            <w:r>
              <w:rPr>
                <w:sz w:val="24"/>
                <w:szCs w:val="24"/>
              </w:rPr>
              <w:t>校三好学生、优秀学生干部、优秀团干部等校级层面综合荣誉</w:t>
            </w:r>
          </w:p>
        </w:tc>
        <w:tc>
          <w:tcPr>
            <w:tcW w:w="1802" w:type="dxa"/>
            <w:vAlign w:val="center"/>
          </w:tcPr>
          <w:p>
            <w:pPr>
              <w:pStyle w:val="13"/>
              <w:spacing w:before="136" w:line="480" w:lineRule="auto"/>
              <w:ind w:left="17"/>
              <w:jc w:val="center"/>
              <w:rPr>
                <w:rFonts w:hint="eastAsia"/>
                <w:sz w:val="24"/>
                <w:szCs w:val="24"/>
              </w:rPr>
            </w:pPr>
            <w:r>
              <w:rPr>
                <w:rFonts w:hint="eastAsia"/>
                <w:sz w:val="24"/>
                <w:szCs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9" w:hRule="atLeast"/>
        </w:trPr>
        <w:tc>
          <w:tcPr>
            <w:tcW w:w="6831" w:type="dxa"/>
          </w:tcPr>
          <w:p>
            <w:pPr>
              <w:pStyle w:val="13"/>
              <w:spacing w:before="134"/>
              <w:ind w:left="31" w:right="12"/>
              <w:jc w:val="center"/>
              <w:rPr>
                <w:rFonts w:hint="eastAsia"/>
                <w:sz w:val="24"/>
                <w:szCs w:val="24"/>
              </w:rPr>
            </w:pPr>
            <w:r>
              <w:rPr>
                <w:sz w:val="24"/>
                <w:szCs w:val="24"/>
              </w:rPr>
              <w:t>优秀大学生暑期夏令营“优秀营员”（多项不累计）</w:t>
            </w:r>
          </w:p>
        </w:tc>
        <w:tc>
          <w:tcPr>
            <w:tcW w:w="1802" w:type="dxa"/>
          </w:tcPr>
          <w:p>
            <w:pPr>
              <w:pStyle w:val="13"/>
              <w:spacing w:before="134" w:line="360" w:lineRule="auto"/>
              <w:ind w:left="17"/>
              <w:jc w:val="center"/>
              <w:rPr>
                <w:rFonts w:hint="eastAsia"/>
                <w:sz w:val="24"/>
                <w:szCs w:val="24"/>
              </w:rPr>
            </w:pPr>
            <w:r>
              <w:rPr>
                <w:sz w:val="24"/>
                <w:szCs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9" w:hRule="atLeast"/>
        </w:trPr>
        <w:tc>
          <w:tcPr>
            <w:tcW w:w="6831" w:type="dxa"/>
          </w:tcPr>
          <w:p>
            <w:pPr>
              <w:pStyle w:val="13"/>
              <w:spacing w:before="137"/>
              <w:ind w:left="31" w:right="9"/>
              <w:jc w:val="center"/>
              <w:rPr>
                <w:rFonts w:hint="eastAsia"/>
                <w:sz w:val="24"/>
                <w:szCs w:val="24"/>
              </w:rPr>
            </w:pPr>
            <w:r>
              <w:rPr>
                <w:sz w:val="24"/>
                <w:szCs w:val="24"/>
              </w:rPr>
              <w:t>获校级优秀团员</w:t>
            </w:r>
          </w:p>
        </w:tc>
        <w:tc>
          <w:tcPr>
            <w:tcW w:w="1802" w:type="dxa"/>
          </w:tcPr>
          <w:p>
            <w:pPr>
              <w:pStyle w:val="13"/>
              <w:spacing w:before="137" w:line="360" w:lineRule="auto"/>
              <w:ind w:left="17"/>
              <w:jc w:val="center"/>
              <w:rPr>
                <w:rFonts w:hint="eastAsia"/>
                <w:sz w:val="24"/>
                <w:szCs w:val="24"/>
              </w:rPr>
            </w:pPr>
            <w:r>
              <w:rPr>
                <w:rFonts w:hint="eastAsia"/>
                <w:sz w:val="24"/>
                <w:szCs w:val="24"/>
              </w:rPr>
              <w:t>0.5</w:t>
            </w:r>
          </w:p>
        </w:tc>
      </w:tr>
    </w:tbl>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p>
    <w:p>
      <w:pPr>
        <w:jc w:val="left"/>
        <w:rPr>
          <w:rFonts w:hint="eastAsia" w:ascii="黑体" w:hAnsi="黑体" w:eastAsia="黑体"/>
          <w:sz w:val="28"/>
          <w:szCs w:val="28"/>
        </w:rPr>
      </w:pPr>
      <w:r>
        <w:rPr>
          <w:rFonts w:hint="eastAsia" w:ascii="黑体" w:hAnsi="黑体" w:eastAsia="黑体"/>
          <w:sz w:val="28"/>
          <w:szCs w:val="28"/>
        </w:rPr>
        <w:t>附件2：</w:t>
      </w:r>
      <w:r>
        <w:rPr>
          <w:rFonts w:ascii="黑体" w:hAnsi="黑体" w:eastAsia="黑体"/>
          <w:sz w:val="28"/>
          <w:szCs w:val="28"/>
        </w:rPr>
        <w:t>药学院</w:t>
      </w:r>
      <w:r>
        <w:rPr>
          <w:rFonts w:hint="eastAsia" w:ascii="黑体" w:hAnsi="黑体" w:eastAsia="黑体"/>
          <w:sz w:val="28"/>
          <w:szCs w:val="28"/>
        </w:rPr>
        <w:t>“推免生”创新能力计分对照表</w:t>
      </w:r>
    </w:p>
    <w:p>
      <w:pPr>
        <w:numPr>
          <w:ilvl w:val="0"/>
          <w:numId w:val="1"/>
        </w:numPr>
        <w:jc w:val="left"/>
        <w:rPr>
          <w:rFonts w:hint="eastAsia" w:ascii="黑体" w:hAnsi="黑体" w:eastAsia="黑体"/>
          <w:sz w:val="28"/>
          <w:szCs w:val="28"/>
        </w:rPr>
      </w:pPr>
      <w:r>
        <w:rPr>
          <w:rFonts w:hint="eastAsia" w:ascii="黑体" w:hAnsi="黑体" w:eastAsia="黑体"/>
          <w:sz w:val="28"/>
          <w:szCs w:val="28"/>
        </w:rPr>
        <w:t>学术论文及竞赛加分</w:t>
      </w:r>
    </w:p>
    <w:tbl>
      <w:tblPr>
        <w:tblStyle w:val="5"/>
        <w:tblW w:w="8949" w:type="dxa"/>
        <w:jc w:val="center"/>
        <w:tblLayout w:type="fixed"/>
        <w:tblCellMar>
          <w:top w:w="0" w:type="dxa"/>
          <w:left w:w="108" w:type="dxa"/>
          <w:bottom w:w="0" w:type="dxa"/>
          <w:right w:w="108" w:type="dxa"/>
        </w:tblCellMar>
      </w:tblPr>
      <w:tblGrid>
        <w:gridCol w:w="1849"/>
        <w:gridCol w:w="5515"/>
        <w:gridCol w:w="1585"/>
      </w:tblGrid>
      <w:tr>
        <w:tblPrEx>
          <w:tblCellMar>
            <w:top w:w="0" w:type="dxa"/>
            <w:left w:w="108" w:type="dxa"/>
            <w:bottom w:w="0" w:type="dxa"/>
            <w:right w:w="108" w:type="dxa"/>
          </w:tblCellMar>
        </w:tblPrEx>
        <w:trPr>
          <w:trHeight w:val="1200" w:hRule="atLeast"/>
          <w:jc w:val="center"/>
        </w:trPr>
        <w:tc>
          <w:tcPr>
            <w:tcW w:w="184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类别</w:t>
            </w:r>
          </w:p>
        </w:tc>
        <w:tc>
          <w:tcPr>
            <w:tcW w:w="551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成果荣誉情况</w:t>
            </w:r>
          </w:p>
        </w:tc>
        <w:tc>
          <w:tcPr>
            <w:tcW w:w="15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负责人（第一作者）加分</w:t>
            </w:r>
          </w:p>
        </w:tc>
      </w:tr>
      <w:tr>
        <w:tblPrEx>
          <w:tblCellMar>
            <w:top w:w="0" w:type="dxa"/>
            <w:left w:w="108" w:type="dxa"/>
            <w:bottom w:w="0" w:type="dxa"/>
            <w:right w:w="108" w:type="dxa"/>
          </w:tblCellMar>
        </w:tblPrEx>
        <w:trPr>
          <w:trHeight w:val="285" w:hRule="atLeast"/>
          <w:jc w:val="center"/>
        </w:trPr>
        <w:tc>
          <w:tcPr>
            <w:tcW w:w="1849"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学术研究</w:t>
            </w: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《Nature》《Science》《Cell》主刊论文</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100</w:t>
            </w:r>
          </w:p>
        </w:tc>
      </w:tr>
      <w:tr>
        <w:tblPrEx>
          <w:tblCellMar>
            <w:top w:w="0" w:type="dxa"/>
            <w:left w:w="108" w:type="dxa"/>
            <w:bottom w:w="0" w:type="dxa"/>
            <w:right w:w="108" w:type="dxa"/>
          </w:tblCellMar>
        </w:tblPrEx>
        <w:trPr>
          <w:trHeight w:val="63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美国科学院院刊</w:t>
            </w:r>
            <w:r>
              <w:rPr>
                <w:rFonts w:ascii="宋体" w:hAnsi="宋体" w:eastAsia="宋体" w:cs="宋体"/>
                <w:kern w:val="0"/>
                <w:sz w:val="24"/>
              </w:rPr>
              <w:t>PNAS</w:t>
            </w:r>
            <w:r>
              <w:rPr>
                <w:rFonts w:hint="eastAsia" w:ascii="宋体" w:hAnsi="宋体" w:eastAsia="宋体" w:cs="宋体"/>
                <w:kern w:val="0"/>
                <w:sz w:val="24"/>
              </w:rPr>
              <w:t>或Science/Nature/Cell 系列子刊(影响因子大于10 分的子刊)</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ascii="宋体" w:hAnsi="宋体" w:eastAsia="宋体" w:cs="宋体"/>
                <w:kern w:val="0"/>
                <w:sz w:val="24"/>
              </w:rPr>
              <w:t>30</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理工农医JCR一区（SCI收录、SSCI/A&amp;HCI收录）</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ascii="宋体" w:hAnsi="宋体" w:eastAsia="宋体" w:cs="宋体"/>
                <w:kern w:val="0"/>
                <w:sz w:val="24"/>
              </w:rPr>
              <w:t>16</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理工农医JCR二区（SCI收录）</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8</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理工农医JCR三区（SCI收录）</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4</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理工农医JCR四区（SCI收录）</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3</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人文社会科学期刊-权威</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ascii="宋体" w:hAnsi="宋体" w:eastAsia="宋体" w:cs="宋体"/>
                <w:kern w:val="0"/>
                <w:sz w:val="24"/>
              </w:rPr>
              <w:t>16</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人文社会科学期刊-一级</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8</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人文社会科学期刊-二级</w:t>
            </w:r>
          </w:p>
          <w:p>
            <w:pPr>
              <w:widowControl/>
              <w:jc w:val="center"/>
              <w:rPr>
                <w:rFonts w:hint="eastAsia" w:ascii="宋体" w:hAnsi="宋体" w:eastAsia="宋体" w:cs="宋体"/>
                <w:kern w:val="0"/>
                <w:sz w:val="24"/>
              </w:rPr>
            </w:pPr>
            <w:r>
              <w:rPr>
                <w:rFonts w:hint="eastAsia" w:ascii="宋体" w:hAnsi="宋体" w:eastAsia="宋体" w:cs="宋体"/>
                <w:kern w:val="0"/>
                <w:sz w:val="24"/>
              </w:rPr>
              <w:t>（CSSCI收录，不含扩展源期刊）</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4</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其他一级期刊（理工农医）</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4</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其他二级期刊（理工农医）</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rPr>
            </w:pPr>
            <w:r>
              <w:rPr>
                <w:rFonts w:hint="eastAsia" w:ascii="宋体" w:hAnsi="宋体" w:eastAsia="宋体" w:cs="宋体"/>
                <w:kern w:val="0"/>
                <w:sz w:val="24"/>
              </w:rPr>
              <w:t>2</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其他合法期刊</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r>
      <w:tr>
        <w:tblPrEx>
          <w:tblCellMar>
            <w:top w:w="0" w:type="dxa"/>
            <w:left w:w="108" w:type="dxa"/>
            <w:bottom w:w="0" w:type="dxa"/>
            <w:right w:w="108" w:type="dxa"/>
          </w:tblCellMar>
        </w:tblPrEx>
        <w:trPr>
          <w:trHeight w:val="285" w:hRule="atLeast"/>
          <w:jc w:val="center"/>
        </w:trPr>
        <w:tc>
          <w:tcPr>
            <w:tcW w:w="1849"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专利授权</w:t>
            </w: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国家发明专利授权</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10</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国家实用新型专利授权</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软件著作权</w:t>
            </w:r>
          </w:p>
        </w:tc>
        <w:tc>
          <w:tcPr>
            <w:tcW w:w="158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285" w:hRule="atLeast"/>
          <w:jc w:val="center"/>
        </w:trPr>
        <w:tc>
          <w:tcPr>
            <w:tcW w:w="184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教务处认定的一类竞赛（包含浙江省大学生药学大赛）</w:t>
            </w: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20</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ascii="宋体" w:hAnsi="宋体" w:eastAsia="宋体" w:cs="宋体"/>
                <w:color w:val="000000"/>
                <w:kern w:val="0"/>
                <w:sz w:val="24"/>
              </w:rPr>
              <w:t>16</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国家二等、省特等奖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国家三等、省一等奖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7</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国家优秀奖、省二等奖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省三等奖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省级优秀奖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307" w:hRule="atLeast"/>
          <w:jc w:val="center"/>
        </w:trPr>
        <w:tc>
          <w:tcPr>
            <w:tcW w:w="184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教务处认定的二类竞赛（包括全国大学生基础医学创新研究暨实验设计论坛）</w:t>
            </w: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7</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国家二等、省特等奖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国家三等、省一等奖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国家优秀奖、省二等奖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省三等奖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省级优秀奖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r>
      <w:tr>
        <w:tblPrEx>
          <w:tblCellMar>
            <w:top w:w="0" w:type="dxa"/>
            <w:left w:w="108" w:type="dxa"/>
            <w:bottom w:w="0" w:type="dxa"/>
            <w:right w:w="108" w:type="dxa"/>
          </w:tblCellMar>
        </w:tblPrEx>
        <w:trPr>
          <w:trHeight w:val="285" w:hRule="atLeast"/>
          <w:jc w:val="center"/>
        </w:trPr>
        <w:tc>
          <w:tcPr>
            <w:tcW w:w="184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教务处认定的三类竞赛</w:t>
            </w: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国家二等、省特等奖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国家三等、省一等奖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2.5</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国家优秀奖、省二等奖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省三等奖、省级优秀奖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r>
      <w:tr>
        <w:tblPrEx>
          <w:tblCellMar>
            <w:top w:w="0" w:type="dxa"/>
            <w:left w:w="108" w:type="dxa"/>
            <w:bottom w:w="0" w:type="dxa"/>
            <w:right w:w="108" w:type="dxa"/>
          </w:tblCellMar>
        </w:tblPrEx>
        <w:trPr>
          <w:trHeight w:val="285" w:hRule="atLeast"/>
          <w:jc w:val="center"/>
        </w:trPr>
        <w:tc>
          <w:tcPr>
            <w:tcW w:w="184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校级创新创业竞赛</w:t>
            </w: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校一等奖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校二等奖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r>
      <w:tr>
        <w:tblPrEx>
          <w:tblCellMar>
            <w:top w:w="0" w:type="dxa"/>
            <w:left w:w="108" w:type="dxa"/>
            <w:bottom w:w="0" w:type="dxa"/>
            <w:right w:w="108" w:type="dxa"/>
          </w:tblCellMar>
        </w:tblPrEx>
        <w:trPr>
          <w:trHeight w:val="285" w:hRule="atLeast"/>
          <w:jc w:val="center"/>
        </w:trPr>
        <w:tc>
          <w:tcPr>
            <w:tcW w:w="1849"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4"/>
              </w:rPr>
            </w:pPr>
          </w:p>
        </w:tc>
        <w:tc>
          <w:tcPr>
            <w:tcW w:w="551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校三等奖</w:t>
            </w:r>
          </w:p>
        </w:tc>
        <w:tc>
          <w:tcPr>
            <w:tcW w:w="158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0.5</w:t>
            </w:r>
          </w:p>
        </w:tc>
      </w:tr>
    </w:tbl>
    <w:p>
      <w:pPr>
        <w:ind w:right="-512" w:rightChars="-244"/>
        <w:jc w:val="left"/>
        <w:rPr>
          <w:rFonts w:hint="eastAsia" w:ascii="楷体" w:hAnsi="楷体" w:eastAsia="楷体"/>
          <w:sz w:val="24"/>
        </w:rPr>
      </w:pPr>
      <w:r>
        <w:rPr>
          <w:rFonts w:hint="eastAsia" w:ascii="楷体" w:hAnsi="楷体" w:eastAsia="楷体"/>
          <w:sz w:val="24"/>
        </w:rPr>
        <w:t>注：</w:t>
      </w:r>
    </w:p>
    <w:p>
      <w:pPr>
        <w:ind w:right="-512" w:rightChars="-244"/>
        <w:jc w:val="left"/>
        <w:rPr>
          <w:rFonts w:hint="eastAsia" w:ascii="楷体" w:hAnsi="楷体" w:eastAsia="楷体"/>
          <w:b/>
          <w:bCs/>
          <w:sz w:val="24"/>
        </w:rPr>
      </w:pPr>
      <w:r>
        <w:rPr>
          <w:rFonts w:hint="eastAsia" w:ascii="楷体" w:hAnsi="楷体" w:eastAsia="楷体"/>
          <w:sz w:val="24"/>
        </w:rPr>
        <w:t>1.</w:t>
      </w:r>
      <w:r>
        <w:rPr>
          <w:rFonts w:hint="eastAsia" w:ascii="楷体" w:hAnsi="楷体" w:eastAsia="楷体"/>
          <w:b/>
          <w:bCs/>
          <w:sz w:val="24"/>
        </w:rPr>
        <w:t>学科竞赛以学校部门当年最新认定文件为标准。</w:t>
      </w:r>
    </w:p>
    <w:p>
      <w:pPr>
        <w:ind w:right="-512" w:rightChars="-244"/>
        <w:jc w:val="left"/>
        <w:rPr>
          <w:rFonts w:hint="eastAsia" w:ascii="楷体" w:hAnsi="楷体" w:eastAsia="楷体"/>
          <w:sz w:val="24"/>
        </w:rPr>
      </w:pPr>
      <w:r>
        <w:rPr>
          <w:rFonts w:hint="eastAsia" w:ascii="楷体" w:hAnsi="楷体" w:eastAsia="楷体"/>
          <w:sz w:val="24"/>
        </w:rPr>
        <w:t>2.学科论文加权系数：</w:t>
      </w:r>
    </w:p>
    <w:p>
      <w:pPr>
        <w:ind w:right="-512" w:rightChars="-244"/>
        <w:jc w:val="left"/>
        <w:rPr>
          <w:rFonts w:hint="eastAsia" w:ascii="楷体" w:hAnsi="楷体" w:eastAsia="楷体"/>
          <w:sz w:val="24"/>
        </w:rPr>
      </w:pPr>
      <w:r>
        <w:rPr>
          <w:rFonts w:hint="eastAsia" w:ascii="楷体" w:hAnsi="楷体" w:eastAsia="楷体"/>
          <w:sz w:val="24"/>
        </w:rPr>
        <w:t>（1）E</w:t>
      </w:r>
      <w:r>
        <w:rPr>
          <w:rFonts w:ascii="楷体" w:hAnsi="楷体" w:eastAsia="楷体"/>
          <w:sz w:val="24"/>
        </w:rPr>
        <w:t>SI</w:t>
      </w:r>
      <w:r>
        <w:rPr>
          <w:rFonts w:hint="eastAsia" w:ascii="楷体" w:hAnsi="楷体" w:eastAsia="楷体"/>
          <w:sz w:val="24"/>
        </w:rPr>
        <w:t>高被引论文，在原有加分基础上×1</w:t>
      </w:r>
      <w:r>
        <w:rPr>
          <w:rFonts w:ascii="楷体" w:hAnsi="楷体" w:eastAsia="楷体"/>
          <w:sz w:val="24"/>
        </w:rPr>
        <w:t>50%</w:t>
      </w:r>
    </w:p>
    <w:p>
      <w:pPr>
        <w:ind w:right="-512" w:rightChars="-244"/>
        <w:jc w:val="left"/>
        <w:rPr>
          <w:rFonts w:hint="eastAsia" w:ascii="楷体" w:hAnsi="楷体" w:eastAsia="楷体"/>
          <w:sz w:val="24"/>
        </w:rPr>
      </w:pPr>
      <w:r>
        <w:rPr>
          <w:rFonts w:hint="eastAsia" w:ascii="楷体" w:hAnsi="楷体" w:eastAsia="楷体"/>
          <w:sz w:val="24"/>
        </w:rPr>
        <w:t>（2）发表在药理学与药毒学ESI期刊上的论文×1</w:t>
      </w:r>
      <w:r>
        <w:rPr>
          <w:rFonts w:ascii="楷体" w:hAnsi="楷体" w:eastAsia="楷体"/>
          <w:sz w:val="24"/>
        </w:rPr>
        <w:t>50%</w:t>
      </w:r>
    </w:p>
    <w:p>
      <w:pPr>
        <w:ind w:right="-512" w:rightChars="-244"/>
        <w:jc w:val="left"/>
        <w:rPr>
          <w:rFonts w:hint="eastAsia" w:ascii="楷体" w:hAnsi="楷体" w:eastAsia="楷体"/>
          <w:sz w:val="24"/>
        </w:rPr>
      </w:pPr>
      <w:r>
        <w:rPr>
          <w:rFonts w:hint="eastAsia" w:ascii="楷体" w:hAnsi="楷体" w:eastAsia="楷体"/>
          <w:sz w:val="24"/>
        </w:rPr>
        <w:t>（3）引用杭州师范大学已发表的药理学与药毒学ESI期刊论文，每引用一篇+</w:t>
      </w:r>
      <w:r>
        <w:rPr>
          <w:rFonts w:ascii="楷体" w:hAnsi="楷体" w:eastAsia="楷体"/>
          <w:sz w:val="24"/>
        </w:rPr>
        <w:t>0.1</w:t>
      </w:r>
      <w:r>
        <w:rPr>
          <w:rFonts w:hint="eastAsia" w:ascii="楷体" w:hAnsi="楷体" w:eastAsia="楷体"/>
          <w:sz w:val="24"/>
        </w:rPr>
        <w:t>分。</w:t>
      </w:r>
    </w:p>
    <w:p>
      <w:pPr>
        <w:jc w:val="left"/>
        <w:rPr>
          <w:rFonts w:hint="eastAsia" w:ascii="楷体" w:hAnsi="楷体" w:eastAsia="楷体"/>
          <w:sz w:val="24"/>
          <w:szCs w:val="24"/>
        </w:rPr>
      </w:pPr>
      <w:r>
        <w:rPr>
          <w:rFonts w:hint="eastAsia" w:ascii="黑体" w:hAnsi="黑体" w:eastAsia="黑体"/>
          <w:sz w:val="28"/>
          <w:szCs w:val="28"/>
        </w:rPr>
        <w:t>（2）科研项目加分标准</w:t>
      </w:r>
    </w:p>
    <w:tbl>
      <w:tblPr>
        <w:tblStyle w:val="5"/>
        <w:tblW w:w="910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1159"/>
        <w:gridCol w:w="748"/>
        <w:gridCol w:w="2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项目名称</w:t>
            </w:r>
          </w:p>
        </w:tc>
        <w:tc>
          <w:tcPr>
            <w:tcW w:w="1159"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级别</w:t>
            </w:r>
          </w:p>
        </w:tc>
        <w:tc>
          <w:tcPr>
            <w:tcW w:w="748"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加分</w:t>
            </w:r>
          </w:p>
        </w:tc>
        <w:tc>
          <w:tcPr>
            <w:tcW w:w="2697"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国家大学生创新创业训练计划项目</w:t>
            </w:r>
            <w:r>
              <w:rPr>
                <w:rFonts w:hint="eastAsia" w:ascii="宋体" w:hAnsi="宋体" w:eastAsia="宋体" w:cs="宋体"/>
                <w:color w:val="000000"/>
                <w:kern w:val="0"/>
                <w:sz w:val="24"/>
              </w:rPr>
              <w:t>等等国家级科研项目</w:t>
            </w:r>
          </w:p>
        </w:tc>
        <w:tc>
          <w:tcPr>
            <w:tcW w:w="1159"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国家级</w:t>
            </w:r>
          </w:p>
        </w:tc>
        <w:tc>
          <w:tcPr>
            <w:tcW w:w="748"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2697" w:type="dxa"/>
            <w:vMerge w:val="restart"/>
          </w:tcPr>
          <w:p>
            <w:pPr>
              <w:jc w:val="left"/>
              <w:rPr>
                <w:rFonts w:hint="eastAsia" w:ascii="仿宋" w:hAnsi="仿宋" w:eastAsia="仿宋" w:cs="仿宋"/>
                <w:b/>
                <w:bCs/>
                <w:color w:val="FF0000"/>
                <w:kern w:val="0"/>
                <w:sz w:val="24"/>
              </w:rPr>
            </w:pPr>
            <w:r>
              <w:rPr>
                <w:rFonts w:hint="eastAsia" w:ascii="仿宋" w:hAnsi="仿宋" w:eastAsia="仿宋" w:cs="仿宋"/>
                <w:color w:val="000000"/>
                <w:kern w:val="0"/>
                <w:sz w:val="24"/>
              </w:rPr>
              <w:t>1.已结题科研项目方可加分；</w:t>
            </w:r>
            <w:r>
              <w:rPr>
                <w:rFonts w:hint="eastAsia" w:ascii="仿宋" w:hAnsi="仿宋" w:eastAsia="仿宋" w:cs="仿宋"/>
                <w:b/>
                <w:bCs/>
                <w:color w:val="FF0000"/>
                <w:kern w:val="0"/>
                <w:sz w:val="24"/>
              </w:rPr>
              <w:t>结题时间以校级以上公示/证书为准。</w:t>
            </w:r>
          </w:p>
          <w:p>
            <w:pPr>
              <w:jc w:val="left"/>
              <w:rPr>
                <w:rFonts w:hint="eastAsia" w:ascii="宋体" w:hAnsi="宋体" w:eastAsia="宋体" w:cs="宋体"/>
                <w:color w:val="000000"/>
                <w:kern w:val="0"/>
                <w:sz w:val="24"/>
              </w:rPr>
            </w:pPr>
            <w:r>
              <w:rPr>
                <w:rFonts w:hint="eastAsia" w:ascii="宋体" w:hAnsi="宋体" w:eastAsia="宋体" w:cs="宋体"/>
                <w:color w:val="000000"/>
                <w:kern w:val="0"/>
                <w:sz w:val="24"/>
              </w:rPr>
              <w:t>2.</w:t>
            </w:r>
            <w:r>
              <w:rPr>
                <w:rFonts w:ascii="宋体" w:hAnsi="宋体" w:eastAsia="宋体" w:cs="宋体"/>
                <w:color w:val="000000"/>
                <w:kern w:val="0"/>
                <w:sz w:val="24"/>
              </w:rPr>
              <w:t>学生为第一负责人获得其他省级以上科研项目立项的，经学院</w:t>
            </w:r>
            <w:r>
              <w:rPr>
                <w:rFonts w:hint="eastAsia" w:ascii="宋体" w:hAnsi="宋体" w:eastAsia="宋体" w:cs="宋体"/>
                <w:color w:val="000000"/>
                <w:kern w:val="0"/>
                <w:sz w:val="24"/>
              </w:rPr>
              <w:t>评奖</w:t>
            </w:r>
            <w:r>
              <w:rPr>
                <w:rFonts w:ascii="宋体" w:hAnsi="宋体" w:eastAsia="宋体" w:cs="宋体"/>
                <w:color w:val="000000"/>
                <w:kern w:val="0"/>
                <w:sz w:val="24"/>
              </w:rPr>
              <w:t>工作领导小组认定后加分</w:t>
            </w:r>
            <w:r>
              <w:rPr>
                <w:rFonts w:hint="eastAsia" w:ascii="宋体" w:hAnsi="宋体" w:eastAsia="宋体" w:cs="宋体"/>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501"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浙江省大学生科技创新活动计划暨新苗人才计划</w:t>
            </w:r>
            <w:r>
              <w:rPr>
                <w:rFonts w:hint="eastAsia" w:ascii="宋体" w:hAnsi="宋体" w:eastAsia="宋体" w:cs="宋体"/>
                <w:color w:val="000000"/>
                <w:kern w:val="0"/>
                <w:sz w:val="24"/>
              </w:rPr>
              <w:t>等省市级科研项目</w:t>
            </w:r>
          </w:p>
        </w:tc>
        <w:tc>
          <w:tcPr>
            <w:tcW w:w="1159"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省市级</w:t>
            </w:r>
          </w:p>
        </w:tc>
        <w:tc>
          <w:tcPr>
            <w:tcW w:w="748"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2697" w:type="dxa"/>
            <w:vMerge w:val="continue"/>
          </w:tcPr>
          <w:p>
            <w:pPr>
              <w:jc w:val="left"/>
              <w:rPr>
                <w:rFonts w:hint="eastAsia" w:ascii="宋体" w:hAnsi="宋体" w:eastAsia="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jc w:val="center"/>
              <w:rPr>
                <w:rFonts w:hint="eastAsia" w:ascii="宋体" w:hAnsi="宋体" w:eastAsia="宋体" w:cs="宋体"/>
                <w:color w:val="000000"/>
                <w:kern w:val="0"/>
                <w:sz w:val="24"/>
              </w:rPr>
            </w:pPr>
            <w:r>
              <w:rPr>
                <w:rFonts w:ascii="宋体" w:hAnsi="宋体" w:eastAsia="宋体" w:cs="宋体"/>
                <w:color w:val="000000"/>
                <w:kern w:val="0"/>
                <w:sz w:val="24"/>
              </w:rPr>
              <w:t>本科生创新能力提升工程</w:t>
            </w:r>
            <w:r>
              <w:rPr>
                <w:rFonts w:hint="eastAsia" w:ascii="宋体" w:hAnsi="宋体" w:eastAsia="宋体" w:cs="宋体"/>
                <w:color w:val="000000"/>
                <w:kern w:val="0"/>
                <w:sz w:val="24"/>
              </w:rPr>
              <w:t>、</w:t>
            </w:r>
            <w:r>
              <w:rPr>
                <w:rFonts w:ascii="宋体" w:hAnsi="宋体" w:eastAsia="宋体" w:cs="宋体"/>
                <w:color w:val="000000"/>
                <w:kern w:val="0"/>
                <w:sz w:val="24"/>
              </w:rPr>
              <w:t>星光计划</w:t>
            </w:r>
            <w:r>
              <w:rPr>
                <w:rFonts w:hint="eastAsia" w:ascii="宋体" w:hAnsi="宋体" w:eastAsia="宋体" w:cs="宋体"/>
                <w:color w:val="000000"/>
                <w:kern w:val="0"/>
                <w:sz w:val="24"/>
              </w:rPr>
              <w:t>、研究生科研创新推进项目等校级科研项目</w:t>
            </w:r>
          </w:p>
        </w:tc>
        <w:tc>
          <w:tcPr>
            <w:tcW w:w="1159"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校  级</w:t>
            </w:r>
          </w:p>
        </w:tc>
        <w:tc>
          <w:tcPr>
            <w:tcW w:w="748" w:type="dxa"/>
          </w:tcPr>
          <w:p>
            <w:pPr>
              <w:jc w:val="center"/>
              <w:rPr>
                <w:rFonts w:hint="eastAsia" w:ascii="宋体" w:hAnsi="宋体" w:eastAsia="宋体" w:cs="宋体"/>
                <w:color w:val="000000"/>
                <w:kern w:val="0"/>
                <w:sz w:val="24"/>
              </w:rPr>
            </w:pPr>
            <w:r>
              <w:rPr>
                <w:rFonts w:hint="eastAsia" w:ascii="宋体" w:hAnsi="宋体" w:eastAsia="宋体" w:cs="宋体"/>
                <w:color w:val="000000"/>
                <w:kern w:val="0"/>
                <w:sz w:val="24"/>
              </w:rPr>
              <w:t>0.5</w:t>
            </w:r>
          </w:p>
        </w:tc>
        <w:tc>
          <w:tcPr>
            <w:tcW w:w="2697" w:type="dxa"/>
            <w:vMerge w:val="continue"/>
          </w:tcPr>
          <w:p>
            <w:pPr>
              <w:jc w:val="left"/>
              <w:rPr>
                <w:rFonts w:hint="eastAsia" w:ascii="宋体" w:hAnsi="宋体" w:eastAsia="宋体" w:cs="宋体"/>
                <w:color w:val="000000"/>
                <w:kern w:val="0"/>
                <w:sz w:val="24"/>
              </w:rPr>
            </w:pPr>
          </w:p>
        </w:tc>
      </w:tr>
    </w:tbl>
    <w:p>
      <w:pPr>
        <w:ind w:right="-512" w:rightChars="-244"/>
        <w:jc w:val="left"/>
        <w:rPr>
          <w:rFonts w:hint="eastAsia" w:ascii="仿宋" w:hAnsi="仿宋" w:eastAsia="仿宋" w:cs="仿宋"/>
          <w:color w:val="000000"/>
          <w:kern w:val="0"/>
          <w:sz w:val="28"/>
          <w:szCs w:val="28"/>
        </w:rPr>
      </w:pPr>
      <w:r>
        <w:rPr>
          <w:rFonts w:hint="eastAsia" w:ascii="楷体" w:hAnsi="楷体" w:eastAsia="楷体"/>
          <w:sz w:val="24"/>
          <w:lang w:eastAsia="zh-Hans"/>
        </w:rPr>
        <w:t>注：</w:t>
      </w:r>
      <w:r>
        <w:rPr>
          <w:rFonts w:hint="eastAsia" w:ascii="楷体" w:hAnsi="楷体" w:eastAsia="楷体"/>
          <w:sz w:val="24"/>
        </w:rPr>
        <w:t>学术论文、学科竞赛、科研项目</w:t>
      </w:r>
      <w:r>
        <w:rPr>
          <w:rFonts w:hint="eastAsia" w:ascii="楷体" w:hAnsi="楷体" w:eastAsia="楷体"/>
          <w:sz w:val="24"/>
          <w:lang w:eastAsia="zh-Hans"/>
        </w:rPr>
        <w:t>、专利等</w:t>
      </w:r>
      <w:r>
        <w:rPr>
          <w:rFonts w:hint="eastAsia" w:ascii="楷体" w:hAnsi="楷体" w:eastAsia="楷体"/>
          <w:sz w:val="24"/>
        </w:rPr>
        <w:t>为多人合作完成时，加分标准为：第一作者/第一负责人按100%得分，作为参与者（共一也是作为参与者）：排名在前3位按40%得分，排名第4位及以后按10%得分。</w:t>
      </w:r>
      <w:r>
        <w:rPr>
          <w:rFonts w:hint="eastAsia" w:ascii="楷体" w:hAnsi="楷体" w:eastAsia="楷体"/>
          <w:b/>
          <w:bCs/>
          <w:color w:val="FF0000"/>
          <w:sz w:val="24"/>
          <w:szCs w:val="24"/>
        </w:rPr>
        <w:t>（仅“中国国际大学生创新大赛”“挑战杯”排序去除研究生后，只看本科生的顺序，其余根据实际顺序计分；学术论文去除指导老师进行排序）</w:t>
      </w:r>
    </w:p>
    <w:p>
      <w:pPr>
        <w:ind w:left="-619" w:leftChars="-295" w:right="-512" w:rightChars="-244"/>
        <w:jc w:val="left"/>
        <w:rPr>
          <w:rFonts w:hint="eastAsia" w:ascii="楷体" w:hAnsi="楷体" w:eastAsia="楷体"/>
          <w:sz w:val="24"/>
          <w:szCs w:val="24"/>
        </w:rPr>
        <w:sectPr>
          <w:pgSz w:w="11906" w:h="16838"/>
          <w:pgMar w:top="1440" w:right="1800" w:bottom="1440" w:left="1800" w:header="851" w:footer="992" w:gutter="0"/>
          <w:cols w:space="425" w:num="1"/>
          <w:docGrid w:type="lines" w:linePitch="312" w:charSpace="0"/>
        </w:sectPr>
      </w:pPr>
    </w:p>
    <w:p>
      <w:pPr>
        <w:widowControl/>
        <w:adjustRightInd w:val="0"/>
        <w:snapToGrid w:val="0"/>
        <w:spacing w:line="336" w:lineRule="auto"/>
        <w:ind w:right="480"/>
        <w:jc w:val="center"/>
        <w:rPr>
          <w:rFonts w:hint="eastAsia" w:ascii="黑体" w:hAnsi="宋体" w:eastAsia="黑体" w:cs="宋体"/>
          <w:b/>
          <w:color w:val="000000"/>
          <w:kern w:val="0"/>
          <w:sz w:val="32"/>
          <w:szCs w:val="32"/>
        </w:rPr>
      </w:pPr>
      <w:r>
        <w:rPr>
          <w:rFonts w:hint="eastAsia" w:ascii="黑体" w:hAnsi="宋体" w:eastAsia="黑体" w:cs="宋体"/>
          <w:b/>
          <w:color w:val="000000"/>
          <w:kern w:val="0"/>
          <w:sz w:val="32"/>
          <w:szCs w:val="32"/>
        </w:rPr>
        <w:t>附件3：</w:t>
      </w:r>
      <w:r>
        <w:rPr>
          <w:rFonts w:ascii="黑体" w:hAnsi="宋体" w:eastAsia="黑体" w:cs="宋体"/>
          <w:b/>
          <w:color w:val="000000"/>
          <w:kern w:val="0"/>
          <w:sz w:val="32"/>
          <w:szCs w:val="32"/>
        </w:rPr>
        <w:t>药学院</w:t>
      </w:r>
      <w:r>
        <w:rPr>
          <w:rFonts w:hint="eastAsia" w:ascii="黑体" w:hAnsi="宋体" w:eastAsia="黑体" w:cs="宋体"/>
          <w:b/>
          <w:color w:val="000000"/>
          <w:kern w:val="0"/>
          <w:sz w:val="32"/>
          <w:szCs w:val="32"/>
        </w:rPr>
        <w:t>推免生综合评价评分表</w:t>
      </w:r>
    </w:p>
    <w:p>
      <w:pPr>
        <w:widowControl/>
        <w:adjustRightInd w:val="0"/>
        <w:snapToGrid w:val="0"/>
        <w:spacing w:line="336" w:lineRule="auto"/>
        <w:ind w:right="480"/>
        <w:jc w:val="center"/>
        <w:rPr>
          <w:rFonts w:hint="eastAsia" w:ascii="黑体" w:hAnsi="宋体" w:eastAsia="黑体" w:cs="宋体"/>
          <w:b/>
          <w:color w:val="000000"/>
          <w:kern w:val="0"/>
          <w:szCs w:val="21"/>
        </w:rPr>
      </w:pPr>
      <w:r>
        <w:rPr>
          <w:rFonts w:hint="eastAsia" w:ascii="黑体" w:hAnsi="宋体" w:eastAsia="黑体" w:cs="宋体"/>
          <w:b/>
          <w:color w:val="000000"/>
          <w:kern w:val="0"/>
          <w:szCs w:val="21"/>
        </w:rPr>
        <w:t>班级：</w:t>
      </w:r>
      <w:r>
        <w:rPr>
          <w:rFonts w:hint="eastAsia" w:ascii="黑体" w:hAnsi="宋体" w:eastAsia="黑体" w:cs="宋体"/>
          <w:b/>
          <w:color w:val="000000"/>
          <w:kern w:val="0"/>
          <w:szCs w:val="21"/>
          <w:u w:val="single"/>
        </w:rPr>
        <w:t xml:space="preserve">        </w:t>
      </w:r>
      <w:r>
        <w:rPr>
          <w:rFonts w:hint="eastAsia" w:ascii="黑体" w:hAnsi="宋体" w:eastAsia="黑体" w:cs="宋体"/>
          <w:b/>
          <w:color w:val="000000"/>
          <w:kern w:val="0"/>
          <w:szCs w:val="21"/>
        </w:rPr>
        <w:t xml:space="preserve">  学号：</w:t>
      </w:r>
      <w:r>
        <w:rPr>
          <w:rFonts w:hint="eastAsia" w:ascii="黑体" w:hAnsi="宋体" w:eastAsia="黑体" w:cs="宋体"/>
          <w:b/>
          <w:color w:val="000000"/>
          <w:kern w:val="0"/>
          <w:szCs w:val="21"/>
          <w:u w:val="single"/>
        </w:rPr>
        <w:t xml:space="preserve">        </w:t>
      </w:r>
      <w:r>
        <w:rPr>
          <w:rFonts w:hint="eastAsia" w:ascii="黑体" w:hAnsi="宋体" w:eastAsia="黑体" w:cs="宋体"/>
          <w:b/>
          <w:color w:val="000000"/>
          <w:kern w:val="0"/>
          <w:szCs w:val="21"/>
        </w:rPr>
        <w:t xml:space="preserve">   姓名：</w:t>
      </w:r>
      <w:r>
        <w:rPr>
          <w:rFonts w:hint="eastAsia" w:ascii="黑体" w:hAnsi="宋体" w:eastAsia="黑体" w:cs="宋体"/>
          <w:b/>
          <w:color w:val="000000"/>
          <w:kern w:val="0"/>
          <w:szCs w:val="21"/>
          <w:u w:val="single"/>
        </w:rPr>
        <w:t xml:space="preserve">        </w:t>
      </w:r>
      <w:r>
        <w:rPr>
          <w:rFonts w:hint="eastAsia" w:ascii="黑体" w:hAnsi="宋体" w:eastAsia="黑体" w:cs="宋体"/>
          <w:b/>
          <w:color w:val="000000"/>
          <w:kern w:val="0"/>
          <w:szCs w:val="21"/>
        </w:rPr>
        <w:t xml:space="preserve">   联系电话</w:t>
      </w:r>
      <w:r>
        <w:rPr>
          <w:rFonts w:ascii="黑体" w:hAnsi="宋体" w:eastAsia="黑体" w:cs="宋体"/>
          <w:b/>
          <w:color w:val="000000"/>
          <w:kern w:val="0"/>
          <w:szCs w:val="21"/>
        </w:rPr>
        <w:t>：</w:t>
      </w:r>
      <w:r>
        <w:rPr>
          <w:rFonts w:hint="eastAsia" w:ascii="黑体" w:hAnsi="宋体" w:eastAsia="黑体" w:cs="宋体"/>
          <w:b/>
          <w:color w:val="000000"/>
          <w:kern w:val="0"/>
          <w:szCs w:val="21"/>
          <w:u w:val="single"/>
        </w:rPr>
        <w:t xml:space="preserve">        </w:t>
      </w:r>
      <w:r>
        <w:rPr>
          <w:rFonts w:hint="eastAsia" w:ascii="黑体" w:hAnsi="宋体" w:eastAsia="黑体" w:cs="宋体"/>
          <w:b/>
          <w:color w:val="000000"/>
          <w:kern w:val="0"/>
          <w:szCs w:val="21"/>
        </w:rPr>
        <w:t xml:space="preserve">  政治面貌：</w:t>
      </w:r>
      <w:r>
        <w:rPr>
          <w:rFonts w:hint="eastAsia" w:ascii="黑体" w:hAnsi="宋体" w:eastAsia="黑体" w:cs="宋体"/>
          <w:b/>
          <w:color w:val="000000"/>
          <w:kern w:val="0"/>
          <w:szCs w:val="21"/>
          <w:u w:val="single"/>
        </w:rPr>
        <w:t xml:space="preserve">     </w:t>
      </w:r>
      <w:r>
        <w:rPr>
          <w:rFonts w:hint="eastAsia" w:ascii="黑体" w:hAnsi="宋体" w:eastAsia="黑体" w:cs="宋体"/>
          <w:b/>
          <w:color w:val="000000"/>
          <w:kern w:val="0"/>
          <w:szCs w:val="21"/>
        </w:rPr>
        <w:t xml:space="preserve">  外语（六级）成绩：</w:t>
      </w:r>
      <w:r>
        <w:rPr>
          <w:rFonts w:hint="eastAsia" w:ascii="黑体" w:hAnsi="宋体" w:eastAsia="黑体" w:cs="宋体"/>
          <w:b/>
          <w:color w:val="000000"/>
          <w:kern w:val="0"/>
          <w:szCs w:val="21"/>
          <w:u w:val="single"/>
        </w:rPr>
        <w:t xml:space="preserve">      </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2976"/>
        <w:gridCol w:w="1560"/>
        <w:gridCol w:w="5386"/>
        <w:gridCol w:w="851"/>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trPr>
        <w:tc>
          <w:tcPr>
            <w:tcW w:w="2235" w:type="dxa"/>
            <w:vAlign w:val="center"/>
          </w:tcPr>
          <w:p>
            <w:pPr>
              <w:widowControl/>
              <w:adjustRightInd w:val="0"/>
              <w:snapToGrid w:val="0"/>
              <w:spacing w:line="288" w:lineRule="auto"/>
              <w:rPr>
                <w:rFonts w:hint="eastAsia" w:ascii="宋体" w:hAnsi="宋体" w:cs="宋体"/>
                <w:b/>
                <w:color w:val="000000"/>
                <w:kern w:val="0"/>
                <w:sz w:val="20"/>
              </w:rPr>
            </w:pPr>
            <w:r>
              <w:rPr>
                <w:rFonts w:hint="eastAsia" w:ascii="宋体" w:hAnsi="宋体" w:cs="宋体"/>
                <w:b/>
                <w:color w:val="000000"/>
                <w:kern w:val="0"/>
                <w:sz w:val="20"/>
              </w:rPr>
              <w:t>项目</w:t>
            </w:r>
          </w:p>
        </w:tc>
        <w:tc>
          <w:tcPr>
            <w:tcW w:w="4536" w:type="dxa"/>
            <w:gridSpan w:val="2"/>
            <w:vAlign w:val="center"/>
          </w:tcPr>
          <w:p>
            <w:pPr>
              <w:widowControl/>
              <w:adjustRightInd w:val="0"/>
              <w:snapToGrid w:val="0"/>
              <w:spacing w:line="288" w:lineRule="auto"/>
              <w:rPr>
                <w:rFonts w:hint="eastAsia" w:ascii="宋体" w:hAnsi="宋体" w:cs="宋体"/>
                <w:b/>
                <w:color w:val="000000"/>
                <w:kern w:val="0"/>
                <w:sz w:val="20"/>
              </w:rPr>
            </w:pPr>
            <w:r>
              <w:rPr>
                <w:rFonts w:hint="eastAsia" w:ascii="宋体" w:hAnsi="宋体" w:cs="宋体"/>
                <w:b/>
                <w:color w:val="000000"/>
                <w:kern w:val="0"/>
                <w:sz w:val="20"/>
              </w:rPr>
              <w:t>内容及评分标准</w:t>
            </w:r>
          </w:p>
        </w:tc>
        <w:tc>
          <w:tcPr>
            <w:tcW w:w="5386" w:type="dxa"/>
            <w:vAlign w:val="center"/>
          </w:tcPr>
          <w:p>
            <w:pPr>
              <w:widowControl/>
              <w:adjustRightInd w:val="0"/>
              <w:snapToGrid w:val="0"/>
              <w:spacing w:line="288" w:lineRule="auto"/>
              <w:rPr>
                <w:rFonts w:hint="eastAsia" w:ascii="宋体" w:hAnsi="宋体" w:cs="宋体"/>
                <w:b/>
                <w:color w:val="000000"/>
                <w:kern w:val="0"/>
                <w:sz w:val="20"/>
              </w:rPr>
            </w:pPr>
            <w:r>
              <w:rPr>
                <w:rFonts w:hint="eastAsia" w:ascii="宋体" w:hAnsi="宋体" w:cs="宋体"/>
                <w:b/>
                <w:color w:val="000000"/>
                <w:kern w:val="0"/>
                <w:sz w:val="20"/>
              </w:rPr>
              <w:t>具体情况（写明获得时间和等级）</w:t>
            </w:r>
          </w:p>
        </w:tc>
        <w:tc>
          <w:tcPr>
            <w:tcW w:w="851" w:type="dxa"/>
            <w:vAlign w:val="center"/>
          </w:tcPr>
          <w:p>
            <w:pPr>
              <w:widowControl/>
              <w:adjustRightInd w:val="0"/>
              <w:snapToGrid w:val="0"/>
              <w:spacing w:line="288" w:lineRule="auto"/>
              <w:rPr>
                <w:rFonts w:hint="eastAsia" w:ascii="宋体" w:hAnsi="宋体" w:cs="宋体"/>
                <w:b/>
                <w:color w:val="000000"/>
                <w:kern w:val="0"/>
                <w:sz w:val="20"/>
              </w:rPr>
            </w:pPr>
            <w:r>
              <w:rPr>
                <w:rFonts w:hint="eastAsia" w:ascii="宋体" w:hAnsi="宋体" w:cs="宋体"/>
                <w:b/>
                <w:color w:val="000000"/>
                <w:kern w:val="0"/>
                <w:sz w:val="20"/>
              </w:rPr>
              <w:t>自评分</w:t>
            </w:r>
          </w:p>
        </w:tc>
        <w:tc>
          <w:tcPr>
            <w:tcW w:w="1134" w:type="dxa"/>
            <w:vAlign w:val="center"/>
          </w:tcPr>
          <w:p>
            <w:pPr>
              <w:widowControl/>
              <w:adjustRightInd w:val="0"/>
              <w:snapToGrid w:val="0"/>
              <w:spacing w:line="288" w:lineRule="auto"/>
              <w:rPr>
                <w:rFonts w:hint="eastAsia" w:ascii="宋体" w:hAnsi="宋体" w:cs="宋体"/>
                <w:b/>
                <w:color w:val="000000"/>
                <w:kern w:val="0"/>
                <w:sz w:val="20"/>
              </w:rPr>
            </w:pPr>
            <w:r>
              <w:rPr>
                <w:rFonts w:hint="eastAsia" w:ascii="宋体" w:hAnsi="宋体" w:cs="宋体"/>
                <w:b/>
                <w:color w:val="000000"/>
                <w:kern w:val="0"/>
                <w:sz w:val="20"/>
              </w:rPr>
              <w:t>学院复评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235" w:type="dxa"/>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学习成绩（75分）</w:t>
            </w:r>
          </w:p>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16"/>
                <w:szCs w:val="20"/>
              </w:rPr>
              <w:t>学习成绩=个人平均学分绩点/年级专业（班级）最高个人平均学分绩点×100</w:t>
            </w:r>
          </w:p>
        </w:tc>
        <w:tc>
          <w:tcPr>
            <w:tcW w:w="5386" w:type="dxa"/>
            <w:vAlign w:val="center"/>
          </w:tcPr>
          <w:p>
            <w:pPr>
              <w:widowControl/>
              <w:adjustRightInd w:val="0"/>
              <w:snapToGrid w:val="0"/>
              <w:spacing w:line="288" w:lineRule="auto"/>
              <w:rPr>
                <w:rFonts w:hint="eastAsia" w:ascii="宋体" w:hAnsi="宋体" w:cs="宋体"/>
                <w:color w:val="000000"/>
                <w:kern w:val="0"/>
                <w:sz w:val="20"/>
                <w:u w:val="single"/>
              </w:rPr>
            </w:pPr>
            <w:r>
              <w:rPr>
                <w:rFonts w:hint="eastAsia" w:ascii="宋体" w:hAnsi="宋体" w:cs="宋体"/>
                <w:color w:val="000000"/>
                <w:kern w:val="0"/>
                <w:sz w:val="20"/>
              </w:rPr>
              <w:t>学年平均学分绩点（GPA</w:t>
            </w:r>
            <w:r>
              <w:rPr>
                <w:rFonts w:ascii="宋体" w:hAnsi="宋体" w:cs="宋体"/>
                <w:color w:val="000000"/>
                <w:kern w:val="0"/>
                <w:sz w:val="20"/>
              </w:rPr>
              <w:t>）</w:t>
            </w:r>
            <w:r>
              <w:rPr>
                <w:rFonts w:hint="eastAsia" w:ascii="宋体" w:hAnsi="宋体" w:cs="宋体"/>
                <w:color w:val="000000"/>
                <w:kern w:val="0"/>
                <w:sz w:val="20"/>
                <w:u w:val="single"/>
              </w:rPr>
              <w:t xml:space="preserve">        </w:t>
            </w:r>
          </w:p>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班级排名</w:t>
            </w:r>
            <w:r>
              <w:rPr>
                <w:rFonts w:hint="eastAsia" w:ascii="宋体" w:hAnsi="宋体" w:cs="宋体"/>
                <w:color w:val="000000"/>
                <w:kern w:val="0"/>
                <w:sz w:val="20"/>
                <w:u w:val="single"/>
              </w:rPr>
              <w:t xml:space="preserve">    /     </w:t>
            </w:r>
            <w:r>
              <w:rPr>
                <w:rFonts w:hint="eastAsia" w:ascii="宋体" w:hAnsi="宋体" w:cs="宋体"/>
                <w:color w:val="000000"/>
                <w:kern w:val="0"/>
                <w:sz w:val="20"/>
              </w:rPr>
              <w:t>，专业排名</w:t>
            </w:r>
            <w:r>
              <w:rPr>
                <w:rFonts w:hint="eastAsia" w:ascii="宋体" w:hAnsi="宋体" w:cs="宋体"/>
                <w:color w:val="000000"/>
                <w:kern w:val="0"/>
                <w:sz w:val="20"/>
                <w:u w:val="single"/>
              </w:rPr>
              <w:t xml:space="preserve">   /     </w:t>
            </w: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235" w:type="dxa"/>
            <w:vMerge w:val="restart"/>
            <w:vAlign w:val="center"/>
          </w:tcPr>
          <w:p>
            <w:pPr>
              <w:rPr>
                <w:rFonts w:hint="eastAsia" w:ascii="宋体" w:hAnsi="宋体" w:cs="宋体"/>
                <w:color w:val="000000"/>
                <w:kern w:val="0"/>
                <w:sz w:val="20"/>
              </w:rPr>
            </w:pPr>
            <w:r>
              <w:rPr>
                <w:rFonts w:hint="eastAsia" w:ascii="宋体" w:hAnsi="宋体" w:cs="宋体"/>
                <w:color w:val="000000"/>
                <w:kern w:val="0"/>
                <w:sz w:val="20"/>
              </w:rPr>
              <w:t>综合能力（15分）</w:t>
            </w:r>
          </w:p>
          <w:p>
            <w:pPr>
              <w:rPr>
                <w:rFonts w:hint="eastAsia" w:ascii="宋体" w:hAnsi="宋体" w:cs="宋体"/>
                <w:color w:val="000000"/>
                <w:kern w:val="0"/>
                <w:sz w:val="20"/>
              </w:rPr>
            </w:pPr>
            <w:r>
              <w:rPr>
                <w:rFonts w:hint="eastAsia" w:ascii="宋体" w:hAnsi="宋体" w:cs="宋体"/>
                <w:color w:val="000000"/>
                <w:kern w:val="0"/>
                <w:sz w:val="16"/>
                <w:szCs w:val="20"/>
              </w:rPr>
              <w:t>综合能力=个人综合能力积分/年级专业（班级）最高个人综合能力积分×100</w:t>
            </w:r>
          </w:p>
        </w:tc>
        <w:tc>
          <w:tcPr>
            <w:tcW w:w="2976" w:type="dxa"/>
            <w:vMerge w:val="restart"/>
            <w:tcBorders>
              <w:right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获得优秀党员、十佳大学生、三好学生、优秀学生干部、优秀团干部等综合性荣誉（优秀社团干部不算）；参军入伍服兵役、参加志愿服务、到国际组织实习等。</w:t>
            </w:r>
          </w:p>
        </w:tc>
        <w:tc>
          <w:tcPr>
            <w:tcW w:w="1560" w:type="dxa"/>
            <w:tcBorders>
              <w:left w:val="single" w:color="auto" w:sz="4" w:space="0"/>
            </w:tcBorders>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国家级</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2976" w:type="dxa"/>
            <w:vMerge w:val="continue"/>
            <w:tcBorders>
              <w:right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1560" w:type="dxa"/>
            <w:tcBorders>
              <w:left w:val="single" w:color="auto" w:sz="4" w:space="0"/>
            </w:tcBorders>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省级</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2976" w:type="dxa"/>
            <w:vMerge w:val="continue"/>
            <w:tcBorders>
              <w:right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1560" w:type="dxa"/>
            <w:tcBorders>
              <w:left w:val="single" w:color="auto" w:sz="4" w:space="0"/>
            </w:tcBorders>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市级</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6"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2976" w:type="dxa"/>
            <w:vMerge w:val="continue"/>
            <w:tcBorders>
              <w:right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1560" w:type="dxa"/>
            <w:tcBorders>
              <w:left w:val="single" w:color="auto" w:sz="4" w:space="0"/>
            </w:tcBorders>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校级</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p>
            <w:pPr>
              <w:widowControl/>
              <w:adjustRightInd w:val="0"/>
              <w:snapToGrid w:val="0"/>
              <w:spacing w:line="288" w:lineRule="auto"/>
              <w:rPr>
                <w:rFonts w:hint="eastAsia" w:ascii="宋体" w:hAnsi="宋体" w:cs="宋体"/>
                <w:color w:val="000000"/>
                <w:kern w:val="0"/>
                <w:sz w:val="20"/>
              </w:rPr>
            </w:pPr>
          </w:p>
          <w:p>
            <w:pPr>
              <w:widowControl/>
              <w:adjustRightInd w:val="0"/>
              <w:snapToGrid w:val="0"/>
              <w:spacing w:line="288" w:lineRule="auto"/>
              <w:rPr>
                <w:rFonts w:hint="eastAsia" w:ascii="宋体" w:hAnsi="宋体" w:cs="宋体"/>
                <w:color w:val="000000"/>
                <w:kern w:val="0"/>
                <w:sz w:val="20"/>
              </w:rPr>
            </w:pPr>
          </w:p>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小计（其他单项荣誉不加分，同年度同一项荣誉以最高级加分，不重复加分）</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restart"/>
            <w:vAlign w:val="center"/>
          </w:tcPr>
          <w:p>
            <w:pPr>
              <w:widowControl/>
              <w:adjustRightInd w:val="0"/>
              <w:snapToGrid w:val="0"/>
              <w:spacing w:line="288" w:lineRule="auto"/>
              <w:jc w:val="center"/>
              <w:rPr>
                <w:rFonts w:hint="eastAsia" w:ascii="宋体" w:hAnsi="宋体" w:cs="宋体"/>
                <w:color w:val="000000"/>
                <w:kern w:val="0"/>
                <w:sz w:val="20"/>
              </w:rPr>
            </w:pPr>
            <w:r>
              <w:rPr>
                <w:rFonts w:hint="eastAsia" w:ascii="宋体" w:hAnsi="宋体" w:cs="宋体"/>
                <w:color w:val="000000"/>
                <w:kern w:val="0"/>
                <w:sz w:val="20"/>
              </w:rPr>
              <w:t>创新能力（10分）</w:t>
            </w:r>
          </w:p>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16"/>
                <w:szCs w:val="20"/>
              </w:rPr>
              <w:t>创新能力=个人创新能力积分/年级专业（班级）最高个人创新能力积分×100</w:t>
            </w: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学术研究</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专利授权</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教务处认定的一类竞赛</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教务处认定的二类竞赛</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教务处认定的三类竞赛</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tcBorders>
              <w:bottom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校级创新创业竞赛</w:t>
            </w:r>
          </w:p>
        </w:tc>
        <w:tc>
          <w:tcPr>
            <w:tcW w:w="5386" w:type="dxa"/>
            <w:tcBorders>
              <w:bottom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851" w:type="dxa"/>
            <w:tcBorders>
              <w:bottom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1134" w:type="dxa"/>
            <w:tcBorders>
              <w:bottom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tcBorders>
              <w:top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科研项目</w:t>
            </w:r>
          </w:p>
        </w:tc>
        <w:tc>
          <w:tcPr>
            <w:tcW w:w="5386" w:type="dxa"/>
            <w:tcBorders>
              <w:top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851" w:type="dxa"/>
            <w:tcBorders>
              <w:top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c>
          <w:tcPr>
            <w:tcW w:w="1134" w:type="dxa"/>
            <w:tcBorders>
              <w:top w:val="single" w:color="auto" w:sz="4" w:space="0"/>
            </w:tcBorders>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2235" w:type="dxa"/>
            <w:vMerge w:val="continue"/>
            <w:vAlign w:val="center"/>
          </w:tcPr>
          <w:p>
            <w:pPr>
              <w:widowControl/>
              <w:adjustRightInd w:val="0"/>
              <w:snapToGrid w:val="0"/>
              <w:spacing w:line="288" w:lineRule="auto"/>
              <w:rPr>
                <w:rFonts w:hint="eastAsia" w:ascii="宋体" w:hAnsi="宋体" w:cs="宋体"/>
                <w:color w:val="000000"/>
                <w:kern w:val="0"/>
                <w:sz w:val="20"/>
              </w:rPr>
            </w:pP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小计（同一项目按最高级加分，不重复加分）</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2235" w:type="dxa"/>
            <w:vAlign w:val="center"/>
          </w:tcPr>
          <w:p>
            <w:pPr>
              <w:widowControl/>
              <w:adjustRightInd w:val="0"/>
              <w:snapToGrid w:val="0"/>
              <w:spacing w:line="288" w:lineRule="auto"/>
              <w:jc w:val="center"/>
              <w:rPr>
                <w:rFonts w:hint="eastAsia" w:ascii="宋体" w:hAnsi="宋体" w:cs="宋体"/>
                <w:b/>
                <w:color w:val="000000"/>
                <w:kern w:val="0"/>
                <w:sz w:val="20"/>
              </w:rPr>
            </w:pPr>
            <w:r>
              <w:rPr>
                <w:rFonts w:hint="eastAsia" w:ascii="宋体" w:hAnsi="宋体" w:cs="宋体"/>
                <w:b/>
                <w:color w:val="000000"/>
                <w:kern w:val="0"/>
                <w:sz w:val="20"/>
              </w:rPr>
              <w:t>分值合计（100分）</w:t>
            </w:r>
          </w:p>
        </w:tc>
        <w:tc>
          <w:tcPr>
            <w:tcW w:w="4536" w:type="dxa"/>
            <w:gridSpan w:val="2"/>
            <w:vAlign w:val="center"/>
          </w:tcPr>
          <w:p>
            <w:pPr>
              <w:widowControl/>
              <w:adjustRightInd w:val="0"/>
              <w:snapToGrid w:val="0"/>
              <w:spacing w:line="288" w:lineRule="auto"/>
              <w:rPr>
                <w:rFonts w:hint="eastAsia" w:ascii="宋体" w:hAnsi="宋体" w:cs="宋体"/>
                <w:color w:val="000000"/>
                <w:kern w:val="0"/>
                <w:sz w:val="20"/>
              </w:rPr>
            </w:pPr>
            <w:r>
              <w:rPr>
                <w:rFonts w:hint="eastAsia" w:ascii="宋体" w:hAnsi="宋体" w:cs="宋体"/>
                <w:color w:val="000000"/>
                <w:kern w:val="0"/>
                <w:sz w:val="20"/>
              </w:rPr>
              <w:t>综合成绩=学习成绩×75%+综合能力×15%+创新能力×10%</w:t>
            </w:r>
          </w:p>
        </w:tc>
        <w:tc>
          <w:tcPr>
            <w:tcW w:w="5386" w:type="dxa"/>
            <w:vAlign w:val="center"/>
          </w:tcPr>
          <w:p>
            <w:pPr>
              <w:widowControl/>
              <w:adjustRightInd w:val="0"/>
              <w:snapToGrid w:val="0"/>
              <w:spacing w:line="288" w:lineRule="auto"/>
              <w:rPr>
                <w:rFonts w:hint="eastAsia" w:ascii="宋体" w:hAnsi="宋体" w:cs="宋体"/>
                <w:color w:val="000000"/>
                <w:kern w:val="0"/>
                <w:sz w:val="20"/>
              </w:rPr>
            </w:pPr>
          </w:p>
        </w:tc>
        <w:tc>
          <w:tcPr>
            <w:tcW w:w="851" w:type="dxa"/>
            <w:vAlign w:val="center"/>
          </w:tcPr>
          <w:p>
            <w:pPr>
              <w:widowControl/>
              <w:adjustRightInd w:val="0"/>
              <w:snapToGrid w:val="0"/>
              <w:spacing w:line="288" w:lineRule="auto"/>
              <w:rPr>
                <w:rFonts w:hint="eastAsia" w:ascii="宋体" w:hAnsi="宋体" w:cs="宋体"/>
                <w:color w:val="000000"/>
                <w:kern w:val="0"/>
                <w:sz w:val="20"/>
              </w:rPr>
            </w:pPr>
          </w:p>
        </w:tc>
        <w:tc>
          <w:tcPr>
            <w:tcW w:w="1134" w:type="dxa"/>
            <w:vAlign w:val="center"/>
          </w:tcPr>
          <w:p>
            <w:pPr>
              <w:widowControl/>
              <w:adjustRightInd w:val="0"/>
              <w:snapToGrid w:val="0"/>
              <w:spacing w:line="288" w:lineRule="auto"/>
              <w:rPr>
                <w:rFonts w:hint="eastAsia" w:ascii="宋体" w:hAnsi="宋体" w:cs="宋体"/>
                <w:color w:val="000000"/>
                <w:kern w:val="0"/>
                <w:sz w:val="20"/>
              </w:rPr>
            </w:pPr>
          </w:p>
        </w:tc>
      </w:tr>
    </w:tbl>
    <w:p>
      <w:pPr>
        <w:widowControl/>
        <w:adjustRightInd w:val="0"/>
        <w:snapToGrid w:val="0"/>
        <w:spacing w:line="336" w:lineRule="auto"/>
        <w:ind w:firstLine="400" w:firstLineChars="200"/>
        <w:jc w:val="left"/>
        <w:rPr>
          <w:rFonts w:hint="eastAsia" w:ascii="楷体" w:hAnsi="楷体" w:eastAsia="楷体"/>
          <w:sz w:val="24"/>
          <w:szCs w:val="24"/>
        </w:rPr>
      </w:pPr>
      <w:r>
        <w:rPr>
          <w:rFonts w:hint="eastAsia" w:ascii="宋体" w:hAnsi="宋体" w:cs="宋体"/>
          <w:b/>
          <w:color w:val="000000"/>
          <w:kern w:val="0"/>
          <w:sz w:val="20"/>
        </w:rPr>
        <w:t>备注：以上情况均需提供佐证材料复印件，并由</w:t>
      </w:r>
      <w:r>
        <w:rPr>
          <w:rFonts w:ascii="宋体" w:hAnsi="宋体" w:cs="宋体"/>
          <w:b/>
          <w:color w:val="000000"/>
          <w:kern w:val="0"/>
          <w:sz w:val="20"/>
        </w:rPr>
        <w:t>药学院</w:t>
      </w:r>
      <w:r>
        <w:rPr>
          <w:rFonts w:hint="eastAsia" w:ascii="宋体" w:hAnsi="宋体" w:cs="宋体"/>
          <w:b/>
          <w:color w:val="000000"/>
          <w:kern w:val="0"/>
          <w:sz w:val="20"/>
        </w:rPr>
        <w:t>学工办认证审核。</w:t>
      </w:r>
    </w:p>
    <w:sectPr>
      <w:pgSz w:w="16838" w:h="11906" w:orient="landscape"/>
      <w:pgMar w:top="567" w:right="1440" w:bottom="284"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0000000000000000000"/>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EF248D"/>
    <w:multiLevelType w:val="singleLevel"/>
    <w:tmpl w:val="DBEF248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0MjI4MDQyZDNjZDgzMjcyOWI1NzhhZGRiNTM5ZWIifQ=="/>
  </w:docVars>
  <w:rsids>
    <w:rsidRoot w:val="00A14A54"/>
    <w:rsid w:val="000039D8"/>
    <w:rsid w:val="00016263"/>
    <w:rsid w:val="0003143F"/>
    <w:rsid w:val="0005688D"/>
    <w:rsid w:val="00061F04"/>
    <w:rsid w:val="00065BD0"/>
    <w:rsid w:val="000730F2"/>
    <w:rsid w:val="00075F21"/>
    <w:rsid w:val="000C4592"/>
    <w:rsid w:val="000D45D3"/>
    <w:rsid w:val="000E0B36"/>
    <w:rsid w:val="000E7C11"/>
    <w:rsid w:val="000F1C2E"/>
    <w:rsid w:val="000F5F32"/>
    <w:rsid w:val="00100B6A"/>
    <w:rsid w:val="00112FA7"/>
    <w:rsid w:val="00115F6B"/>
    <w:rsid w:val="00117AA2"/>
    <w:rsid w:val="00132342"/>
    <w:rsid w:val="00141D30"/>
    <w:rsid w:val="0017714E"/>
    <w:rsid w:val="00187F96"/>
    <w:rsid w:val="001A32D0"/>
    <w:rsid w:val="001A5A66"/>
    <w:rsid w:val="001E32BA"/>
    <w:rsid w:val="001E335A"/>
    <w:rsid w:val="001E6C83"/>
    <w:rsid w:val="00207BCD"/>
    <w:rsid w:val="00223D6C"/>
    <w:rsid w:val="00231F87"/>
    <w:rsid w:val="0023241A"/>
    <w:rsid w:val="00233ED4"/>
    <w:rsid w:val="002417AB"/>
    <w:rsid w:val="00262705"/>
    <w:rsid w:val="00263680"/>
    <w:rsid w:val="00264350"/>
    <w:rsid w:val="00274977"/>
    <w:rsid w:val="00284EC2"/>
    <w:rsid w:val="002A2FDD"/>
    <w:rsid w:val="002A4084"/>
    <w:rsid w:val="002B05F4"/>
    <w:rsid w:val="002B7B69"/>
    <w:rsid w:val="002C4007"/>
    <w:rsid w:val="00320FDA"/>
    <w:rsid w:val="003536BB"/>
    <w:rsid w:val="00353F98"/>
    <w:rsid w:val="003541B4"/>
    <w:rsid w:val="0037170D"/>
    <w:rsid w:val="00392AD0"/>
    <w:rsid w:val="003B2796"/>
    <w:rsid w:val="00410CC5"/>
    <w:rsid w:val="00416DCB"/>
    <w:rsid w:val="00424362"/>
    <w:rsid w:val="00436AAC"/>
    <w:rsid w:val="00456C3B"/>
    <w:rsid w:val="004636AF"/>
    <w:rsid w:val="00466AEF"/>
    <w:rsid w:val="004A633E"/>
    <w:rsid w:val="00504A32"/>
    <w:rsid w:val="005131E7"/>
    <w:rsid w:val="00531A81"/>
    <w:rsid w:val="00531DCC"/>
    <w:rsid w:val="0054624F"/>
    <w:rsid w:val="00577C44"/>
    <w:rsid w:val="00596FA0"/>
    <w:rsid w:val="005A00FD"/>
    <w:rsid w:val="005B5653"/>
    <w:rsid w:val="005D4EB0"/>
    <w:rsid w:val="005D5444"/>
    <w:rsid w:val="005D7163"/>
    <w:rsid w:val="005F1983"/>
    <w:rsid w:val="005F4CAD"/>
    <w:rsid w:val="00603DC6"/>
    <w:rsid w:val="00632644"/>
    <w:rsid w:val="006572B1"/>
    <w:rsid w:val="00657937"/>
    <w:rsid w:val="00663D64"/>
    <w:rsid w:val="006866F8"/>
    <w:rsid w:val="0069015F"/>
    <w:rsid w:val="006A07F0"/>
    <w:rsid w:val="006C5771"/>
    <w:rsid w:val="006D378B"/>
    <w:rsid w:val="006E2AE1"/>
    <w:rsid w:val="00743265"/>
    <w:rsid w:val="00764CD1"/>
    <w:rsid w:val="00766E65"/>
    <w:rsid w:val="00774C4C"/>
    <w:rsid w:val="007B63BB"/>
    <w:rsid w:val="007D7750"/>
    <w:rsid w:val="007E04FF"/>
    <w:rsid w:val="007F5CEF"/>
    <w:rsid w:val="00801961"/>
    <w:rsid w:val="00805B1C"/>
    <w:rsid w:val="008348B5"/>
    <w:rsid w:val="00892AD6"/>
    <w:rsid w:val="008A4D2C"/>
    <w:rsid w:val="008D4338"/>
    <w:rsid w:val="008E0B8F"/>
    <w:rsid w:val="008F25F2"/>
    <w:rsid w:val="00901718"/>
    <w:rsid w:val="009076DD"/>
    <w:rsid w:val="00911567"/>
    <w:rsid w:val="009B0E56"/>
    <w:rsid w:val="009E4B51"/>
    <w:rsid w:val="009F7348"/>
    <w:rsid w:val="00A01E59"/>
    <w:rsid w:val="00A14A54"/>
    <w:rsid w:val="00A360F3"/>
    <w:rsid w:val="00A440BD"/>
    <w:rsid w:val="00A477BB"/>
    <w:rsid w:val="00A66583"/>
    <w:rsid w:val="00A73D4E"/>
    <w:rsid w:val="00AA6727"/>
    <w:rsid w:val="00B10764"/>
    <w:rsid w:val="00B15CDB"/>
    <w:rsid w:val="00B2125A"/>
    <w:rsid w:val="00B64B86"/>
    <w:rsid w:val="00B77472"/>
    <w:rsid w:val="00B9445B"/>
    <w:rsid w:val="00BB45A9"/>
    <w:rsid w:val="00BD03D6"/>
    <w:rsid w:val="00BF73AC"/>
    <w:rsid w:val="00C03935"/>
    <w:rsid w:val="00C15CB5"/>
    <w:rsid w:val="00C57736"/>
    <w:rsid w:val="00C57C70"/>
    <w:rsid w:val="00C619F5"/>
    <w:rsid w:val="00C70072"/>
    <w:rsid w:val="00C82C6E"/>
    <w:rsid w:val="00C9259E"/>
    <w:rsid w:val="00CA3169"/>
    <w:rsid w:val="00CC3747"/>
    <w:rsid w:val="00CE765E"/>
    <w:rsid w:val="00CF2915"/>
    <w:rsid w:val="00CF78C4"/>
    <w:rsid w:val="00D04178"/>
    <w:rsid w:val="00D04766"/>
    <w:rsid w:val="00D077B8"/>
    <w:rsid w:val="00D07A1B"/>
    <w:rsid w:val="00D40069"/>
    <w:rsid w:val="00D46CF4"/>
    <w:rsid w:val="00D52876"/>
    <w:rsid w:val="00D670F0"/>
    <w:rsid w:val="00D722B4"/>
    <w:rsid w:val="00D72764"/>
    <w:rsid w:val="00D843F8"/>
    <w:rsid w:val="00DB29DA"/>
    <w:rsid w:val="00DB7BC0"/>
    <w:rsid w:val="00DC2F11"/>
    <w:rsid w:val="00DF0B9A"/>
    <w:rsid w:val="00E00F0C"/>
    <w:rsid w:val="00E14DC3"/>
    <w:rsid w:val="00E15175"/>
    <w:rsid w:val="00E24D09"/>
    <w:rsid w:val="00E41D27"/>
    <w:rsid w:val="00E67995"/>
    <w:rsid w:val="00E67C48"/>
    <w:rsid w:val="00E85173"/>
    <w:rsid w:val="00E9429B"/>
    <w:rsid w:val="00EA07E6"/>
    <w:rsid w:val="00EC1AE8"/>
    <w:rsid w:val="00ED2447"/>
    <w:rsid w:val="00EF4349"/>
    <w:rsid w:val="00F45DE5"/>
    <w:rsid w:val="00F635B6"/>
    <w:rsid w:val="00F73485"/>
    <w:rsid w:val="00F84C6C"/>
    <w:rsid w:val="00F938F7"/>
    <w:rsid w:val="00FA0150"/>
    <w:rsid w:val="00FA4C2F"/>
    <w:rsid w:val="00FA6164"/>
    <w:rsid w:val="00FB2D67"/>
    <w:rsid w:val="00FB5EAF"/>
    <w:rsid w:val="00FB5F6F"/>
    <w:rsid w:val="00FC07DE"/>
    <w:rsid w:val="00FC2E66"/>
    <w:rsid w:val="00FF5682"/>
    <w:rsid w:val="0193166B"/>
    <w:rsid w:val="01C459B3"/>
    <w:rsid w:val="032C1D33"/>
    <w:rsid w:val="195F615D"/>
    <w:rsid w:val="25FF192A"/>
    <w:rsid w:val="26E11FBD"/>
    <w:rsid w:val="2731509D"/>
    <w:rsid w:val="2C0739BD"/>
    <w:rsid w:val="325A1124"/>
    <w:rsid w:val="3544488C"/>
    <w:rsid w:val="3BD75A0F"/>
    <w:rsid w:val="41FF4CA6"/>
    <w:rsid w:val="455A19C3"/>
    <w:rsid w:val="464D6779"/>
    <w:rsid w:val="48076AEA"/>
    <w:rsid w:val="4A0D7E44"/>
    <w:rsid w:val="4ADB79C5"/>
    <w:rsid w:val="4D5738E1"/>
    <w:rsid w:val="50463D38"/>
    <w:rsid w:val="61E0074C"/>
    <w:rsid w:val="67CE12D3"/>
    <w:rsid w:val="6EED3D22"/>
    <w:rsid w:val="6FDD41CF"/>
    <w:rsid w:val="7B9D3AED"/>
    <w:rsid w:val="7CEDF4DF"/>
    <w:rsid w:val="89974B60"/>
    <w:rsid w:val="F784911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paragraph" w:customStyle="1" w:styleId="9">
    <w:name w:val="列表段落1"/>
    <w:basedOn w:val="1"/>
    <w:qFormat/>
    <w:uiPriority w:val="34"/>
    <w:pPr>
      <w:ind w:firstLine="420" w:firstLineChars="200"/>
    </w:pPr>
  </w:style>
  <w:style w:type="character" w:customStyle="1" w:styleId="10">
    <w:name w:val="批注框文本 字符"/>
    <w:basedOn w:val="7"/>
    <w:link w:val="2"/>
    <w:semiHidden/>
    <w:qFormat/>
    <w:uiPriority w:val="99"/>
    <w:rPr>
      <w:sz w:val="18"/>
      <w:szCs w:val="18"/>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paragraph" w:customStyle="1" w:styleId="13">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694</Words>
  <Characters>3956</Characters>
  <Lines>32</Lines>
  <Paragraphs>9</Paragraphs>
  <TotalTime>12</TotalTime>
  <ScaleCrop>false</ScaleCrop>
  <LinksUpToDate>false</LinksUpToDate>
  <CharactersWithSpaces>4641</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2021-03-20T07:03:00Z</dcterms:created>
  <dc:creator>ADMIN</dc:creator>
  <cp:lastModifiedBy>Levi Chen</cp:lastModifiedBy>
  <cp:lastPrinted>2023-06-20T00:48:00Z</cp:lastPrinted>
  <dcterms:modified xsi:type="dcterms:W3CDTF">2024-08-15T13:20:59Z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D74A540F5F4243338F3096F77BC4929F</vt:lpwstr>
  </property>
</Properties>
</file>