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91BF9">
      <w:pPr>
        <w:spacing w:line="560" w:lineRule="exact"/>
        <w:jc w:val="center"/>
        <w:rPr>
          <w:rFonts w:ascii="黑体" w:hAnsi="黑体" w:eastAsia="黑体"/>
          <w:sz w:val="36"/>
          <w:szCs w:val="48"/>
        </w:rPr>
      </w:pPr>
      <w:r>
        <w:rPr>
          <w:rFonts w:hint="eastAsia" w:ascii="黑体" w:hAnsi="黑体" w:eastAsia="黑体"/>
          <w:sz w:val="36"/>
          <w:szCs w:val="48"/>
        </w:rPr>
        <w:t>河南师范大学国际教育学院</w:t>
      </w:r>
      <w:r>
        <w:rPr>
          <w:rFonts w:ascii="黑体" w:hAnsi="黑体" w:eastAsia="黑体"/>
          <w:sz w:val="36"/>
          <w:szCs w:val="48"/>
        </w:rPr>
        <w:t>推荐优秀应届本科毕业生免试攻读</w:t>
      </w:r>
      <w:r>
        <w:rPr>
          <w:rFonts w:hint="eastAsia" w:ascii="黑体" w:hAnsi="黑体" w:eastAsia="黑体"/>
          <w:sz w:val="36"/>
          <w:szCs w:val="48"/>
        </w:rPr>
        <w:t>硕士学位</w:t>
      </w:r>
      <w:r>
        <w:rPr>
          <w:rFonts w:ascii="黑体" w:hAnsi="黑体" w:eastAsia="黑体"/>
          <w:sz w:val="36"/>
          <w:szCs w:val="48"/>
        </w:rPr>
        <w:t>研究生</w:t>
      </w:r>
      <w:r>
        <w:rPr>
          <w:rFonts w:hint="eastAsia" w:ascii="黑体" w:hAnsi="黑体" w:eastAsia="黑体"/>
          <w:sz w:val="36"/>
          <w:szCs w:val="48"/>
          <w:lang w:val="en-US" w:eastAsia="zh-CN"/>
        </w:rPr>
        <w:t>实施细则</w:t>
      </w:r>
      <w:r>
        <w:rPr>
          <w:rFonts w:hint="eastAsia" w:ascii="黑体" w:hAnsi="黑体" w:eastAsia="黑体"/>
          <w:sz w:val="36"/>
          <w:szCs w:val="48"/>
        </w:rPr>
        <w:t>（试行）</w:t>
      </w:r>
    </w:p>
    <w:p w14:paraId="151C9AE5">
      <w:pPr>
        <w:tabs>
          <w:tab w:val="left" w:pos="567"/>
        </w:tabs>
        <w:spacing w:line="560" w:lineRule="exact"/>
        <w:ind w:firstLine="560" w:firstLineChars="200"/>
        <w:rPr>
          <w:rFonts w:ascii="仿宋" w:hAnsi="仿宋" w:eastAsia="仿宋"/>
          <w:sz w:val="28"/>
          <w:szCs w:val="28"/>
        </w:rPr>
      </w:pPr>
      <w:r>
        <w:rPr>
          <w:rFonts w:hint="eastAsia" w:ascii="仿宋" w:hAnsi="仿宋" w:eastAsia="仿宋"/>
          <w:sz w:val="28"/>
          <w:szCs w:val="28"/>
        </w:rPr>
        <w:t>为规范我院推荐优秀应届本科毕业生免试攻读硕士学位研究生工作（以下简称“推免”），根据《河南师范大学推荐优秀应届本科毕业生免试攻读硕士学位研究生管理办法》（师大教〔202</w:t>
      </w:r>
      <w:r>
        <w:rPr>
          <w:rFonts w:hint="eastAsia" w:ascii="仿宋" w:hAnsi="仿宋" w:eastAsia="仿宋"/>
          <w:sz w:val="28"/>
          <w:szCs w:val="28"/>
          <w:lang w:val="en-US" w:eastAsia="zh-CN"/>
        </w:rPr>
        <w:t>4</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号）</w:t>
      </w:r>
      <w:bookmarkStart w:id="0" w:name="_Hlk146106343"/>
      <w:r>
        <w:rPr>
          <w:rFonts w:hint="eastAsia" w:ascii="仿宋" w:hAnsi="仿宋" w:eastAsia="仿宋"/>
          <w:sz w:val="28"/>
          <w:szCs w:val="28"/>
        </w:rPr>
        <w:t>、《河南师范大学关于推荐202</w:t>
      </w:r>
      <w:r>
        <w:rPr>
          <w:rFonts w:hint="eastAsia" w:ascii="仿宋" w:hAnsi="仿宋" w:eastAsia="仿宋"/>
          <w:sz w:val="28"/>
          <w:szCs w:val="28"/>
          <w:lang w:val="en-US" w:eastAsia="zh-CN"/>
        </w:rPr>
        <w:t>5</w:t>
      </w:r>
      <w:r>
        <w:rPr>
          <w:rFonts w:hint="eastAsia" w:ascii="仿宋" w:hAnsi="仿宋" w:eastAsia="仿宋"/>
          <w:sz w:val="28"/>
          <w:szCs w:val="28"/>
        </w:rPr>
        <w:t>届优秀应届本科生免试攻读硕士学位研究生工作的通知》和《河南师范大学关于推荐202</w:t>
      </w:r>
      <w:r>
        <w:rPr>
          <w:rFonts w:hint="eastAsia" w:ascii="仿宋" w:hAnsi="仿宋" w:eastAsia="仿宋"/>
          <w:sz w:val="28"/>
          <w:szCs w:val="28"/>
          <w:lang w:val="en-US" w:eastAsia="zh-CN"/>
        </w:rPr>
        <w:t>5</w:t>
      </w:r>
      <w:r>
        <w:rPr>
          <w:rFonts w:hint="eastAsia" w:ascii="仿宋" w:hAnsi="仿宋" w:eastAsia="仿宋"/>
          <w:sz w:val="28"/>
          <w:szCs w:val="28"/>
        </w:rPr>
        <w:t>届优秀应届毕业生免试攻读“农村学校教育硕士师资培养计划”研究生工作的通知》</w:t>
      </w:r>
      <w:bookmarkEnd w:id="0"/>
      <w:r>
        <w:rPr>
          <w:rFonts w:hint="eastAsia" w:ascii="仿宋" w:hAnsi="仿宋" w:eastAsia="仿宋"/>
          <w:sz w:val="28"/>
          <w:szCs w:val="28"/>
        </w:rPr>
        <w:t>等文件精神，结合我院实际情况，制定本</w:t>
      </w:r>
      <w:r>
        <w:rPr>
          <w:rFonts w:hint="eastAsia" w:ascii="仿宋" w:hAnsi="仿宋" w:eastAsia="仿宋"/>
          <w:sz w:val="28"/>
          <w:szCs w:val="28"/>
          <w:lang w:val="en-US" w:eastAsia="zh-CN"/>
        </w:rPr>
        <w:t>实施细则</w:t>
      </w:r>
      <w:r>
        <w:rPr>
          <w:rFonts w:hint="eastAsia" w:ascii="仿宋" w:hAnsi="仿宋" w:eastAsia="仿宋"/>
          <w:sz w:val="28"/>
          <w:szCs w:val="28"/>
        </w:rPr>
        <w:t>。</w:t>
      </w:r>
    </w:p>
    <w:p w14:paraId="7BF206B6">
      <w:pPr>
        <w:tabs>
          <w:tab w:val="left" w:pos="567"/>
        </w:tabs>
        <w:spacing w:line="560" w:lineRule="exact"/>
        <w:jc w:val="center"/>
        <w:rPr>
          <w:rFonts w:ascii="仿宋" w:hAnsi="仿宋" w:eastAsia="仿宋"/>
          <w:b/>
          <w:sz w:val="28"/>
          <w:szCs w:val="28"/>
        </w:rPr>
      </w:pPr>
      <w:r>
        <w:rPr>
          <w:rFonts w:hint="eastAsia" w:ascii="仿宋" w:hAnsi="仿宋" w:eastAsia="仿宋"/>
          <w:b/>
          <w:sz w:val="28"/>
          <w:szCs w:val="28"/>
        </w:rPr>
        <w:t>第一章 总则</w:t>
      </w:r>
    </w:p>
    <w:p w14:paraId="20FF1CD8">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推免工作坚持公正、公平、公开，全面考核，综合评价，择优推荐的原则。同时具有科学、规范、明确的推免标准和公开透明的操作程序。</w:t>
      </w:r>
    </w:p>
    <w:p w14:paraId="73FD1B80">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学院成立推免生遴选工作小组。学院主要负责人任组长</w:t>
      </w:r>
      <w:r>
        <w:rPr>
          <w:rFonts w:hint="eastAsia" w:ascii="仿宋" w:hAnsi="仿宋" w:eastAsia="仿宋"/>
          <w:sz w:val="28"/>
          <w:szCs w:val="28"/>
          <w:lang w:eastAsia="zh-CN"/>
        </w:rPr>
        <w:t>，</w:t>
      </w:r>
      <w:r>
        <w:rPr>
          <w:rFonts w:hint="eastAsia" w:ascii="仿宋" w:hAnsi="仿宋" w:eastAsia="仿宋"/>
          <w:sz w:val="28"/>
          <w:szCs w:val="28"/>
        </w:rPr>
        <w:t>教学</w:t>
      </w:r>
      <w:r>
        <w:rPr>
          <w:rFonts w:hint="eastAsia" w:ascii="仿宋" w:hAnsi="仿宋" w:eastAsia="仿宋"/>
          <w:sz w:val="28"/>
          <w:szCs w:val="28"/>
          <w:lang w:val="en-US" w:eastAsia="zh-CN"/>
        </w:rPr>
        <w:t>副</w:t>
      </w:r>
      <w:r>
        <w:rPr>
          <w:rFonts w:hint="eastAsia" w:ascii="仿宋" w:hAnsi="仿宋" w:eastAsia="仿宋"/>
          <w:sz w:val="28"/>
          <w:szCs w:val="28"/>
        </w:rPr>
        <w:t>院长、党委副书记任副组长</w:t>
      </w:r>
      <w:r>
        <w:rPr>
          <w:rFonts w:hint="eastAsia" w:ascii="仿宋" w:hAnsi="仿宋" w:eastAsia="仿宋"/>
          <w:sz w:val="28"/>
          <w:szCs w:val="28"/>
          <w:lang w:eastAsia="zh-CN"/>
        </w:rPr>
        <w:t>，</w:t>
      </w:r>
      <w:r>
        <w:rPr>
          <w:rFonts w:hint="eastAsia" w:ascii="仿宋" w:hAnsi="仿宋" w:eastAsia="仿宋"/>
          <w:sz w:val="28"/>
          <w:szCs w:val="28"/>
        </w:rPr>
        <w:t>推免生遴选工作小组成员应该包括参与推免年级辅导员、相关专业学院学术委员会成员</w:t>
      </w:r>
      <w:r>
        <w:rPr>
          <w:rFonts w:hint="eastAsia" w:ascii="仿宋" w:hAnsi="仿宋" w:eastAsia="仿宋"/>
          <w:sz w:val="28"/>
          <w:szCs w:val="28"/>
          <w:lang w:val="en-US" w:eastAsia="zh-CN"/>
        </w:rPr>
        <w:t>、院</w:t>
      </w:r>
      <w:r>
        <w:rPr>
          <w:rFonts w:hint="eastAsia" w:ascii="仿宋" w:hAnsi="仿宋" w:eastAsia="仿宋"/>
          <w:sz w:val="28"/>
          <w:szCs w:val="28"/>
        </w:rPr>
        <w:t>项目管理委员会成员、教师代表、学生代表等相关人员。工作小组负责制定本单位推免工作实施细则，做好推免政策和工作流程的解读，受理学生的咨询与质疑，保障本单位推免工作规范有序、科学严谨、公平公正。</w:t>
      </w:r>
    </w:p>
    <w:p w14:paraId="3BBC159D">
      <w:pPr>
        <w:numPr>
          <w:ilvl w:val="0"/>
          <w:numId w:val="1"/>
        </w:numPr>
        <w:tabs>
          <w:tab w:val="left" w:pos="567"/>
        </w:tabs>
        <w:spacing w:line="560" w:lineRule="exact"/>
        <w:jc w:val="center"/>
        <w:rPr>
          <w:rFonts w:ascii="仿宋" w:hAnsi="仿宋" w:eastAsia="仿宋"/>
          <w:b/>
          <w:sz w:val="28"/>
          <w:szCs w:val="28"/>
        </w:rPr>
      </w:pPr>
      <w:r>
        <w:rPr>
          <w:rFonts w:hint="eastAsia" w:ascii="仿宋" w:hAnsi="仿宋" w:eastAsia="仿宋"/>
          <w:b/>
          <w:sz w:val="28"/>
          <w:szCs w:val="28"/>
        </w:rPr>
        <w:t>报名条件</w:t>
      </w:r>
    </w:p>
    <w:p w14:paraId="140A95D0">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一、普通类推免生：</w:t>
      </w:r>
    </w:p>
    <w:p w14:paraId="54EB1966">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（一）坚持和拥护党的领导，遵纪守法，品德优良，刻苦学习，勤于创新，身心健康，积极向上。</w:t>
      </w:r>
    </w:p>
    <w:p w14:paraId="47AA0056">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val="en-US" w:eastAsia="zh-CN"/>
        </w:rPr>
        <w:t>学业综合</w:t>
      </w:r>
      <w:r>
        <w:rPr>
          <w:rFonts w:hint="eastAsia" w:ascii="仿宋" w:hAnsi="仿宋" w:eastAsia="仿宋"/>
          <w:sz w:val="28"/>
          <w:szCs w:val="28"/>
        </w:rPr>
        <w:t>成绩排名位于本专业学生总人数的前40%（含40%）。有任意课程补考记录者须位于前20%。</w:t>
      </w:r>
    </w:p>
    <w:p w14:paraId="0DB6C256">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（三）非外国语专业学生，要求英语水平达到大学生英语四级水平(成绩≥425)或雅思成绩达到6.0或托福成绩65分及以上（体、音、美专业推免生可不受英语四级水平限制，但不能有英语考试补考记录，且</w:t>
      </w:r>
      <w:r>
        <w:rPr>
          <w:rFonts w:hint="eastAsia" w:ascii="仿宋" w:hAnsi="仿宋" w:eastAsia="仿宋"/>
          <w:sz w:val="28"/>
          <w:szCs w:val="28"/>
          <w:lang w:val="en-US" w:eastAsia="zh-CN"/>
        </w:rPr>
        <w:t>英语</w:t>
      </w:r>
      <w:r>
        <w:rPr>
          <w:rFonts w:hint="eastAsia" w:ascii="仿宋" w:hAnsi="仿宋" w:eastAsia="仿宋"/>
          <w:sz w:val="28"/>
          <w:szCs w:val="28"/>
        </w:rPr>
        <w:t>成绩排名在本专业前30%）。所修外语为小语种（日语、俄语）的学生，大学日语、大学俄语四级考试成绩为及格或相应等级测试成绩。</w:t>
      </w:r>
    </w:p>
    <w:p w14:paraId="6F9E8C67">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（四）外国语专业学生，要求外语水平达到全国高校英语（俄语、法语、日语）专业四级水平测试合格及以上等次。</w:t>
      </w:r>
    </w:p>
    <w:p w14:paraId="339AE534">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二、硕师计划类推免生：</w:t>
      </w:r>
    </w:p>
    <w:p w14:paraId="0BB4FBB3">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（一）坚持和拥护党的领导，遵纪守法，品德优良，刻苦学习，勤于创新，身心健康，积极向上。有志于从事农村教育教学、研究工作</w:t>
      </w:r>
      <w:r>
        <w:rPr>
          <w:rFonts w:hint="eastAsia" w:ascii="仿宋" w:hAnsi="仿宋" w:eastAsia="仿宋"/>
          <w:sz w:val="28"/>
          <w:szCs w:val="28"/>
          <w:lang w:eastAsia="zh-CN"/>
        </w:rPr>
        <w:t>，</w:t>
      </w:r>
      <w:r>
        <w:rPr>
          <w:rFonts w:hint="eastAsia" w:ascii="仿宋" w:hAnsi="仿宋" w:eastAsia="仿宋"/>
          <w:sz w:val="28"/>
          <w:szCs w:val="28"/>
          <w:lang w:val="en-US" w:eastAsia="zh-CN"/>
        </w:rPr>
        <w:t>志愿到县镇及以下农村学校任教。</w:t>
      </w:r>
      <w:r>
        <w:rPr>
          <w:rFonts w:hint="eastAsia" w:ascii="仿宋" w:hAnsi="仿宋" w:eastAsia="仿宋"/>
          <w:sz w:val="28"/>
          <w:szCs w:val="28"/>
        </w:rPr>
        <w:t>具体教师资格条件要求按上级通知执行。</w:t>
      </w:r>
    </w:p>
    <w:p w14:paraId="0CAA4DF0">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二</w:t>
      </w:r>
      <w:r>
        <w:rPr>
          <w:rFonts w:hint="eastAsia" w:ascii="仿宋" w:hAnsi="仿宋" w:eastAsia="仿宋"/>
          <w:sz w:val="28"/>
          <w:szCs w:val="28"/>
        </w:rPr>
        <w:t>）原则要求“硕师计划”推免生本科所学专业为师范类专业，学生接收单位须填报我校。获得推免资格后，必须在规定时间内与设岗县签订协议。毕业时须获得本科毕业证、学位证和相应教师资格证。本科毕业时未取得教师资格证的“硕师计划”研究生，无法聘为编制内正式教师或特岗教师，将取消培养资格。</w:t>
      </w:r>
    </w:p>
    <w:p w14:paraId="7B1BDE3D">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三</w:t>
      </w:r>
      <w:r>
        <w:rPr>
          <w:rFonts w:hint="eastAsia" w:ascii="仿宋" w:hAnsi="仿宋" w:eastAsia="仿宋"/>
          <w:sz w:val="28"/>
          <w:szCs w:val="28"/>
        </w:rPr>
        <w:t>）</w:t>
      </w:r>
      <w:r>
        <w:rPr>
          <w:rFonts w:hint="eastAsia" w:ascii="仿宋" w:hAnsi="仿宋" w:eastAsia="仿宋"/>
          <w:sz w:val="28"/>
          <w:szCs w:val="28"/>
          <w:lang w:val="en-US" w:eastAsia="zh-CN"/>
        </w:rPr>
        <w:t>学业综合</w:t>
      </w:r>
      <w:r>
        <w:rPr>
          <w:rFonts w:hint="eastAsia" w:ascii="仿宋" w:hAnsi="仿宋" w:eastAsia="仿宋"/>
          <w:sz w:val="28"/>
          <w:szCs w:val="28"/>
        </w:rPr>
        <w:t>成绩排名位于本专业学生总人数的前60%（含60%），有任意课程补考记录者须位于前30%。</w:t>
      </w:r>
    </w:p>
    <w:p w14:paraId="43142BD3">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w:t>
      </w:r>
      <w:r>
        <w:rPr>
          <w:rFonts w:hint="eastAsia" w:ascii="仿宋" w:hAnsi="仿宋" w:eastAsia="仿宋"/>
          <w:sz w:val="28"/>
          <w:szCs w:val="28"/>
          <w:lang w:val="en-US" w:eastAsia="zh-CN"/>
        </w:rPr>
        <w:t>四</w:t>
      </w:r>
      <w:r>
        <w:rPr>
          <w:rFonts w:hint="eastAsia" w:ascii="仿宋" w:hAnsi="仿宋" w:eastAsia="仿宋"/>
          <w:sz w:val="28"/>
          <w:szCs w:val="28"/>
        </w:rPr>
        <w:t>）非外国语专业学生，英语水平达到大学生英语四级水平(成绩≥425)或雅思成绩达到6.0或托福成绩65分及以上（体、音、美专业推免生可不受英语四级水平限制，但不能有英语考试补考记录，且英语成绩排名在本专业前30%）。</w:t>
      </w:r>
      <w:r>
        <w:rPr>
          <w:rFonts w:hint="eastAsia" w:ascii="仿宋" w:hAnsi="仿宋" w:eastAsia="仿宋"/>
          <w:sz w:val="28"/>
          <w:szCs w:val="28"/>
          <w:lang w:val="en-US" w:eastAsia="zh-CN"/>
        </w:rPr>
        <w:t>所修外语为小语种（日语、俄语）的学生，大学日语、大学俄语四级考试成绩为及格或相应等级测试成绩。</w:t>
      </w:r>
    </w:p>
    <w:p w14:paraId="5D0EE804">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五</w:t>
      </w:r>
      <w:r>
        <w:rPr>
          <w:rFonts w:hint="eastAsia" w:ascii="仿宋" w:hAnsi="仿宋" w:eastAsia="仿宋"/>
          <w:sz w:val="28"/>
          <w:szCs w:val="28"/>
        </w:rPr>
        <w:t>）外国语专业学生，要求外语水平达到全国高校英语（俄语、法语、日语）专业四级水平测试合格及以上等次。</w:t>
      </w:r>
    </w:p>
    <w:p w14:paraId="2CE92CA3">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六</w:t>
      </w:r>
      <w:r>
        <w:rPr>
          <w:rFonts w:hint="eastAsia" w:ascii="仿宋" w:hAnsi="仿宋" w:eastAsia="仿宋"/>
          <w:sz w:val="28"/>
          <w:szCs w:val="28"/>
        </w:rPr>
        <w:t>）在教学技能竞赛中获得省级及以上奖励者，或在校学习期间以第一作者在中文核心及以上刊物上发表教学研究类论文者，或参加过一学期支教的师范类毕业生，同等条件下可优先推荐。</w:t>
      </w:r>
    </w:p>
    <w:p w14:paraId="103297AD">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三、研究生支教团：</w:t>
      </w:r>
    </w:p>
    <w:p w14:paraId="2751BA98">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研究生支教团总指标依照团中央分配指标为准，学院一般推荐1-3名候选人参与校团委组织的考核。</w:t>
      </w:r>
    </w:p>
    <w:p w14:paraId="4D9E157E">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（一）坚持和拥护党的领导，遵纪守法，品德优良，刻苦学习，勤于创新，身心健康，积极向上。具有较强家国情怀和志愿精神，</w:t>
      </w:r>
      <w:r>
        <w:rPr>
          <w:rFonts w:hint="eastAsia" w:ascii="仿宋" w:hAnsi="仿宋" w:eastAsia="仿宋"/>
          <w:sz w:val="28"/>
          <w:szCs w:val="28"/>
          <w:lang w:val="en-US" w:eastAsia="zh-CN"/>
        </w:rPr>
        <w:t>理想信念坚定，社会责任感强，积极参加志愿服务，</w:t>
      </w:r>
      <w:r>
        <w:rPr>
          <w:rFonts w:hint="eastAsia" w:ascii="仿宋" w:hAnsi="仿宋" w:eastAsia="仿宋"/>
          <w:sz w:val="28"/>
          <w:szCs w:val="28"/>
        </w:rPr>
        <w:t>有志于从事西部地区基础教育教学与研究工作。</w:t>
      </w:r>
    </w:p>
    <w:p w14:paraId="42E197DC">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（二）</w:t>
      </w:r>
      <w:r>
        <w:rPr>
          <w:rFonts w:hint="eastAsia" w:ascii="仿宋" w:hAnsi="仿宋" w:eastAsia="仿宋"/>
          <w:sz w:val="28"/>
          <w:szCs w:val="28"/>
          <w:lang w:val="en-US" w:eastAsia="zh-CN"/>
        </w:rPr>
        <w:t>学业综合</w:t>
      </w:r>
      <w:r>
        <w:rPr>
          <w:rFonts w:hint="eastAsia" w:ascii="仿宋" w:hAnsi="仿宋" w:eastAsia="仿宋"/>
          <w:sz w:val="28"/>
          <w:szCs w:val="28"/>
        </w:rPr>
        <w:t>成绩排名应在本专业排名的前</w:t>
      </w:r>
      <w:r>
        <w:rPr>
          <w:rFonts w:hint="eastAsia" w:ascii="仿宋" w:hAnsi="仿宋" w:eastAsia="仿宋"/>
          <w:sz w:val="28"/>
          <w:szCs w:val="28"/>
          <w:lang w:val="en-US" w:eastAsia="zh-CN"/>
        </w:rPr>
        <w:t>4</w:t>
      </w:r>
      <w:r>
        <w:rPr>
          <w:rFonts w:hint="eastAsia" w:ascii="仿宋" w:hAnsi="仿宋" w:eastAsia="仿宋"/>
          <w:sz w:val="28"/>
          <w:szCs w:val="28"/>
        </w:rPr>
        <w:t>0%（含</w:t>
      </w:r>
      <w:r>
        <w:rPr>
          <w:rFonts w:hint="eastAsia" w:ascii="仿宋" w:hAnsi="仿宋" w:eastAsia="仿宋"/>
          <w:sz w:val="28"/>
          <w:szCs w:val="28"/>
          <w:lang w:val="en-US" w:eastAsia="zh-CN"/>
        </w:rPr>
        <w:t>4</w:t>
      </w:r>
      <w:r>
        <w:rPr>
          <w:rFonts w:hint="eastAsia" w:ascii="仿宋" w:hAnsi="仿宋" w:eastAsia="仿宋"/>
          <w:sz w:val="28"/>
          <w:szCs w:val="28"/>
        </w:rPr>
        <w:t>0%）。</w:t>
      </w:r>
    </w:p>
    <w:p w14:paraId="1FB86C88">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三）非外国语专业学生，英语水平等级考试达到国家四级考试水平(成绩≥425)或雅思成绩达到6.0或托福成绩65分及以上（体、音、美、戏剧影视文学专业推免生可不受英语四级水平限制，但不能有英语考试补考记录，且英语成绩排名在本专业前30%）。所修外语为小语种（日语、俄语）的学生，大学日语、大学俄语四级考试成绩为及格或相应等级测试成绩。</w:t>
      </w:r>
    </w:p>
    <w:p w14:paraId="521E21F6">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（四）外国语专业学生，要求外语水平达到全国高校英语（俄语、法语、日语）专业四级水平测试合格及以上等次。</w:t>
      </w:r>
    </w:p>
    <w:p w14:paraId="7062E90D">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五）身心健康，达到全国大学生志愿服务西部计划项目管理办公室关于体检和心理测评的相关文件要求，能胜任西部地区基础教育志愿服务工作，服从全国大学生志愿服务西部计划项目管理办公室对支教地的统筹安排和调剂。</w:t>
      </w:r>
    </w:p>
    <w:p w14:paraId="13015559">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（六）中共党员（含中共预备党员）、师范生、非师范生持有</w:t>
      </w:r>
      <w:r>
        <w:rPr>
          <w:rFonts w:hint="eastAsia" w:ascii="仿宋" w:hAnsi="仿宋" w:eastAsia="仿宋"/>
          <w:sz w:val="28"/>
          <w:szCs w:val="28"/>
          <w:lang w:val="en-US" w:eastAsia="zh-CN"/>
        </w:rPr>
        <w:t>中</w:t>
      </w:r>
    </w:p>
    <w:p w14:paraId="21D0AB97">
      <w:pPr>
        <w:tabs>
          <w:tab w:val="left" w:pos="567"/>
        </w:tabs>
        <w:spacing w:line="560" w:lineRule="exact"/>
        <w:rPr>
          <w:rFonts w:hint="eastAsia" w:ascii="仿宋" w:hAnsi="仿宋" w:eastAsia="仿宋"/>
          <w:sz w:val="28"/>
          <w:szCs w:val="28"/>
          <w:lang w:val="en-US" w:eastAsia="zh-CN"/>
        </w:rPr>
      </w:pPr>
      <w:r>
        <w:rPr>
          <w:rFonts w:hint="eastAsia" w:ascii="仿宋" w:hAnsi="仿宋" w:eastAsia="仿宋"/>
          <w:sz w:val="28"/>
          <w:szCs w:val="28"/>
        </w:rPr>
        <w:t>小学教师资格证者，同等条件下优先考虑。</w:t>
      </w:r>
    </w:p>
    <w:p w14:paraId="6B941E2F">
      <w:pPr>
        <w:tabs>
          <w:tab w:val="left" w:pos="567"/>
        </w:tabs>
        <w:spacing w:line="560" w:lineRule="exact"/>
        <w:jc w:val="center"/>
        <w:rPr>
          <w:rFonts w:ascii="仿宋" w:hAnsi="仿宋" w:eastAsia="仿宋"/>
          <w:b/>
          <w:sz w:val="28"/>
          <w:szCs w:val="28"/>
        </w:rPr>
      </w:pPr>
      <w:r>
        <w:rPr>
          <w:rFonts w:hint="eastAsia" w:ascii="仿宋" w:hAnsi="仿宋" w:eastAsia="仿宋"/>
          <w:b/>
          <w:sz w:val="28"/>
          <w:szCs w:val="28"/>
        </w:rPr>
        <w:t>第三章 工作流程</w:t>
      </w:r>
    </w:p>
    <w:p w14:paraId="5A1C98EB">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（一）学院成立推免生遴选工作小组，确定推荐条件、</w:t>
      </w:r>
      <w:r>
        <w:rPr>
          <w:rFonts w:hint="eastAsia" w:ascii="仿宋" w:hAnsi="仿宋" w:eastAsia="仿宋"/>
          <w:sz w:val="28"/>
          <w:szCs w:val="28"/>
          <w:lang w:val="en-US" w:eastAsia="zh-CN"/>
        </w:rPr>
        <w:t>综合</w:t>
      </w:r>
      <w:r>
        <w:rPr>
          <w:rFonts w:hint="eastAsia" w:ascii="仿宋" w:hAnsi="仿宋" w:eastAsia="仿宋"/>
          <w:sz w:val="28"/>
          <w:szCs w:val="28"/>
        </w:rPr>
        <w:t>排名办法、</w:t>
      </w:r>
      <w:r>
        <w:rPr>
          <w:rFonts w:hint="eastAsia" w:ascii="仿宋" w:hAnsi="仿宋" w:eastAsia="仿宋"/>
          <w:sz w:val="28"/>
          <w:szCs w:val="28"/>
          <w:lang w:val="en-US" w:eastAsia="zh-CN"/>
        </w:rPr>
        <w:t>各专业</w:t>
      </w:r>
      <w:r>
        <w:rPr>
          <w:rFonts w:hint="eastAsia" w:ascii="仿宋" w:hAnsi="仿宋" w:eastAsia="仿宋"/>
          <w:sz w:val="28"/>
          <w:szCs w:val="28"/>
        </w:rPr>
        <w:t>推荐名额</w:t>
      </w:r>
      <w:r>
        <w:rPr>
          <w:rFonts w:hint="eastAsia" w:ascii="仿宋" w:hAnsi="仿宋" w:eastAsia="仿宋"/>
          <w:sz w:val="28"/>
          <w:szCs w:val="28"/>
          <w:lang w:eastAsia="zh-CN"/>
        </w:rPr>
        <w:t>、</w:t>
      </w:r>
      <w:r>
        <w:rPr>
          <w:rFonts w:hint="eastAsia" w:ascii="仿宋" w:hAnsi="仿宋" w:eastAsia="仿宋"/>
          <w:sz w:val="28"/>
          <w:szCs w:val="28"/>
          <w:lang w:val="en-US" w:eastAsia="zh-CN"/>
        </w:rPr>
        <w:t>学院审核流程等，经本单位推免生遴选工作小组讨论通过后，报教务处审核，教务处审核通过后，在本单位网站公示。</w:t>
      </w:r>
    </w:p>
    <w:p w14:paraId="558D021F">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二）具备报名资格的学生自愿到学院指定地点申请报名，填写《河南师范大学推荐优秀应届本科毕业生免试攻读硕士学位研究生资格申请表（普通类推免/硕师计划类推免）》（一式二份，学院留存一份）。未按规定时间填写申请表者视为放弃推免资格。</w:t>
      </w:r>
    </w:p>
    <w:p w14:paraId="19192A38">
      <w:pPr>
        <w:spacing w:line="540" w:lineRule="exact"/>
        <w:ind w:firstLine="560" w:firstLineChars="200"/>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三</w:t>
      </w:r>
      <w:r>
        <w:rPr>
          <w:rFonts w:hint="eastAsia" w:ascii="仿宋" w:hAnsi="仿宋" w:eastAsia="仿宋"/>
          <w:sz w:val="28"/>
          <w:szCs w:val="28"/>
        </w:rPr>
        <w:t>）学</w:t>
      </w:r>
      <w:r>
        <w:rPr>
          <w:rFonts w:hint="eastAsia" w:ascii="仿宋" w:hAnsi="仿宋" w:eastAsia="仿宋"/>
          <w:sz w:val="28"/>
          <w:szCs w:val="28"/>
          <w:lang w:val="en-US" w:eastAsia="zh-CN"/>
        </w:rPr>
        <w:t>院审核汇总公示。在规定时间内，学院根据推荐条件对报名学生进行资格审查。严格审核认定学生的特殊学术专长。</w:t>
      </w:r>
      <w:r>
        <w:rPr>
          <w:rFonts w:hint="eastAsia" w:ascii="仿宋" w:hAnsi="仿宋" w:eastAsia="仿宋"/>
          <w:sz w:val="28"/>
          <w:szCs w:val="28"/>
        </w:rPr>
        <w:t>推免生学术专长原则上仅限学生本科阶段在核心及以上期刊以独立作者或第一作者发表的与学业相关的科研论文；作为主力队员参加与学业相关的国内权威科研竞赛（以中国高等教育学会认定并发布的竞赛名单为准）并获得三等奖以上的奖励（国际赛事参照执行，但不得低于国内赛事相关要求）。学生与直系亲属合作的科研成果、竞赛奖项等不纳入学生本人推免遴选综合评价成绩计算体系。</w:t>
      </w:r>
    </w:p>
    <w:p w14:paraId="05061538">
      <w:pPr>
        <w:spacing w:line="540" w:lineRule="exact"/>
        <w:ind w:firstLine="560" w:firstLineChars="200"/>
        <w:rPr>
          <w:rFonts w:ascii="仿宋" w:hAnsi="仿宋" w:eastAsia="仿宋"/>
          <w:sz w:val="28"/>
          <w:szCs w:val="28"/>
        </w:rPr>
      </w:pPr>
      <w:r>
        <w:rPr>
          <w:rFonts w:hint="eastAsia" w:ascii="仿宋" w:hAnsi="仿宋" w:eastAsia="仿宋"/>
          <w:sz w:val="28"/>
          <w:szCs w:val="28"/>
        </w:rPr>
        <w:t>学院应成立专家审核小组（专家审核小组成员一般不少于5人，具有相关学科副教授及以上职称），严格审核、认定申请学生的特殊学术专长，排除抄袭、造假、冒名及有名无实等情况。</w:t>
      </w:r>
      <w:r>
        <w:rPr>
          <w:rFonts w:hint="eastAsia" w:ascii="仿宋" w:hAnsi="仿宋" w:eastAsia="仿宋"/>
          <w:b/>
          <w:bCs/>
          <w:sz w:val="28"/>
          <w:szCs w:val="28"/>
        </w:rPr>
        <w:t>学生需提供个人学术贡献说明材料，经指导教师签字确认。</w:t>
      </w:r>
      <w:r>
        <w:rPr>
          <w:rFonts w:hint="eastAsia" w:ascii="仿宋" w:hAnsi="仿宋" w:eastAsia="仿宋"/>
          <w:sz w:val="28"/>
          <w:szCs w:val="28"/>
        </w:rPr>
        <w:t>学院（部）专家审核小组对学生提交的科研成果和说明材料进行审核和答辩，重点聚焦创新质量和个人学术贡献。专家审核小组及每位成员都要明确审核鉴定意见并签字存档。答辩全程要录音录像，答辩结果要公开公示。通过审核鉴定或答辩的学生特殊学术专长，须在推免系统和网站上予以公示。未通过答辩或鉴定的，不得纳入学生本人推免遴选综合评价成绩计算体系。</w:t>
      </w:r>
    </w:p>
    <w:p w14:paraId="2BC7CF4B">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对符合条件的学生，学院依据推免工作</w:t>
      </w:r>
      <w:r>
        <w:rPr>
          <w:rFonts w:hint="eastAsia" w:ascii="仿宋" w:hAnsi="仿宋" w:eastAsia="仿宋"/>
          <w:sz w:val="28"/>
          <w:szCs w:val="28"/>
          <w:lang w:val="en-US" w:eastAsia="zh-CN"/>
        </w:rPr>
        <w:t>管理办法</w:t>
      </w:r>
      <w:r>
        <w:rPr>
          <w:rFonts w:hint="eastAsia" w:ascii="仿宋" w:hAnsi="仿宋" w:eastAsia="仿宋"/>
          <w:sz w:val="28"/>
          <w:szCs w:val="28"/>
        </w:rPr>
        <w:t>中规定的综合排名办法进行排序，经学院推免生遴选工作小组评议，按公布指标确定推荐人员名单，并在醒目地点公示，接受师生监督。公示期满按要求报送学校教务处审核。研究生支教团候选人材料报送校团委，具体要求见校团委当年工作通知。</w:t>
      </w:r>
    </w:p>
    <w:p w14:paraId="2DB3E403">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四</w:t>
      </w:r>
      <w:r>
        <w:rPr>
          <w:rFonts w:hint="eastAsia" w:ascii="仿宋" w:hAnsi="仿宋" w:eastAsia="仿宋"/>
          <w:sz w:val="28"/>
          <w:szCs w:val="28"/>
        </w:rPr>
        <w:t>）在部队荣立二等功及以上的退役人员，符合研究生报名条件的，可免试（指初试）攻读硕士研究生。具体情况根据学校相关要求办理。</w:t>
      </w:r>
    </w:p>
    <w:p w14:paraId="1F9F5F7A">
      <w:pPr>
        <w:tabs>
          <w:tab w:val="left" w:pos="567"/>
        </w:tabs>
        <w:spacing w:line="560" w:lineRule="exact"/>
        <w:jc w:val="center"/>
        <w:rPr>
          <w:rFonts w:ascii="仿宋" w:hAnsi="仿宋" w:eastAsia="仿宋"/>
          <w:b/>
          <w:sz w:val="28"/>
          <w:szCs w:val="28"/>
        </w:rPr>
      </w:pPr>
      <w:r>
        <w:rPr>
          <w:rFonts w:hint="eastAsia" w:ascii="仿宋" w:hAnsi="仿宋" w:eastAsia="仿宋"/>
          <w:b/>
          <w:sz w:val="28"/>
          <w:szCs w:val="28"/>
        </w:rPr>
        <w:t>第四章 推免排名分值计量办法</w:t>
      </w:r>
    </w:p>
    <w:p w14:paraId="356E79BC">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学院依据学校推免管理办法规定，结合本院实际情况，制定本院推免</w:t>
      </w:r>
      <w:r>
        <w:rPr>
          <w:rFonts w:hint="eastAsia" w:ascii="仿宋" w:hAnsi="仿宋" w:eastAsia="仿宋"/>
          <w:sz w:val="28"/>
          <w:szCs w:val="28"/>
          <w:lang w:val="en-US" w:eastAsia="zh-CN"/>
        </w:rPr>
        <w:t>综合评价成绩</w:t>
      </w:r>
      <w:r>
        <w:rPr>
          <w:rFonts w:hint="eastAsia" w:ascii="仿宋" w:hAnsi="仿宋" w:eastAsia="仿宋"/>
          <w:sz w:val="28"/>
          <w:szCs w:val="28"/>
        </w:rPr>
        <w:t>计量办法，办法坚持学业为主、综合评价的原则。</w:t>
      </w:r>
      <w:r>
        <w:rPr>
          <w:rFonts w:hint="eastAsia" w:ascii="仿宋" w:hAnsi="仿宋" w:eastAsia="仿宋"/>
          <w:sz w:val="28"/>
          <w:szCs w:val="28"/>
          <w:lang w:val="en-US" w:eastAsia="zh-CN"/>
        </w:rPr>
        <w:t>综合评价成绩分值由</w:t>
      </w:r>
      <w:r>
        <w:rPr>
          <w:rFonts w:hint="eastAsia" w:ascii="仿宋" w:hAnsi="仿宋" w:eastAsia="仿宋"/>
          <w:sz w:val="28"/>
          <w:szCs w:val="28"/>
        </w:rPr>
        <w:t>学业</w:t>
      </w:r>
      <w:r>
        <w:rPr>
          <w:rFonts w:hint="eastAsia" w:ascii="仿宋" w:hAnsi="仿宋" w:eastAsia="仿宋"/>
          <w:sz w:val="28"/>
          <w:szCs w:val="28"/>
          <w:lang w:val="en-US" w:eastAsia="zh-CN"/>
        </w:rPr>
        <w:t>综合</w:t>
      </w:r>
      <w:r>
        <w:rPr>
          <w:rFonts w:hint="eastAsia" w:ascii="仿宋" w:hAnsi="仿宋" w:eastAsia="仿宋"/>
          <w:sz w:val="28"/>
          <w:szCs w:val="28"/>
        </w:rPr>
        <w:t>成绩</w:t>
      </w:r>
      <w:r>
        <w:rPr>
          <w:rFonts w:hint="eastAsia" w:ascii="仿宋" w:hAnsi="仿宋" w:eastAsia="仿宋"/>
          <w:sz w:val="28"/>
          <w:szCs w:val="28"/>
          <w:lang w:val="en-US" w:eastAsia="zh-CN"/>
        </w:rPr>
        <w:t>和素质类</w:t>
      </w:r>
      <w:r>
        <w:rPr>
          <w:rFonts w:hint="eastAsia" w:ascii="仿宋" w:hAnsi="仿宋" w:eastAsia="仿宋"/>
          <w:sz w:val="28"/>
          <w:szCs w:val="28"/>
        </w:rPr>
        <w:t>综合成绩共同确定。学院分专业、分类别、分别计分排名。按照</w:t>
      </w:r>
      <w:r>
        <w:rPr>
          <w:rFonts w:hint="eastAsia" w:ascii="仿宋" w:hAnsi="仿宋" w:eastAsia="仿宋"/>
          <w:sz w:val="28"/>
          <w:szCs w:val="28"/>
          <w:lang w:val="en-US" w:eastAsia="zh-CN"/>
        </w:rPr>
        <w:t>分值</w:t>
      </w:r>
      <w:r>
        <w:rPr>
          <w:rFonts w:hint="eastAsia" w:ascii="仿宋" w:hAnsi="仿宋" w:eastAsia="仿宋"/>
          <w:sz w:val="28"/>
          <w:szCs w:val="28"/>
        </w:rPr>
        <w:t>排名顺序予以推荐，同等条件下，学业</w:t>
      </w:r>
      <w:r>
        <w:rPr>
          <w:rFonts w:hint="eastAsia" w:ascii="仿宋" w:hAnsi="仿宋" w:eastAsia="仿宋"/>
          <w:sz w:val="28"/>
          <w:szCs w:val="28"/>
          <w:lang w:val="en-US" w:eastAsia="zh-CN"/>
        </w:rPr>
        <w:t>综合</w:t>
      </w:r>
      <w:r>
        <w:rPr>
          <w:rFonts w:hint="eastAsia" w:ascii="仿宋" w:hAnsi="仿宋" w:eastAsia="仿宋"/>
          <w:sz w:val="28"/>
          <w:szCs w:val="28"/>
        </w:rPr>
        <w:t>成绩在前者优先。推免排名分值计量办法</w:t>
      </w:r>
      <w:r>
        <w:rPr>
          <w:rFonts w:hint="eastAsia" w:ascii="仿宋" w:hAnsi="仿宋" w:eastAsia="仿宋"/>
          <w:sz w:val="28"/>
          <w:szCs w:val="28"/>
          <w:lang w:val="en-US" w:eastAsia="zh-CN"/>
        </w:rPr>
        <w:t>如下：</w:t>
      </w:r>
    </w:p>
    <w:p w14:paraId="766BB6A3">
      <w:pPr>
        <w:pStyle w:val="16"/>
        <w:ind w:left="1280" w:firstLine="900" w:firstLineChars="300"/>
        <w:rPr>
          <w:rFonts w:hint="eastAsia"/>
          <w:sz w:val="30"/>
          <w:szCs w:val="30"/>
        </w:rPr>
      </w:pPr>
    </w:p>
    <w:p w14:paraId="55D68CD9">
      <w:pPr>
        <w:pStyle w:val="16"/>
        <w:ind w:left="1280" w:firstLine="900" w:firstLineChars="300"/>
        <w:rPr>
          <w:rFonts w:hint="eastAsia"/>
          <w:sz w:val="30"/>
          <w:szCs w:val="30"/>
        </w:rPr>
      </w:pPr>
    </w:p>
    <w:p w14:paraId="509091E7">
      <w:pPr>
        <w:pStyle w:val="16"/>
        <w:ind w:left="1280" w:firstLine="900" w:firstLineChars="300"/>
        <w:rPr>
          <w:rFonts w:hint="eastAsia"/>
          <w:sz w:val="30"/>
          <w:szCs w:val="30"/>
        </w:rPr>
      </w:pPr>
    </w:p>
    <w:p w14:paraId="3E291136">
      <w:pPr>
        <w:pStyle w:val="16"/>
        <w:ind w:left="1280" w:firstLine="900" w:firstLineChars="300"/>
        <w:rPr>
          <w:sz w:val="30"/>
          <w:szCs w:val="30"/>
        </w:rPr>
      </w:pPr>
      <w:r>
        <w:rPr>
          <w:rFonts w:hint="eastAsia"/>
          <w:sz w:val="30"/>
          <w:szCs w:val="30"/>
        </w:rPr>
        <w:t>推免遴选综合评价成绩构成表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2005"/>
        <w:gridCol w:w="1929"/>
        <w:gridCol w:w="1822"/>
        <w:gridCol w:w="779"/>
        <w:gridCol w:w="1177"/>
      </w:tblGrid>
      <w:tr w14:paraId="367D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Merge w:val="restart"/>
            <w:vAlign w:val="center"/>
          </w:tcPr>
          <w:p w14:paraId="1E95C81B">
            <w:pPr>
              <w:jc w:val="center"/>
            </w:pPr>
            <w:r>
              <w:rPr>
                <w:rFonts w:hint="eastAsia"/>
              </w:rPr>
              <w:t>综合评价成绩</w:t>
            </w:r>
          </w:p>
        </w:tc>
        <w:tc>
          <w:tcPr>
            <w:tcW w:w="5756" w:type="dxa"/>
            <w:gridSpan w:val="3"/>
          </w:tcPr>
          <w:p w14:paraId="4F59304F">
            <w:pPr>
              <w:jc w:val="center"/>
              <w:rPr>
                <w:rFonts w:ascii="黑体" w:hAnsi="黑体" w:eastAsia="黑体"/>
                <w:sz w:val="24"/>
              </w:rPr>
            </w:pPr>
            <w:r>
              <w:rPr>
                <w:rFonts w:hint="eastAsia" w:ascii="黑体" w:hAnsi="黑体" w:eastAsia="黑体"/>
                <w:sz w:val="24"/>
              </w:rPr>
              <w:t>类别</w:t>
            </w:r>
          </w:p>
        </w:tc>
        <w:tc>
          <w:tcPr>
            <w:tcW w:w="779" w:type="dxa"/>
          </w:tcPr>
          <w:p w14:paraId="4A44932D">
            <w:pPr>
              <w:rPr>
                <w:rFonts w:ascii="黑体" w:hAnsi="黑体" w:eastAsia="黑体"/>
                <w:sz w:val="24"/>
              </w:rPr>
            </w:pPr>
            <w:r>
              <w:rPr>
                <w:rFonts w:hint="eastAsia" w:ascii="黑体" w:hAnsi="黑体" w:eastAsia="黑体"/>
                <w:sz w:val="24"/>
              </w:rPr>
              <w:t>占比</w:t>
            </w:r>
          </w:p>
        </w:tc>
        <w:tc>
          <w:tcPr>
            <w:tcW w:w="1177" w:type="dxa"/>
          </w:tcPr>
          <w:p w14:paraId="2ED4C4BB">
            <w:pPr>
              <w:rPr>
                <w:rFonts w:ascii="黑体" w:hAnsi="黑体" w:eastAsia="黑体"/>
                <w:sz w:val="24"/>
              </w:rPr>
            </w:pPr>
            <w:r>
              <w:rPr>
                <w:rFonts w:hint="eastAsia" w:ascii="黑体" w:hAnsi="黑体" w:eastAsia="黑体"/>
                <w:sz w:val="24"/>
              </w:rPr>
              <w:t>占比合计</w:t>
            </w:r>
          </w:p>
        </w:tc>
      </w:tr>
      <w:tr w14:paraId="32A6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Merge w:val="continue"/>
          </w:tcPr>
          <w:p w14:paraId="39A9A8AC"/>
        </w:tc>
        <w:tc>
          <w:tcPr>
            <w:tcW w:w="2005" w:type="dxa"/>
          </w:tcPr>
          <w:p w14:paraId="2621609F">
            <w:pPr>
              <w:jc w:val="center"/>
            </w:pPr>
            <w:r>
              <w:rPr>
                <w:rFonts w:hint="eastAsia"/>
              </w:rPr>
              <w:t>学业综合成绩</w:t>
            </w:r>
          </w:p>
          <w:p w14:paraId="33299268">
            <w:pPr>
              <w:jc w:val="center"/>
            </w:pPr>
            <w:r>
              <w:rPr>
                <w:rFonts w:hint="eastAsia"/>
              </w:rPr>
              <w:t>（不低于</w:t>
            </w:r>
            <w:r>
              <w:rPr>
                <w:rFonts w:hint="eastAsia"/>
                <w:lang w:val="en-US" w:eastAsia="zh-CN"/>
              </w:rPr>
              <w:t>9</w:t>
            </w:r>
            <w:r>
              <w:rPr>
                <w:rFonts w:hint="eastAsia"/>
              </w:rPr>
              <w:t>0%）</w:t>
            </w:r>
          </w:p>
        </w:tc>
        <w:tc>
          <w:tcPr>
            <w:tcW w:w="1929" w:type="dxa"/>
            <w:vAlign w:val="center"/>
          </w:tcPr>
          <w:p w14:paraId="549F7987">
            <w:pPr>
              <w:jc w:val="center"/>
            </w:pPr>
            <w:r>
              <w:rPr>
                <w:rFonts w:hint="eastAsia"/>
              </w:rPr>
              <w:t>---</w:t>
            </w:r>
          </w:p>
        </w:tc>
        <w:tc>
          <w:tcPr>
            <w:tcW w:w="1822" w:type="dxa"/>
            <w:vAlign w:val="center"/>
          </w:tcPr>
          <w:p w14:paraId="66C0BF0A">
            <w:pPr>
              <w:jc w:val="center"/>
            </w:pPr>
            <w:r>
              <w:rPr>
                <w:rFonts w:hint="eastAsia"/>
              </w:rPr>
              <w:t>---</w:t>
            </w:r>
          </w:p>
        </w:tc>
        <w:tc>
          <w:tcPr>
            <w:tcW w:w="779" w:type="dxa"/>
            <w:vAlign w:val="center"/>
          </w:tcPr>
          <w:p w14:paraId="10146741">
            <w:pPr>
              <w:jc w:val="center"/>
            </w:pPr>
            <w:r>
              <w:rPr>
                <w:rFonts w:hint="eastAsia"/>
                <w:lang w:val="en-US" w:eastAsia="zh-CN"/>
              </w:rPr>
              <w:t>9</w:t>
            </w:r>
            <w:r>
              <w:t>0%</w:t>
            </w:r>
          </w:p>
        </w:tc>
        <w:tc>
          <w:tcPr>
            <w:tcW w:w="1177" w:type="dxa"/>
            <w:vAlign w:val="center"/>
          </w:tcPr>
          <w:p w14:paraId="1094519E">
            <w:pPr>
              <w:jc w:val="center"/>
            </w:pPr>
            <w:r>
              <w:rPr>
                <w:rFonts w:hint="eastAsia"/>
                <w:lang w:val="en-US" w:eastAsia="zh-CN"/>
              </w:rPr>
              <w:t>9</w:t>
            </w:r>
            <w:r>
              <w:t>0%</w:t>
            </w:r>
          </w:p>
        </w:tc>
      </w:tr>
      <w:tr w14:paraId="6613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10" w:type="dxa"/>
            <w:vMerge w:val="continue"/>
          </w:tcPr>
          <w:p w14:paraId="7FAD7334"/>
        </w:tc>
        <w:tc>
          <w:tcPr>
            <w:tcW w:w="2005" w:type="dxa"/>
            <w:vMerge w:val="restart"/>
            <w:vAlign w:val="center"/>
          </w:tcPr>
          <w:p w14:paraId="3092D925">
            <w:pPr>
              <w:jc w:val="center"/>
            </w:pPr>
            <w:r>
              <w:rPr>
                <w:rFonts w:hint="eastAsia"/>
              </w:rPr>
              <w:t>素质类综合成绩</w:t>
            </w:r>
          </w:p>
          <w:p w14:paraId="346821F1">
            <w:pPr>
              <w:jc w:val="center"/>
            </w:pPr>
            <w:r>
              <w:rPr>
                <w:rFonts w:hint="eastAsia"/>
              </w:rPr>
              <w:t>（不高于</w:t>
            </w:r>
            <w:r>
              <w:rPr>
                <w:rFonts w:hint="eastAsia"/>
                <w:lang w:val="en-US" w:eastAsia="zh-CN"/>
              </w:rPr>
              <w:t>1</w:t>
            </w:r>
            <w:r>
              <w:rPr>
                <w:rFonts w:hint="eastAsia"/>
              </w:rPr>
              <w:t>0%）</w:t>
            </w:r>
          </w:p>
        </w:tc>
        <w:tc>
          <w:tcPr>
            <w:tcW w:w="1929" w:type="dxa"/>
            <w:vMerge w:val="restart"/>
            <w:vAlign w:val="center"/>
          </w:tcPr>
          <w:p w14:paraId="5F537B03">
            <w:pPr>
              <w:jc w:val="center"/>
            </w:pPr>
            <w:r>
              <w:rPr>
                <w:rFonts w:hint="eastAsia"/>
              </w:rPr>
              <w:t>参军入伍服兵役、参加志愿服务、到国际组织实习、科研成果、竞赛获奖</w:t>
            </w:r>
          </w:p>
        </w:tc>
        <w:tc>
          <w:tcPr>
            <w:tcW w:w="1822" w:type="dxa"/>
          </w:tcPr>
          <w:p w14:paraId="57A36619">
            <w:pPr>
              <w:jc w:val="center"/>
              <w:rPr>
                <w:highlight w:val="yellow"/>
              </w:rPr>
            </w:pPr>
            <w:r>
              <w:rPr>
                <w:rFonts w:hint="eastAsia"/>
              </w:rPr>
              <w:t>参军入伍服兵役</w:t>
            </w:r>
          </w:p>
        </w:tc>
        <w:tc>
          <w:tcPr>
            <w:tcW w:w="779" w:type="dxa"/>
          </w:tcPr>
          <w:p w14:paraId="68FD108F">
            <w:pPr>
              <w:jc w:val="center"/>
              <w:rPr>
                <w:rFonts w:hint="default" w:eastAsia="宋体"/>
                <w:lang w:val="en-US" w:eastAsia="zh-CN"/>
              </w:rPr>
            </w:pPr>
            <w:r>
              <w:rPr>
                <w:rFonts w:hint="eastAsia"/>
                <w:lang w:val="en-US" w:eastAsia="zh-CN"/>
              </w:rPr>
              <w:t>2%</w:t>
            </w:r>
          </w:p>
        </w:tc>
        <w:tc>
          <w:tcPr>
            <w:tcW w:w="1177" w:type="dxa"/>
            <w:vMerge w:val="restart"/>
          </w:tcPr>
          <w:p w14:paraId="15E5265A">
            <w:pPr>
              <w:jc w:val="center"/>
              <w:rPr>
                <w:highlight w:val="yellow"/>
              </w:rPr>
            </w:pPr>
          </w:p>
          <w:p w14:paraId="32AB7FD6">
            <w:pPr>
              <w:jc w:val="center"/>
              <w:rPr>
                <w:highlight w:val="yellow"/>
              </w:rPr>
            </w:pPr>
          </w:p>
          <w:p w14:paraId="34C47EAD">
            <w:pPr>
              <w:jc w:val="center"/>
              <w:rPr>
                <w:rFonts w:hint="default" w:eastAsia="宋体"/>
                <w:highlight w:val="yellow"/>
                <w:lang w:val="en-US" w:eastAsia="zh-CN"/>
              </w:rPr>
            </w:pPr>
            <w:r>
              <w:rPr>
                <w:rFonts w:hint="eastAsia"/>
                <w:highlight w:val="none"/>
                <w:lang w:val="en-US" w:eastAsia="zh-CN"/>
              </w:rPr>
              <w:t>10%</w:t>
            </w:r>
          </w:p>
        </w:tc>
      </w:tr>
      <w:tr w14:paraId="177B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10" w:type="dxa"/>
            <w:vMerge w:val="continue"/>
          </w:tcPr>
          <w:p w14:paraId="6357A8E0">
            <w:pPr>
              <w:jc w:val="center"/>
            </w:pPr>
          </w:p>
        </w:tc>
        <w:tc>
          <w:tcPr>
            <w:tcW w:w="2005" w:type="dxa"/>
            <w:vMerge w:val="continue"/>
            <w:vAlign w:val="center"/>
          </w:tcPr>
          <w:p w14:paraId="6FD9751A">
            <w:pPr>
              <w:jc w:val="center"/>
            </w:pPr>
          </w:p>
        </w:tc>
        <w:tc>
          <w:tcPr>
            <w:tcW w:w="1929" w:type="dxa"/>
            <w:vMerge w:val="continue"/>
            <w:vAlign w:val="center"/>
          </w:tcPr>
          <w:p w14:paraId="21BB5C1C">
            <w:pPr>
              <w:jc w:val="center"/>
            </w:pPr>
          </w:p>
        </w:tc>
        <w:tc>
          <w:tcPr>
            <w:tcW w:w="1822" w:type="dxa"/>
          </w:tcPr>
          <w:p w14:paraId="5C4637D2">
            <w:pPr>
              <w:jc w:val="center"/>
            </w:pPr>
            <w:r>
              <w:rPr>
                <w:rFonts w:hint="eastAsia"/>
              </w:rPr>
              <w:t>参加志愿服务</w:t>
            </w:r>
          </w:p>
        </w:tc>
        <w:tc>
          <w:tcPr>
            <w:tcW w:w="779" w:type="dxa"/>
          </w:tcPr>
          <w:p w14:paraId="1B5F04FF">
            <w:pPr>
              <w:jc w:val="center"/>
              <w:rPr>
                <w:rFonts w:hint="default" w:eastAsia="宋体"/>
                <w:lang w:val="en-US" w:eastAsia="zh-CN"/>
              </w:rPr>
            </w:pPr>
            <w:r>
              <w:rPr>
                <w:rFonts w:hint="eastAsia"/>
                <w:lang w:val="en-US" w:eastAsia="zh-CN"/>
              </w:rPr>
              <w:t>1%</w:t>
            </w:r>
          </w:p>
        </w:tc>
        <w:tc>
          <w:tcPr>
            <w:tcW w:w="1177" w:type="dxa"/>
            <w:vMerge w:val="continue"/>
          </w:tcPr>
          <w:p w14:paraId="70AC16CF">
            <w:pPr>
              <w:jc w:val="center"/>
            </w:pPr>
          </w:p>
        </w:tc>
      </w:tr>
      <w:tr w14:paraId="0274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10" w:type="dxa"/>
            <w:vMerge w:val="continue"/>
          </w:tcPr>
          <w:p w14:paraId="61129F7A">
            <w:pPr>
              <w:jc w:val="center"/>
            </w:pPr>
          </w:p>
        </w:tc>
        <w:tc>
          <w:tcPr>
            <w:tcW w:w="2005" w:type="dxa"/>
            <w:vMerge w:val="continue"/>
            <w:vAlign w:val="center"/>
          </w:tcPr>
          <w:p w14:paraId="132BA2BE">
            <w:pPr>
              <w:jc w:val="center"/>
            </w:pPr>
          </w:p>
        </w:tc>
        <w:tc>
          <w:tcPr>
            <w:tcW w:w="1929" w:type="dxa"/>
            <w:vMerge w:val="continue"/>
            <w:vAlign w:val="center"/>
          </w:tcPr>
          <w:p w14:paraId="4E507D5F">
            <w:pPr>
              <w:jc w:val="center"/>
            </w:pPr>
          </w:p>
        </w:tc>
        <w:tc>
          <w:tcPr>
            <w:tcW w:w="1822" w:type="dxa"/>
          </w:tcPr>
          <w:p w14:paraId="08322C3D">
            <w:pPr>
              <w:jc w:val="center"/>
            </w:pPr>
            <w:r>
              <w:rPr>
                <w:rFonts w:hint="eastAsia"/>
              </w:rPr>
              <w:t>到国际组织实习</w:t>
            </w:r>
          </w:p>
        </w:tc>
        <w:tc>
          <w:tcPr>
            <w:tcW w:w="779" w:type="dxa"/>
          </w:tcPr>
          <w:p w14:paraId="7FB0B4B2">
            <w:pPr>
              <w:jc w:val="center"/>
              <w:rPr>
                <w:rFonts w:hint="default" w:eastAsia="宋体"/>
                <w:lang w:val="en-US" w:eastAsia="zh-CN"/>
              </w:rPr>
            </w:pPr>
            <w:r>
              <w:rPr>
                <w:rFonts w:hint="eastAsia"/>
                <w:lang w:val="en-US" w:eastAsia="zh-CN"/>
              </w:rPr>
              <w:t>1%</w:t>
            </w:r>
          </w:p>
        </w:tc>
        <w:tc>
          <w:tcPr>
            <w:tcW w:w="1177" w:type="dxa"/>
            <w:vMerge w:val="continue"/>
          </w:tcPr>
          <w:p w14:paraId="2E8DFB32">
            <w:pPr>
              <w:jc w:val="center"/>
            </w:pPr>
          </w:p>
        </w:tc>
      </w:tr>
      <w:tr w14:paraId="5F96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10" w:type="dxa"/>
            <w:vMerge w:val="continue"/>
          </w:tcPr>
          <w:p w14:paraId="5239E67C">
            <w:pPr>
              <w:jc w:val="center"/>
            </w:pPr>
          </w:p>
        </w:tc>
        <w:tc>
          <w:tcPr>
            <w:tcW w:w="2005" w:type="dxa"/>
            <w:vMerge w:val="continue"/>
            <w:vAlign w:val="center"/>
          </w:tcPr>
          <w:p w14:paraId="525A7D41">
            <w:pPr>
              <w:jc w:val="center"/>
            </w:pPr>
          </w:p>
        </w:tc>
        <w:tc>
          <w:tcPr>
            <w:tcW w:w="1929" w:type="dxa"/>
            <w:vMerge w:val="continue"/>
            <w:vAlign w:val="center"/>
          </w:tcPr>
          <w:p w14:paraId="37301CFF">
            <w:pPr>
              <w:jc w:val="center"/>
            </w:pPr>
          </w:p>
        </w:tc>
        <w:tc>
          <w:tcPr>
            <w:tcW w:w="1822" w:type="dxa"/>
          </w:tcPr>
          <w:p w14:paraId="189F4F03">
            <w:pPr>
              <w:jc w:val="center"/>
            </w:pPr>
            <w:r>
              <w:rPr>
                <w:rFonts w:hint="eastAsia"/>
              </w:rPr>
              <w:t>科研成果</w:t>
            </w:r>
          </w:p>
        </w:tc>
        <w:tc>
          <w:tcPr>
            <w:tcW w:w="779" w:type="dxa"/>
          </w:tcPr>
          <w:p w14:paraId="3D22A3B4">
            <w:pPr>
              <w:jc w:val="center"/>
              <w:rPr>
                <w:rFonts w:hint="default" w:eastAsia="宋体"/>
                <w:lang w:val="en-US" w:eastAsia="zh-CN"/>
              </w:rPr>
            </w:pPr>
            <w:r>
              <w:rPr>
                <w:rFonts w:hint="eastAsia"/>
                <w:lang w:val="en-US" w:eastAsia="zh-CN"/>
              </w:rPr>
              <w:t>3%</w:t>
            </w:r>
          </w:p>
        </w:tc>
        <w:tc>
          <w:tcPr>
            <w:tcW w:w="1177" w:type="dxa"/>
            <w:vMerge w:val="continue"/>
          </w:tcPr>
          <w:p w14:paraId="174CBF8A">
            <w:pPr>
              <w:jc w:val="center"/>
            </w:pPr>
          </w:p>
        </w:tc>
      </w:tr>
      <w:tr w14:paraId="5174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10" w:type="dxa"/>
            <w:vMerge w:val="continue"/>
          </w:tcPr>
          <w:p w14:paraId="49EA732C">
            <w:pPr>
              <w:jc w:val="center"/>
            </w:pPr>
          </w:p>
        </w:tc>
        <w:tc>
          <w:tcPr>
            <w:tcW w:w="2005" w:type="dxa"/>
            <w:vMerge w:val="continue"/>
            <w:vAlign w:val="center"/>
          </w:tcPr>
          <w:p w14:paraId="16AFAE7B">
            <w:pPr>
              <w:jc w:val="center"/>
            </w:pPr>
          </w:p>
        </w:tc>
        <w:tc>
          <w:tcPr>
            <w:tcW w:w="1929" w:type="dxa"/>
            <w:vMerge w:val="continue"/>
            <w:vAlign w:val="center"/>
          </w:tcPr>
          <w:p w14:paraId="42AA3FC4">
            <w:pPr>
              <w:jc w:val="center"/>
            </w:pPr>
          </w:p>
        </w:tc>
        <w:tc>
          <w:tcPr>
            <w:tcW w:w="1822" w:type="dxa"/>
          </w:tcPr>
          <w:p w14:paraId="28F44A90">
            <w:pPr>
              <w:jc w:val="center"/>
            </w:pPr>
            <w:r>
              <w:rPr>
                <w:rFonts w:hint="eastAsia"/>
              </w:rPr>
              <w:t>竞赛获奖</w:t>
            </w:r>
          </w:p>
        </w:tc>
        <w:tc>
          <w:tcPr>
            <w:tcW w:w="779" w:type="dxa"/>
          </w:tcPr>
          <w:p w14:paraId="698DF38F">
            <w:pPr>
              <w:jc w:val="center"/>
              <w:rPr>
                <w:rFonts w:hint="default" w:eastAsia="宋体"/>
                <w:lang w:val="en-US" w:eastAsia="zh-CN"/>
              </w:rPr>
            </w:pPr>
            <w:r>
              <w:rPr>
                <w:rFonts w:hint="eastAsia"/>
                <w:lang w:val="en-US" w:eastAsia="zh-CN"/>
              </w:rPr>
              <w:t>3%</w:t>
            </w:r>
          </w:p>
        </w:tc>
        <w:tc>
          <w:tcPr>
            <w:tcW w:w="1177" w:type="dxa"/>
            <w:vMerge w:val="continue"/>
          </w:tcPr>
          <w:p w14:paraId="0C11859A">
            <w:pPr>
              <w:jc w:val="center"/>
            </w:pPr>
          </w:p>
        </w:tc>
      </w:tr>
      <w:tr w14:paraId="1BF9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6" w:type="dxa"/>
            <w:gridSpan w:val="4"/>
          </w:tcPr>
          <w:p w14:paraId="423E3B45">
            <w:pPr>
              <w:jc w:val="center"/>
            </w:pPr>
            <w:r>
              <w:rPr>
                <w:rFonts w:hint="eastAsia"/>
              </w:rPr>
              <w:t>合计</w:t>
            </w:r>
          </w:p>
        </w:tc>
        <w:tc>
          <w:tcPr>
            <w:tcW w:w="779" w:type="dxa"/>
          </w:tcPr>
          <w:p w14:paraId="1FFA99F7">
            <w:pPr>
              <w:jc w:val="center"/>
            </w:pPr>
            <w:r>
              <w:rPr>
                <w:rFonts w:hint="eastAsia"/>
              </w:rPr>
              <w:t>100%</w:t>
            </w:r>
          </w:p>
        </w:tc>
        <w:tc>
          <w:tcPr>
            <w:tcW w:w="1177" w:type="dxa"/>
          </w:tcPr>
          <w:p w14:paraId="535F1E77">
            <w:pPr>
              <w:jc w:val="center"/>
            </w:pPr>
            <w:r>
              <w:rPr>
                <w:rFonts w:hint="eastAsia"/>
              </w:rPr>
              <w:t>100%</w:t>
            </w:r>
          </w:p>
        </w:tc>
      </w:tr>
    </w:tbl>
    <w:p w14:paraId="69676B6C">
      <w:pPr>
        <w:tabs>
          <w:tab w:val="left" w:pos="567"/>
        </w:tabs>
        <w:spacing w:line="560" w:lineRule="exact"/>
        <w:ind w:firstLine="562" w:firstLineChars="200"/>
        <w:jc w:val="left"/>
        <w:rPr>
          <w:rFonts w:ascii="仿宋" w:hAnsi="仿宋" w:eastAsia="仿宋"/>
          <w:b/>
          <w:bCs/>
          <w:sz w:val="28"/>
          <w:szCs w:val="28"/>
        </w:rPr>
      </w:pPr>
      <w:r>
        <w:rPr>
          <w:rFonts w:hint="eastAsia" w:ascii="仿宋" w:hAnsi="仿宋" w:eastAsia="仿宋"/>
          <w:b/>
          <w:bCs/>
          <w:sz w:val="28"/>
          <w:szCs w:val="28"/>
        </w:rPr>
        <w:t>综合评价成绩（满分100分）=学业综合成绩+素质类综合成绩</w:t>
      </w:r>
    </w:p>
    <w:p w14:paraId="68C6DE21">
      <w:pPr>
        <w:tabs>
          <w:tab w:val="left" w:pos="567"/>
        </w:tabs>
        <w:spacing w:line="560" w:lineRule="exact"/>
        <w:ind w:firstLine="560" w:firstLineChars="200"/>
        <w:jc w:val="left"/>
        <w:rPr>
          <w:rFonts w:ascii="仿宋" w:hAnsi="仿宋" w:eastAsia="仿宋"/>
          <w:sz w:val="28"/>
          <w:szCs w:val="28"/>
        </w:rPr>
      </w:pPr>
      <w:r>
        <w:rPr>
          <w:rFonts w:hint="eastAsia" w:ascii="仿宋" w:hAnsi="仿宋" w:eastAsia="仿宋"/>
          <w:sz w:val="28"/>
          <w:szCs w:val="28"/>
        </w:rPr>
        <w:t>（一）学业综合成绩</w:t>
      </w:r>
      <w:bookmarkStart w:id="1" w:name="_Hlk146104389"/>
      <w:r>
        <w:rPr>
          <w:rFonts w:hint="eastAsia" w:ascii="仿宋" w:hAnsi="仿宋" w:eastAsia="仿宋"/>
          <w:sz w:val="28"/>
          <w:szCs w:val="28"/>
        </w:rPr>
        <w:t>（满分</w:t>
      </w:r>
      <w:r>
        <w:rPr>
          <w:rFonts w:hint="eastAsia" w:ascii="仿宋" w:hAnsi="仿宋" w:eastAsia="仿宋"/>
          <w:sz w:val="28"/>
          <w:szCs w:val="28"/>
          <w:lang w:val="en-US" w:eastAsia="zh-CN"/>
        </w:rPr>
        <w:t>9</w:t>
      </w:r>
      <w:r>
        <w:rPr>
          <w:rFonts w:ascii="仿宋" w:hAnsi="仿宋" w:eastAsia="仿宋"/>
          <w:sz w:val="28"/>
          <w:szCs w:val="28"/>
        </w:rPr>
        <w:t>0</w:t>
      </w:r>
      <w:r>
        <w:rPr>
          <w:rFonts w:hint="eastAsia" w:ascii="仿宋" w:hAnsi="仿宋" w:eastAsia="仿宋"/>
          <w:sz w:val="28"/>
          <w:szCs w:val="28"/>
        </w:rPr>
        <w:t>分，占综合评价成绩的</w:t>
      </w:r>
      <w:r>
        <w:rPr>
          <w:rFonts w:hint="eastAsia" w:ascii="仿宋" w:hAnsi="仿宋" w:eastAsia="仿宋"/>
          <w:sz w:val="28"/>
          <w:szCs w:val="28"/>
          <w:lang w:val="en-US" w:eastAsia="zh-CN"/>
        </w:rPr>
        <w:t>9</w:t>
      </w:r>
      <w:r>
        <w:rPr>
          <w:rFonts w:ascii="仿宋" w:hAnsi="仿宋" w:eastAsia="仿宋"/>
          <w:sz w:val="28"/>
          <w:szCs w:val="28"/>
        </w:rPr>
        <w:t>0</w:t>
      </w:r>
      <w:r>
        <w:rPr>
          <w:rFonts w:hint="eastAsia" w:ascii="仿宋" w:hAnsi="仿宋" w:eastAsia="仿宋"/>
          <w:sz w:val="28"/>
          <w:szCs w:val="28"/>
        </w:rPr>
        <w:t>%）</w:t>
      </w:r>
      <w:bookmarkEnd w:id="1"/>
    </w:p>
    <w:p w14:paraId="1DE78C76">
      <w:pPr>
        <w:tabs>
          <w:tab w:val="left" w:pos="567"/>
        </w:tabs>
        <w:spacing w:line="560" w:lineRule="exact"/>
        <w:ind w:firstLine="560" w:firstLineChars="200"/>
        <w:jc w:val="left"/>
        <w:rPr>
          <w:rFonts w:hint="default" w:ascii="仿宋" w:hAnsi="仿宋" w:eastAsia="仿宋"/>
          <w:sz w:val="28"/>
          <w:szCs w:val="28"/>
        </w:rPr>
      </w:pPr>
      <w:r>
        <w:rPr>
          <w:rFonts w:hint="eastAsia" w:ascii="仿宋" w:hAnsi="仿宋" w:eastAsia="仿宋"/>
          <w:sz w:val="28"/>
          <w:szCs w:val="28"/>
        </w:rPr>
        <w:t>学业综合成绩使用本专业培养方案规定的前三学年必修课程平均加权学分成绩，计算公式为</w:t>
      </w:r>
      <w:r>
        <w:rPr>
          <w:rFonts w:hint="default" w:ascii="仿宋" w:hAnsi="仿宋" w:eastAsia="仿宋"/>
          <w:sz w:val="28"/>
          <w:szCs w:val="28"/>
        </w:rPr>
        <w:t>:</w:t>
      </w:r>
      <m:oMath>
        <m:nary>
          <m:naryPr>
            <m:chr m:val="∑"/>
            <m:limLoc m:val="subSup"/>
            <m:supHide m:val="1"/>
            <m:ctrlPr>
              <w:rPr>
                <w:rFonts w:hint="eastAsia" w:ascii="Cambria Math" w:hAnsi="Cambria Math" w:eastAsia="仿宋"/>
                <w:sz w:val="28"/>
                <w:szCs w:val="28"/>
              </w:rPr>
            </m:ctrlPr>
          </m:naryPr>
          <m:sub>
            <m:r>
              <m:rPr>
                <m:sty m:val="p"/>
              </m:rPr>
              <w:rPr>
                <w:rFonts w:hint="default" w:ascii="Cambria Math" w:hAnsi="Cambria Math" w:eastAsia="仿宋"/>
                <w:sz w:val="28"/>
                <w:szCs w:val="28"/>
              </w:rPr>
              <m:t>i</m:t>
            </m:r>
            <m:ctrlPr>
              <w:rPr>
                <w:rFonts w:hint="eastAsia" w:ascii="Cambria Math" w:hAnsi="Cambria Math" w:eastAsia="仿宋"/>
                <w:sz w:val="28"/>
                <w:szCs w:val="28"/>
              </w:rPr>
            </m:ctrlPr>
          </m:sub>
          <m:sup>
            <m:ctrlPr>
              <w:rPr>
                <w:rFonts w:hint="eastAsia" w:ascii="Cambria Math" w:hAnsi="Cambria Math" w:eastAsia="仿宋"/>
                <w:sz w:val="28"/>
                <w:szCs w:val="28"/>
              </w:rPr>
            </m:ctrlPr>
          </m:sup>
          <m:e>
            <m:r>
              <m:rPr>
                <m:sty m:val="p"/>
              </m:rPr>
              <w:rPr>
                <w:rFonts w:hint="default" w:ascii="Cambria Math" w:hAnsi="Cambria Math" w:eastAsia="仿宋"/>
                <w:sz w:val="28"/>
                <w:szCs w:val="28"/>
              </w:rPr>
              <m:t>课程成绩i∗学分i</m:t>
            </m:r>
            <m:ctrlPr>
              <w:rPr>
                <w:rFonts w:hint="eastAsia" w:ascii="Cambria Math" w:hAnsi="Cambria Math" w:eastAsia="仿宋"/>
                <w:sz w:val="28"/>
                <w:szCs w:val="28"/>
              </w:rPr>
            </m:ctrlPr>
          </m:e>
        </m:nary>
      </m:oMath>
      <w:r>
        <w:rPr>
          <w:rFonts w:hint="default" w:ascii="仿宋" w:hAnsi="仿宋" w:eastAsia="仿宋"/>
          <w:sz w:val="28"/>
          <w:szCs w:val="28"/>
        </w:rPr>
        <w:t>/</w:t>
      </w:r>
      <m:oMath>
        <m:nary>
          <m:naryPr>
            <m:chr m:val="∑"/>
            <m:limLoc m:val="subSup"/>
            <m:supHide m:val="1"/>
            <m:ctrlPr>
              <w:rPr>
                <w:rFonts w:hint="eastAsia" w:ascii="Cambria Math" w:hAnsi="Cambria Math" w:eastAsia="仿宋"/>
                <w:sz w:val="28"/>
                <w:szCs w:val="28"/>
              </w:rPr>
            </m:ctrlPr>
          </m:naryPr>
          <m:sub>
            <m:r>
              <m:rPr>
                <m:sty m:val="p"/>
              </m:rPr>
              <w:rPr>
                <w:rFonts w:hint="default" w:ascii="Cambria Math" w:hAnsi="Cambria Math" w:eastAsia="仿宋"/>
                <w:sz w:val="28"/>
                <w:szCs w:val="28"/>
              </w:rPr>
              <m:t>i</m:t>
            </m:r>
            <m:ctrlPr>
              <w:rPr>
                <w:rFonts w:hint="eastAsia" w:ascii="Cambria Math" w:hAnsi="Cambria Math" w:eastAsia="仿宋"/>
                <w:sz w:val="28"/>
                <w:szCs w:val="28"/>
              </w:rPr>
            </m:ctrlPr>
          </m:sub>
          <m:sup>
            <m:ctrlPr>
              <w:rPr>
                <w:rFonts w:hint="eastAsia" w:ascii="Cambria Math" w:hAnsi="Cambria Math" w:eastAsia="仿宋"/>
                <w:sz w:val="28"/>
                <w:szCs w:val="28"/>
              </w:rPr>
            </m:ctrlPr>
          </m:sup>
          <m:e>
            <m:r>
              <m:rPr>
                <m:sty m:val="p"/>
              </m:rPr>
              <w:rPr>
                <w:rFonts w:hint="default" w:ascii="Cambria Math" w:hAnsi="Cambria Math" w:eastAsia="仿宋"/>
                <w:sz w:val="28"/>
                <w:szCs w:val="28"/>
              </w:rPr>
              <m:t>学分i</m:t>
            </m:r>
            <m:ctrlPr>
              <w:rPr>
                <w:rFonts w:hint="eastAsia" w:ascii="Cambria Math" w:hAnsi="Cambria Math" w:eastAsia="仿宋"/>
                <w:sz w:val="28"/>
                <w:szCs w:val="28"/>
              </w:rPr>
            </m:ctrlPr>
          </m:e>
        </m:nary>
      </m:oMath>
      <w:r>
        <w:rPr>
          <w:rFonts w:hint="default" w:ascii="仿宋" w:hAnsi="仿宋" w:eastAsia="仿宋"/>
          <w:sz w:val="28"/>
          <w:szCs w:val="28"/>
        </w:rPr>
        <w:t>，课程成绩按各课程第一次所修成绩计算。</w:t>
      </w:r>
    </w:p>
    <w:p w14:paraId="71F35808">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二</w:t>
      </w:r>
      <w:r>
        <w:rPr>
          <w:rFonts w:hint="eastAsia" w:ascii="仿宋" w:hAnsi="仿宋" w:eastAsia="仿宋"/>
          <w:sz w:val="28"/>
          <w:szCs w:val="28"/>
        </w:rPr>
        <w:t>）素质类综合成绩（满分</w:t>
      </w:r>
      <w:r>
        <w:rPr>
          <w:rFonts w:hint="eastAsia" w:ascii="仿宋" w:hAnsi="仿宋" w:eastAsia="仿宋"/>
          <w:sz w:val="28"/>
          <w:szCs w:val="28"/>
          <w:lang w:val="en-US" w:eastAsia="zh-CN"/>
        </w:rPr>
        <w:t>1</w:t>
      </w:r>
      <w:r>
        <w:rPr>
          <w:rFonts w:hint="eastAsia" w:ascii="仿宋" w:hAnsi="仿宋" w:eastAsia="仿宋"/>
          <w:sz w:val="28"/>
          <w:szCs w:val="28"/>
        </w:rPr>
        <w:t>0分，占综合评价成绩的</w:t>
      </w:r>
      <w:r>
        <w:rPr>
          <w:rFonts w:hint="eastAsia" w:ascii="仿宋" w:hAnsi="仿宋" w:eastAsia="仿宋"/>
          <w:sz w:val="28"/>
          <w:szCs w:val="28"/>
          <w:lang w:val="en-US" w:eastAsia="zh-CN"/>
        </w:rPr>
        <w:t>1</w:t>
      </w:r>
      <w:r>
        <w:rPr>
          <w:rFonts w:hint="eastAsia" w:ascii="仿宋" w:hAnsi="仿宋" w:eastAsia="仿宋"/>
          <w:sz w:val="28"/>
          <w:szCs w:val="28"/>
        </w:rPr>
        <w:t>0%）</w:t>
      </w:r>
    </w:p>
    <w:p w14:paraId="1CCE4473">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素质类综合成绩=参军入伍服兵役</w:t>
      </w:r>
      <w:r>
        <w:rPr>
          <w:rFonts w:hint="eastAsia" w:ascii="仿宋" w:hAnsi="仿宋" w:eastAsia="仿宋"/>
          <w:sz w:val="28"/>
          <w:szCs w:val="28"/>
          <w:lang w:val="en-US" w:eastAsia="zh-CN"/>
        </w:rPr>
        <w:t>成绩+</w:t>
      </w:r>
      <w:r>
        <w:rPr>
          <w:rFonts w:hint="eastAsia" w:ascii="仿宋" w:hAnsi="仿宋" w:eastAsia="仿宋"/>
          <w:sz w:val="28"/>
          <w:szCs w:val="28"/>
        </w:rPr>
        <w:t>参加志愿服务</w:t>
      </w:r>
      <w:r>
        <w:rPr>
          <w:rFonts w:hint="eastAsia" w:ascii="仿宋" w:hAnsi="仿宋" w:eastAsia="仿宋"/>
          <w:sz w:val="28"/>
          <w:szCs w:val="28"/>
          <w:lang w:val="en-US" w:eastAsia="zh-CN"/>
        </w:rPr>
        <w:t>成绩+</w:t>
      </w:r>
      <w:r>
        <w:rPr>
          <w:rFonts w:hint="eastAsia" w:ascii="仿宋" w:hAnsi="仿宋" w:eastAsia="仿宋"/>
          <w:sz w:val="28"/>
          <w:szCs w:val="28"/>
        </w:rPr>
        <w:t>到国际组织实习</w:t>
      </w:r>
      <w:r>
        <w:rPr>
          <w:rFonts w:hint="eastAsia" w:ascii="仿宋" w:hAnsi="仿宋" w:eastAsia="仿宋"/>
          <w:sz w:val="28"/>
          <w:szCs w:val="28"/>
          <w:lang w:val="en-US" w:eastAsia="zh-CN"/>
        </w:rPr>
        <w:t>成绩+</w:t>
      </w:r>
      <w:r>
        <w:rPr>
          <w:rFonts w:hint="eastAsia" w:ascii="仿宋" w:hAnsi="仿宋" w:eastAsia="仿宋"/>
          <w:sz w:val="28"/>
          <w:szCs w:val="28"/>
        </w:rPr>
        <w:t>科研成果</w:t>
      </w:r>
      <w:r>
        <w:rPr>
          <w:rFonts w:hint="eastAsia" w:ascii="仿宋" w:hAnsi="仿宋" w:eastAsia="仿宋"/>
          <w:sz w:val="28"/>
          <w:szCs w:val="28"/>
          <w:lang w:val="en-US" w:eastAsia="zh-CN"/>
        </w:rPr>
        <w:t>成绩+</w:t>
      </w:r>
      <w:r>
        <w:rPr>
          <w:rFonts w:hint="eastAsia" w:ascii="仿宋" w:hAnsi="仿宋" w:eastAsia="仿宋"/>
          <w:sz w:val="28"/>
          <w:szCs w:val="28"/>
        </w:rPr>
        <w:t>竞赛获奖</w:t>
      </w:r>
      <w:r>
        <w:rPr>
          <w:rFonts w:hint="eastAsia" w:ascii="仿宋" w:hAnsi="仿宋" w:eastAsia="仿宋"/>
          <w:sz w:val="28"/>
          <w:szCs w:val="28"/>
          <w:lang w:val="en-US" w:eastAsia="zh-CN"/>
        </w:rPr>
        <w:t>成绩</w:t>
      </w:r>
    </w:p>
    <w:p w14:paraId="4C080DD8">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参军入伍服兵役</w:t>
      </w:r>
      <w:r>
        <w:rPr>
          <w:rFonts w:hint="eastAsia" w:ascii="仿宋" w:hAnsi="仿宋" w:eastAsia="仿宋"/>
          <w:sz w:val="28"/>
          <w:szCs w:val="28"/>
          <w:lang w:val="en-US" w:eastAsia="zh-CN"/>
        </w:rPr>
        <w:t>类（满分2分，占</w:t>
      </w:r>
      <w:r>
        <w:rPr>
          <w:rFonts w:hint="eastAsia" w:ascii="仿宋" w:hAnsi="仿宋" w:eastAsia="仿宋"/>
          <w:sz w:val="28"/>
          <w:szCs w:val="28"/>
        </w:rPr>
        <w:t>素质类综合成绩</w:t>
      </w:r>
      <w:r>
        <w:rPr>
          <w:rFonts w:hint="eastAsia" w:ascii="仿宋" w:hAnsi="仿宋" w:eastAsia="仿宋"/>
          <w:sz w:val="28"/>
          <w:szCs w:val="28"/>
          <w:lang w:val="en-US" w:eastAsia="zh-CN"/>
        </w:rPr>
        <w:t>的20%）</w:t>
      </w:r>
    </w:p>
    <w:p w14:paraId="6A4126AA">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义务兵役复学，并未在部队受到处分，得分为</w:t>
      </w:r>
      <w:r>
        <w:rPr>
          <w:rFonts w:hint="eastAsia" w:ascii="仿宋" w:hAnsi="仿宋" w:eastAsia="仿宋"/>
          <w:sz w:val="28"/>
          <w:szCs w:val="28"/>
          <w:lang w:val="en-US" w:eastAsia="zh-CN"/>
        </w:rPr>
        <w:t>2分</w:t>
      </w:r>
      <w:r>
        <w:rPr>
          <w:rFonts w:hint="eastAsia" w:ascii="仿宋" w:hAnsi="仿宋" w:eastAsia="仿宋"/>
          <w:sz w:val="28"/>
          <w:szCs w:val="28"/>
        </w:rPr>
        <w:t>。</w:t>
      </w:r>
    </w:p>
    <w:p w14:paraId="205B8007">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志愿服务类</w:t>
      </w:r>
      <w:r>
        <w:rPr>
          <w:rFonts w:hint="eastAsia" w:ascii="仿宋" w:hAnsi="仿宋" w:eastAsia="仿宋"/>
          <w:sz w:val="28"/>
          <w:szCs w:val="28"/>
          <w:lang w:val="en-US" w:eastAsia="zh-CN"/>
        </w:rPr>
        <w:t>（满分1分，占</w:t>
      </w:r>
      <w:r>
        <w:rPr>
          <w:rFonts w:hint="eastAsia" w:ascii="仿宋" w:hAnsi="仿宋" w:eastAsia="仿宋"/>
          <w:sz w:val="28"/>
          <w:szCs w:val="28"/>
        </w:rPr>
        <w:t>素质类综合成绩</w:t>
      </w:r>
      <w:r>
        <w:rPr>
          <w:rFonts w:hint="eastAsia" w:ascii="仿宋" w:hAnsi="仿宋" w:eastAsia="仿宋"/>
          <w:sz w:val="28"/>
          <w:szCs w:val="28"/>
          <w:lang w:val="en-US" w:eastAsia="zh-CN"/>
        </w:rPr>
        <w:t>的10%）</w:t>
      </w:r>
    </w:p>
    <w:p w14:paraId="5608659A">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志愿服务成绩=（本人志愿服务原始分/本专业参选人志愿服务最高原始分）</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10%</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10</w:t>
      </w:r>
      <w:r>
        <w:rPr>
          <w:rFonts w:hint="eastAsia" w:ascii="仿宋" w:hAnsi="仿宋" w:eastAsia="仿宋"/>
          <w:sz w:val="28"/>
          <w:szCs w:val="28"/>
        </w:rPr>
        <w:t>分</w:t>
      </w:r>
      <w:r>
        <w:rPr>
          <w:rFonts w:hint="eastAsia" w:ascii="仿宋" w:hAnsi="仿宋" w:eastAsia="仿宋"/>
          <w:sz w:val="28"/>
          <w:szCs w:val="28"/>
          <w:lang w:eastAsia="zh-CN"/>
        </w:rPr>
        <w:t>。</w:t>
      </w:r>
    </w:p>
    <w:p w14:paraId="661FD974">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sz w:val="28"/>
          <w:szCs w:val="28"/>
        </w:rPr>
      </w:pPr>
      <w:r>
        <w:rPr>
          <w:rFonts w:hint="eastAsia" w:ascii="仿宋" w:hAnsi="仿宋" w:eastAsia="仿宋"/>
          <w:sz w:val="28"/>
          <w:szCs w:val="28"/>
        </w:rPr>
        <w:t>大学期间参加国家级志愿服务项目，并在《中国志愿服务网》注册，累计志愿服务时长超过20个小时，加3分；超过40小时，加6分；超过60个小时，加</w:t>
      </w:r>
      <w:r>
        <w:rPr>
          <w:rFonts w:hint="eastAsia" w:ascii="仿宋" w:hAnsi="仿宋" w:eastAsia="仿宋"/>
          <w:sz w:val="28"/>
          <w:szCs w:val="28"/>
          <w:lang w:val="en-US" w:eastAsia="zh-CN"/>
        </w:rPr>
        <w:t>9</w:t>
      </w:r>
      <w:r>
        <w:rPr>
          <w:rFonts w:hint="eastAsia" w:ascii="仿宋" w:hAnsi="仿宋" w:eastAsia="仿宋"/>
          <w:sz w:val="28"/>
          <w:szCs w:val="28"/>
        </w:rPr>
        <w:t>分。必须以中国志愿服务网公布的全国性项目为依据。</w:t>
      </w:r>
    </w:p>
    <w:p w14:paraId="4A4FD9D3">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国际组织实习</w:t>
      </w:r>
      <w:r>
        <w:rPr>
          <w:rFonts w:hint="eastAsia" w:ascii="仿宋" w:hAnsi="仿宋" w:eastAsia="仿宋"/>
          <w:sz w:val="28"/>
          <w:szCs w:val="28"/>
          <w:lang w:val="en-US" w:eastAsia="zh-CN"/>
        </w:rPr>
        <w:t>类（满分1分，占</w:t>
      </w:r>
      <w:r>
        <w:rPr>
          <w:rFonts w:hint="eastAsia" w:ascii="仿宋" w:hAnsi="仿宋" w:eastAsia="仿宋"/>
          <w:sz w:val="28"/>
          <w:szCs w:val="28"/>
        </w:rPr>
        <w:t>素质类综合成绩</w:t>
      </w:r>
      <w:r>
        <w:rPr>
          <w:rFonts w:hint="eastAsia" w:ascii="仿宋" w:hAnsi="仿宋" w:eastAsia="仿宋"/>
          <w:sz w:val="28"/>
          <w:szCs w:val="28"/>
          <w:lang w:val="en-US" w:eastAsia="zh-CN"/>
        </w:rPr>
        <w:t>的10%）</w:t>
      </w:r>
    </w:p>
    <w:p w14:paraId="6CC22C30">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参加联合国下组织实习项目1个月及以上，凭实习证明，并由学院推荐免试研究生工作领导小组研究认定，得分</w:t>
      </w:r>
      <w:r>
        <w:rPr>
          <w:rFonts w:hint="eastAsia" w:ascii="仿宋" w:hAnsi="仿宋" w:eastAsia="仿宋"/>
          <w:sz w:val="28"/>
          <w:szCs w:val="28"/>
          <w:lang w:val="en-US" w:eastAsia="zh-CN"/>
        </w:rPr>
        <w:t>为1分。</w:t>
      </w:r>
    </w:p>
    <w:p w14:paraId="07F34436">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4.</w:t>
      </w:r>
      <w:r>
        <w:rPr>
          <w:rFonts w:hint="eastAsia" w:ascii="仿宋" w:hAnsi="仿宋" w:eastAsia="仿宋"/>
          <w:sz w:val="28"/>
          <w:szCs w:val="28"/>
        </w:rPr>
        <w:t>科研成果</w:t>
      </w:r>
      <w:r>
        <w:rPr>
          <w:rFonts w:hint="eastAsia" w:ascii="仿宋" w:hAnsi="仿宋" w:eastAsia="仿宋"/>
          <w:sz w:val="28"/>
          <w:szCs w:val="28"/>
          <w:lang w:val="en-US" w:eastAsia="zh-CN"/>
        </w:rPr>
        <w:t>类（满分3分，占</w:t>
      </w:r>
      <w:r>
        <w:rPr>
          <w:rFonts w:hint="eastAsia" w:ascii="仿宋" w:hAnsi="仿宋" w:eastAsia="仿宋"/>
          <w:sz w:val="28"/>
          <w:szCs w:val="28"/>
        </w:rPr>
        <w:t>素质类综合成绩</w:t>
      </w:r>
      <w:r>
        <w:rPr>
          <w:rFonts w:hint="eastAsia" w:ascii="仿宋" w:hAnsi="仿宋" w:eastAsia="仿宋"/>
          <w:sz w:val="28"/>
          <w:szCs w:val="28"/>
          <w:lang w:val="en-US" w:eastAsia="zh-CN"/>
        </w:rPr>
        <w:t>的30%）</w:t>
      </w:r>
    </w:p>
    <w:p w14:paraId="64179311">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科研成果</w:t>
      </w:r>
      <w:r>
        <w:rPr>
          <w:rFonts w:hint="eastAsia" w:ascii="仿宋" w:hAnsi="仿宋" w:eastAsia="仿宋"/>
          <w:sz w:val="28"/>
          <w:szCs w:val="28"/>
          <w:lang w:val="en-US" w:eastAsia="zh-CN"/>
        </w:rPr>
        <w:t>成绩</w:t>
      </w:r>
      <w:r>
        <w:rPr>
          <w:rFonts w:hint="eastAsia" w:ascii="仿宋" w:hAnsi="仿宋" w:eastAsia="仿宋"/>
          <w:sz w:val="28"/>
          <w:szCs w:val="28"/>
        </w:rPr>
        <w:t>=（本人科研成果原始分/本专业参选人科研成果最高原始分）</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30%</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10</w:t>
      </w:r>
      <w:r>
        <w:rPr>
          <w:rFonts w:hint="eastAsia" w:ascii="仿宋" w:hAnsi="仿宋" w:eastAsia="仿宋"/>
          <w:sz w:val="28"/>
          <w:szCs w:val="28"/>
        </w:rPr>
        <w:t>分。学生在科研创新某一方面中有多项加分条件时，原则上只取一项代表作。</w:t>
      </w:r>
    </w:p>
    <w:p w14:paraId="4560D24D">
      <w:pPr>
        <w:keepNext w:val="0"/>
        <w:keepLines w:val="0"/>
        <w:pageBreakBefore w:val="0"/>
        <w:widowControl w:val="0"/>
        <w:tabs>
          <w:tab w:val="left" w:pos="142"/>
        </w:tabs>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sz w:val="28"/>
          <w:szCs w:val="28"/>
          <w:lang w:val="en-US" w:eastAsia="zh-CN"/>
        </w:rPr>
      </w:pPr>
      <w:r>
        <w:rPr>
          <w:rFonts w:hint="eastAsia" w:ascii="仿宋" w:hAnsi="仿宋" w:eastAsia="仿宋"/>
          <w:sz w:val="28"/>
          <w:szCs w:val="28"/>
        </w:rPr>
        <w:t>在核心期刊上以独立作者或第一作者发表的与学业相关的科研论文，科研论文必须是指已经正式公开发表的论文，</w:t>
      </w:r>
      <w:r>
        <w:rPr>
          <w:rFonts w:hint="eastAsia" w:ascii="仿宋" w:hAnsi="仿宋" w:eastAsia="仿宋"/>
          <w:b/>
          <w:bCs/>
          <w:sz w:val="28"/>
          <w:szCs w:val="28"/>
        </w:rPr>
        <w:t>学生需提供个人学术贡献说明材料，经指导教师签字确认。</w:t>
      </w:r>
      <w:r>
        <w:rPr>
          <w:rFonts w:hint="eastAsia" w:ascii="仿宋" w:hAnsi="仿宋" w:eastAsia="仿宋"/>
          <w:sz w:val="28"/>
          <w:szCs w:val="28"/>
        </w:rPr>
        <w:t>河南师范大学必须是论文的第一作者单位</w:t>
      </w:r>
      <w:r>
        <w:rPr>
          <w:rFonts w:hint="eastAsia" w:ascii="仿宋" w:hAnsi="仿宋" w:eastAsia="仿宋"/>
          <w:sz w:val="28"/>
          <w:szCs w:val="28"/>
          <w:lang w:eastAsia="zh-CN"/>
        </w:rPr>
        <w:t>，</w:t>
      </w:r>
      <w:r>
        <w:rPr>
          <w:rFonts w:hint="eastAsia" w:ascii="仿宋" w:hAnsi="仿宋" w:eastAsia="仿宋"/>
          <w:sz w:val="28"/>
          <w:szCs w:val="28"/>
          <w:lang w:val="en-US" w:eastAsia="zh-CN"/>
        </w:rPr>
        <w:t>共同一作按照实际排名对待。具体分值如下：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874"/>
        <w:gridCol w:w="2874"/>
      </w:tblGrid>
      <w:tr w14:paraId="3C74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7" w:type="dxa"/>
            <w:gridSpan w:val="2"/>
            <w:vAlign w:val="center"/>
          </w:tcPr>
          <w:p w14:paraId="54AAC9AC">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b/>
                <w:bCs/>
                <w:sz w:val="28"/>
                <w:szCs w:val="28"/>
                <w:vertAlign w:val="baseline"/>
                <w:lang w:val="en-US" w:eastAsia="zh-CN"/>
              </w:rPr>
            </w:pPr>
            <w:r>
              <w:rPr>
                <w:rFonts w:hint="eastAsia" w:ascii="仿宋" w:hAnsi="仿宋" w:eastAsia="仿宋"/>
                <w:b/>
                <w:bCs/>
                <w:sz w:val="28"/>
                <w:szCs w:val="28"/>
                <w:vertAlign w:val="baseline"/>
                <w:lang w:val="en-US" w:eastAsia="zh-CN"/>
              </w:rPr>
              <w:t>级别</w:t>
            </w:r>
          </w:p>
        </w:tc>
        <w:tc>
          <w:tcPr>
            <w:tcW w:w="2874" w:type="dxa"/>
            <w:vAlign w:val="center"/>
          </w:tcPr>
          <w:p w14:paraId="4FBC191D">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b/>
                <w:bCs/>
                <w:sz w:val="28"/>
                <w:szCs w:val="28"/>
                <w:vertAlign w:val="baseline"/>
                <w:lang w:val="en-US" w:eastAsia="zh-CN"/>
              </w:rPr>
            </w:pPr>
            <w:r>
              <w:rPr>
                <w:rFonts w:hint="eastAsia" w:ascii="仿宋" w:hAnsi="仿宋" w:eastAsia="仿宋"/>
                <w:b/>
                <w:bCs/>
                <w:sz w:val="28"/>
                <w:szCs w:val="28"/>
                <w:vertAlign w:val="baseline"/>
                <w:lang w:val="en-US" w:eastAsia="zh-CN"/>
              </w:rPr>
              <w:t>第一名</w:t>
            </w:r>
          </w:p>
        </w:tc>
      </w:tr>
      <w:tr w14:paraId="53E6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3" w:type="dxa"/>
            <w:vMerge w:val="restart"/>
            <w:vAlign w:val="center"/>
          </w:tcPr>
          <w:p w14:paraId="5CD6632E">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SCI</w:t>
            </w:r>
          </w:p>
        </w:tc>
        <w:tc>
          <w:tcPr>
            <w:tcW w:w="2874" w:type="dxa"/>
            <w:vAlign w:val="center"/>
          </w:tcPr>
          <w:p w14:paraId="06DFD381">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一区</w:t>
            </w:r>
          </w:p>
        </w:tc>
        <w:tc>
          <w:tcPr>
            <w:tcW w:w="2874" w:type="dxa"/>
            <w:vAlign w:val="center"/>
          </w:tcPr>
          <w:p w14:paraId="01A7837E">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80</w:t>
            </w:r>
          </w:p>
        </w:tc>
      </w:tr>
      <w:tr w14:paraId="1715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3" w:type="dxa"/>
            <w:vMerge w:val="continue"/>
            <w:vAlign w:val="center"/>
          </w:tcPr>
          <w:p w14:paraId="1D8E6A37">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p>
        </w:tc>
        <w:tc>
          <w:tcPr>
            <w:tcW w:w="2874" w:type="dxa"/>
            <w:vAlign w:val="center"/>
          </w:tcPr>
          <w:p w14:paraId="18ACC60D">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二区</w:t>
            </w:r>
          </w:p>
        </w:tc>
        <w:tc>
          <w:tcPr>
            <w:tcW w:w="2874" w:type="dxa"/>
            <w:vAlign w:val="center"/>
          </w:tcPr>
          <w:p w14:paraId="38271874">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50</w:t>
            </w:r>
          </w:p>
        </w:tc>
      </w:tr>
      <w:tr w14:paraId="753E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3" w:type="dxa"/>
            <w:vMerge w:val="continue"/>
            <w:vAlign w:val="center"/>
          </w:tcPr>
          <w:p w14:paraId="19AB2030">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p>
        </w:tc>
        <w:tc>
          <w:tcPr>
            <w:tcW w:w="2874" w:type="dxa"/>
            <w:vAlign w:val="center"/>
          </w:tcPr>
          <w:p w14:paraId="788079BD">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三区</w:t>
            </w:r>
          </w:p>
        </w:tc>
        <w:tc>
          <w:tcPr>
            <w:tcW w:w="2874" w:type="dxa"/>
            <w:vAlign w:val="center"/>
          </w:tcPr>
          <w:p w14:paraId="1ABAC0CA">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30</w:t>
            </w:r>
          </w:p>
        </w:tc>
      </w:tr>
      <w:tr w14:paraId="3B36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3" w:type="dxa"/>
            <w:vMerge w:val="continue"/>
            <w:vAlign w:val="center"/>
          </w:tcPr>
          <w:p w14:paraId="79EA2649">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p>
        </w:tc>
        <w:tc>
          <w:tcPr>
            <w:tcW w:w="2874" w:type="dxa"/>
            <w:vAlign w:val="center"/>
          </w:tcPr>
          <w:p w14:paraId="1B9D3474">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四区</w:t>
            </w:r>
          </w:p>
        </w:tc>
        <w:tc>
          <w:tcPr>
            <w:tcW w:w="2874" w:type="dxa"/>
            <w:vAlign w:val="center"/>
          </w:tcPr>
          <w:p w14:paraId="0C4D6E90">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15</w:t>
            </w:r>
          </w:p>
        </w:tc>
      </w:tr>
      <w:tr w14:paraId="14C5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7" w:type="dxa"/>
            <w:gridSpan w:val="2"/>
            <w:vAlign w:val="center"/>
          </w:tcPr>
          <w:p w14:paraId="64993B26">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EI源（核心区）、中文核心</w:t>
            </w:r>
          </w:p>
        </w:tc>
        <w:tc>
          <w:tcPr>
            <w:tcW w:w="2874" w:type="dxa"/>
            <w:vAlign w:val="center"/>
          </w:tcPr>
          <w:p w14:paraId="6BAF9456">
            <w:pPr>
              <w:keepNext w:val="0"/>
              <w:keepLines w:val="0"/>
              <w:pageBreakBefore w:val="0"/>
              <w:widowControl w:val="0"/>
              <w:tabs>
                <w:tab w:val="left" w:pos="142"/>
              </w:tabs>
              <w:kinsoku/>
              <w:wordWrap/>
              <w:overflowPunct/>
              <w:topLinePunct w:val="0"/>
              <w:autoSpaceDE/>
              <w:autoSpaceDN/>
              <w:bidi w:val="0"/>
              <w:adjustRightInd/>
              <w:snapToGrid/>
              <w:spacing w:line="560" w:lineRule="exact"/>
              <w:jc w:val="center"/>
              <w:textAlignment w:val="auto"/>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15</w:t>
            </w:r>
          </w:p>
        </w:tc>
      </w:tr>
    </w:tbl>
    <w:p w14:paraId="70F97B43">
      <w:pPr>
        <w:keepNext w:val="0"/>
        <w:keepLines w:val="0"/>
        <w:pageBreakBefore w:val="0"/>
        <w:widowControl w:val="0"/>
        <w:tabs>
          <w:tab w:val="left" w:pos="142"/>
        </w:tabs>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sz w:val="28"/>
          <w:szCs w:val="28"/>
        </w:rPr>
      </w:pPr>
      <w:r>
        <w:rPr>
          <w:rFonts w:hint="eastAsia" w:ascii="仿宋" w:hAnsi="仿宋" w:eastAsia="仿宋"/>
          <w:sz w:val="28"/>
          <w:szCs w:val="28"/>
        </w:rPr>
        <w:t>论文类最多计入1篇，需提交论文期刊原件，并打印检索</w:t>
      </w:r>
      <w:r>
        <w:rPr>
          <w:rFonts w:hint="eastAsia" w:ascii="仿宋" w:hAnsi="仿宋" w:eastAsia="仿宋"/>
          <w:sz w:val="28"/>
          <w:szCs w:val="28"/>
          <w:lang w:val="en-US" w:eastAsia="zh-CN"/>
        </w:rPr>
        <w:t>证明</w:t>
      </w:r>
      <w:r>
        <w:rPr>
          <w:rFonts w:hint="eastAsia" w:ascii="仿宋" w:hAnsi="仿宋" w:eastAsia="仿宋"/>
          <w:sz w:val="28"/>
          <w:szCs w:val="28"/>
        </w:rPr>
        <w:t>，否则不予加分。</w:t>
      </w:r>
    </w:p>
    <w:p w14:paraId="6003C879">
      <w:pPr>
        <w:keepNext w:val="0"/>
        <w:keepLines w:val="0"/>
        <w:pageBreakBefore w:val="0"/>
        <w:widowControl w:val="0"/>
        <w:numPr>
          <w:ilvl w:val="0"/>
          <w:numId w:val="0"/>
        </w:numPr>
        <w:tabs>
          <w:tab w:val="left" w:pos="142"/>
        </w:tabs>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w:t>
      </w:r>
      <w:r>
        <w:rPr>
          <w:rFonts w:hint="eastAsia" w:ascii="仿宋" w:hAnsi="仿宋" w:eastAsia="仿宋"/>
          <w:sz w:val="28"/>
          <w:szCs w:val="28"/>
        </w:rPr>
        <w:t>竞赛获奖</w:t>
      </w:r>
      <w:r>
        <w:rPr>
          <w:rFonts w:hint="eastAsia" w:ascii="仿宋" w:hAnsi="仿宋" w:eastAsia="仿宋"/>
          <w:sz w:val="28"/>
          <w:szCs w:val="28"/>
          <w:lang w:val="en-US" w:eastAsia="zh-CN"/>
        </w:rPr>
        <w:t>类（满分3分，占</w:t>
      </w:r>
      <w:r>
        <w:rPr>
          <w:rFonts w:hint="eastAsia" w:ascii="仿宋" w:hAnsi="仿宋" w:eastAsia="仿宋"/>
          <w:sz w:val="28"/>
          <w:szCs w:val="28"/>
        </w:rPr>
        <w:t>素质类综合成绩</w:t>
      </w:r>
      <w:r>
        <w:rPr>
          <w:rFonts w:hint="eastAsia" w:ascii="仿宋" w:hAnsi="仿宋" w:eastAsia="仿宋"/>
          <w:sz w:val="28"/>
          <w:szCs w:val="28"/>
          <w:lang w:val="en-US" w:eastAsia="zh-CN"/>
        </w:rPr>
        <w:t>的30%）</w:t>
      </w:r>
    </w:p>
    <w:p w14:paraId="15E91F9D">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竞赛获奖成绩=（本人竞赛获奖原始分/本专业参选人竞赛获奖最高原始分）</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30%</w:t>
      </w:r>
      <m:oMath>
        <m:r>
          <m:rPr>
            <m:sty m:val="p"/>
          </m:rPr>
          <w:rPr>
            <w:rFonts w:hint="default" w:ascii="Cambria Math" w:hAnsi="Cambria Math" w:eastAsia="仿宋"/>
            <w:sz w:val="28"/>
            <w:szCs w:val="28"/>
          </w:rPr>
          <m:t>∗</m:t>
        </m:r>
      </m:oMath>
      <w:r>
        <w:rPr>
          <w:rFonts w:hint="eastAsia" w:ascii="仿宋" w:hAnsi="仿宋" w:eastAsia="仿宋"/>
          <w:sz w:val="28"/>
          <w:szCs w:val="28"/>
          <w:lang w:val="en-US" w:eastAsia="zh-CN"/>
        </w:rPr>
        <w:t>10分。学生在科研创新某一方面中有多项加分条件时，原则上只取一项代表作。</w:t>
      </w:r>
      <w:r>
        <w:rPr>
          <w:rFonts w:hint="eastAsia" w:ascii="仿宋" w:hAnsi="仿宋" w:eastAsia="仿宋"/>
          <w:b/>
          <w:bCs/>
          <w:sz w:val="28"/>
          <w:szCs w:val="28"/>
        </w:rPr>
        <w:t>学生需提供个人学术贡献说明材料，经指导教师签字确认。</w:t>
      </w:r>
    </w:p>
    <w:p w14:paraId="2134A800">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参加与学业相关的国内权威科研竞赛（全国赛）并获得三等奖以上的奖励（国际赛事参照执行，但不得低于国内赛事相关要求），主持人加15分（一等奖），12分（二等奖），9分（三等奖）；其他参加人员（仅限前五位，含主持人）分别加9分（一等奖），6分（二等奖）,3分（三等奖）。每人最多计入1项，需提供相关比赛获奖证书原件，有特等奖</w:t>
      </w:r>
      <w:r>
        <w:rPr>
          <w:rFonts w:hint="eastAsia" w:ascii="仿宋" w:hAnsi="仿宋" w:eastAsia="仿宋"/>
          <w:sz w:val="28"/>
          <w:szCs w:val="28"/>
          <w:lang w:eastAsia="zh-CN"/>
        </w:rPr>
        <w:t>、</w:t>
      </w:r>
      <w:r>
        <w:rPr>
          <w:rFonts w:hint="eastAsia" w:ascii="仿宋" w:hAnsi="仿宋" w:eastAsia="仿宋"/>
          <w:sz w:val="28"/>
          <w:szCs w:val="28"/>
          <w:lang w:val="en-US" w:eastAsia="zh-CN"/>
        </w:rPr>
        <w:t>金奖</w:t>
      </w:r>
      <w:r>
        <w:rPr>
          <w:rFonts w:hint="eastAsia" w:ascii="仿宋" w:hAnsi="仿宋" w:eastAsia="仿宋"/>
          <w:sz w:val="28"/>
          <w:szCs w:val="28"/>
        </w:rPr>
        <w:t>的比赛等级计分自动顺延。以中国高等教育学会发布的《202</w:t>
      </w:r>
      <w:r>
        <w:rPr>
          <w:rFonts w:hint="eastAsia" w:ascii="仿宋" w:hAnsi="仿宋" w:eastAsia="仿宋"/>
          <w:sz w:val="28"/>
          <w:szCs w:val="28"/>
          <w:lang w:val="en-US" w:eastAsia="zh-CN"/>
        </w:rPr>
        <w:t>3</w:t>
      </w:r>
      <w:r>
        <w:rPr>
          <w:rFonts w:hint="eastAsia" w:ascii="仿宋" w:hAnsi="仿宋" w:eastAsia="仿宋"/>
          <w:sz w:val="28"/>
          <w:szCs w:val="28"/>
        </w:rPr>
        <w:t>全国普通高校大学生竞赛排行榜内竞赛项目名单》为准。</w:t>
      </w:r>
    </w:p>
    <w:p w14:paraId="1E05BD1E">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注：学生与学历、职称、职务明显高于本人者合作且署名第一作者在核心及以上期刊发表的与学业相关的科研论文，按同级别科研成果赋分的80%计算；学生与直系亲属合作的科研成果不纳入学生本人推免遴选综合评价成绩计算体系。</w:t>
      </w:r>
    </w:p>
    <w:p w14:paraId="3760610B">
      <w:pPr>
        <w:tabs>
          <w:tab w:val="left" w:pos="567"/>
        </w:tabs>
        <w:spacing w:line="560" w:lineRule="exact"/>
        <w:jc w:val="center"/>
        <w:rPr>
          <w:rFonts w:ascii="仿宋" w:hAnsi="仿宋" w:eastAsia="仿宋"/>
          <w:b/>
          <w:sz w:val="28"/>
          <w:szCs w:val="28"/>
        </w:rPr>
      </w:pPr>
      <w:r>
        <w:rPr>
          <w:rFonts w:hint="eastAsia" w:ascii="仿宋" w:hAnsi="仿宋" w:eastAsia="仿宋"/>
          <w:b/>
          <w:sz w:val="28"/>
          <w:szCs w:val="28"/>
        </w:rPr>
        <w:t>第五章 其他</w:t>
      </w:r>
    </w:p>
    <w:p w14:paraId="392FE044">
      <w:pPr>
        <w:tabs>
          <w:tab w:val="left" w:pos="567"/>
        </w:tabs>
        <w:spacing w:line="560" w:lineRule="exact"/>
        <w:ind w:firstLine="560" w:firstLineChars="200"/>
        <w:rPr>
          <w:rFonts w:hint="eastAsia" w:ascii="仿宋" w:hAnsi="仿宋" w:eastAsia="仿宋"/>
          <w:sz w:val="28"/>
          <w:szCs w:val="28"/>
        </w:rPr>
      </w:pPr>
      <w:r>
        <w:rPr>
          <w:rFonts w:hint="eastAsia" w:ascii="仿宋" w:hAnsi="仿宋" w:eastAsia="仿宋"/>
          <w:sz w:val="28"/>
          <w:szCs w:val="28"/>
        </w:rPr>
        <w:t>本《办法》自公布之日起执行，由学院推免生遴选工作小组负责解释。本《办法》未尽事宜，以《河南师范大学推荐优秀应届本科毕业生免试攻读硕士学位研究生管理办法》（师大教〔202</w:t>
      </w:r>
      <w:r>
        <w:rPr>
          <w:rFonts w:hint="eastAsia" w:ascii="仿宋" w:hAnsi="仿宋" w:eastAsia="仿宋"/>
          <w:sz w:val="28"/>
          <w:szCs w:val="28"/>
          <w:lang w:val="en-US" w:eastAsia="zh-CN"/>
        </w:rPr>
        <w:t>4</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号）、《河南师范大学关于推荐202</w:t>
      </w:r>
      <w:r>
        <w:rPr>
          <w:rFonts w:hint="eastAsia" w:ascii="仿宋" w:hAnsi="仿宋" w:eastAsia="仿宋"/>
          <w:sz w:val="28"/>
          <w:szCs w:val="28"/>
          <w:lang w:val="en-US" w:eastAsia="zh-CN"/>
        </w:rPr>
        <w:t>5</w:t>
      </w:r>
      <w:r>
        <w:rPr>
          <w:rFonts w:hint="eastAsia" w:ascii="仿宋" w:hAnsi="仿宋" w:eastAsia="仿宋"/>
          <w:sz w:val="28"/>
          <w:szCs w:val="28"/>
        </w:rPr>
        <w:t>届优秀应届本科生免试攻读硕士学位研究生工作的通知》和《河南师范大学关于推荐202</w:t>
      </w:r>
      <w:r>
        <w:rPr>
          <w:rFonts w:hint="eastAsia" w:ascii="仿宋" w:hAnsi="仿宋" w:eastAsia="仿宋"/>
          <w:sz w:val="28"/>
          <w:szCs w:val="28"/>
          <w:lang w:val="en-US" w:eastAsia="zh-CN"/>
        </w:rPr>
        <w:t>5</w:t>
      </w:r>
      <w:r>
        <w:rPr>
          <w:rFonts w:hint="eastAsia" w:ascii="仿宋" w:hAnsi="仿宋" w:eastAsia="仿宋"/>
          <w:sz w:val="28"/>
          <w:szCs w:val="28"/>
        </w:rPr>
        <w:t>届优秀应届毕业生免试攻读“农村学校教育硕士师资培养计划”研究生工作的通知》等文件为准。</w:t>
      </w:r>
    </w:p>
    <w:p w14:paraId="56438D2D">
      <w:pPr>
        <w:tabs>
          <w:tab w:val="left" w:pos="567"/>
        </w:tabs>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本细则用于学院2024年推荐优秀应届本科毕业生免试攻读硕士学位研究生工作。未尽事宜，由学院推免遴选工作小组负责解释。</w:t>
      </w:r>
    </w:p>
    <w:p w14:paraId="77D20F3F">
      <w:pPr>
        <w:tabs>
          <w:tab w:val="left" w:pos="567"/>
        </w:tabs>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推荐免试攻读硕士学位研究生监督电话：0373-3326120。</w:t>
      </w:r>
    </w:p>
    <w:p w14:paraId="3B9CC774">
      <w:pPr>
        <w:tabs>
          <w:tab w:val="left" w:pos="567"/>
        </w:tabs>
        <w:spacing w:line="560" w:lineRule="exact"/>
        <w:ind w:firstLine="6440" w:firstLineChars="2300"/>
        <w:jc w:val="both"/>
        <w:rPr>
          <w:rFonts w:ascii="仿宋" w:hAnsi="仿宋" w:eastAsia="仿宋"/>
          <w:sz w:val="28"/>
          <w:szCs w:val="28"/>
        </w:rPr>
      </w:pPr>
      <w:r>
        <w:rPr>
          <w:rFonts w:hint="eastAsia" w:ascii="仿宋" w:hAnsi="仿宋" w:eastAsia="仿宋"/>
          <w:sz w:val="28"/>
          <w:szCs w:val="28"/>
        </w:rPr>
        <w:t>国际教育学院</w:t>
      </w:r>
    </w:p>
    <w:p w14:paraId="346A4BBF">
      <w:pPr>
        <w:tabs>
          <w:tab w:val="left" w:pos="567"/>
        </w:tabs>
        <w:spacing w:line="560" w:lineRule="exact"/>
        <w:ind w:firstLine="560" w:firstLineChars="200"/>
        <w:jc w:val="right"/>
        <w:rPr>
          <w:rFonts w:ascii="仿宋" w:hAnsi="仿宋" w:eastAsia="仿宋"/>
          <w:sz w:val="28"/>
          <w:szCs w:val="28"/>
        </w:rPr>
      </w:pPr>
      <w:r>
        <w:rPr>
          <w:rFonts w:ascii="仿宋" w:hAnsi="仿宋" w:eastAsia="仿宋"/>
          <w:sz w:val="28"/>
          <w:szCs w:val="28"/>
        </w:rPr>
        <w:t>202</w:t>
      </w:r>
      <w:r>
        <w:rPr>
          <w:rFonts w:hint="eastAsia" w:ascii="仿宋" w:hAnsi="仿宋" w:eastAsia="仿宋"/>
          <w:sz w:val="28"/>
          <w:szCs w:val="28"/>
          <w:lang w:val="en-US" w:eastAsia="zh-CN"/>
        </w:rPr>
        <w:t>4</w:t>
      </w:r>
      <w:r>
        <w:rPr>
          <w:rFonts w:ascii="仿宋" w:hAnsi="仿宋" w:eastAsia="仿宋"/>
          <w:sz w:val="28"/>
          <w:szCs w:val="28"/>
        </w:rPr>
        <w:t>年</w:t>
      </w:r>
      <w:r>
        <w:rPr>
          <w:rFonts w:hint="eastAsia" w:ascii="仿宋" w:hAnsi="仿宋" w:eastAsia="仿宋"/>
          <w:sz w:val="28"/>
          <w:szCs w:val="28"/>
        </w:rPr>
        <w:t>9</w:t>
      </w:r>
      <w:r>
        <w:rPr>
          <w:rFonts w:ascii="仿宋" w:hAnsi="仿宋" w:eastAsia="仿宋"/>
          <w:sz w:val="28"/>
          <w:szCs w:val="28"/>
        </w:rPr>
        <w:t>月</w:t>
      </w:r>
      <w:r>
        <w:rPr>
          <w:rFonts w:hint="eastAsia" w:ascii="仿宋" w:hAnsi="仿宋" w:eastAsia="仿宋"/>
          <w:sz w:val="28"/>
          <w:szCs w:val="28"/>
          <w:lang w:val="en-US" w:eastAsia="zh-CN"/>
        </w:rPr>
        <w:t>12</w:t>
      </w:r>
      <w:r>
        <w:rPr>
          <w:rFonts w:ascii="仿宋" w:hAnsi="仿宋" w:eastAsia="仿宋"/>
          <w:sz w:val="28"/>
          <w:szCs w:val="28"/>
        </w:rPr>
        <w:t>日</w:t>
      </w:r>
      <w:bookmarkStart w:id="2" w:name="_GoBack"/>
      <w:bookmarkEnd w:id="2"/>
    </w:p>
    <w:p w14:paraId="7B961510">
      <w:pPr>
        <w:tabs>
          <w:tab w:val="left" w:pos="567"/>
        </w:tabs>
        <w:spacing w:line="560" w:lineRule="exact"/>
        <w:ind w:firstLine="560" w:firstLineChars="200"/>
        <w:jc w:val="right"/>
        <w:rPr>
          <w:rFonts w:ascii="仿宋" w:hAnsi="仿宋" w:eastAsia="仿宋"/>
          <w:sz w:val="28"/>
          <w:szCs w:val="28"/>
        </w:rPr>
      </w:pPr>
    </w:p>
    <w:sectPr>
      <w:pgSz w:w="11906" w:h="16838"/>
      <w:pgMar w:top="1440" w:right="1800"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B5CE74"/>
    <w:multiLevelType w:val="singleLevel"/>
    <w:tmpl w:val="33B5CE74"/>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ZWU0N2E0NzRkM2M0OGM5OTc1NTgyZTcwOTYzZjMifQ=="/>
  </w:docVars>
  <w:rsids>
    <w:rsidRoot w:val="004A081D"/>
    <w:rsid w:val="00005E43"/>
    <w:rsid w:val="00034046"/>
    <w:rsid w:val="00055713"/>
    <w:rsid w:val="00075529"/>
    <w:rsid w:val="00080C8F"/>
    <w:rsid w:val="000B208E"/>
    <w:rsid w:val="000F0D7C"/>
    <w:rsid w:val="0011225A"/>
    <w:rsid w:val="00123C3F"/>
    <w:rsid w:val="0013274E"/>
    <w:rsid w:val="00143A4C"/>
    <w:rsid w:val="00163417"/>
    <w:rsid w:val="00192F9B"/>
    <w:rsid w:val="0019721B"/>
    <w:rsid w:val="001D4583"/>
    <w:rsid w:val="0020258B"/>
    <w:rsid w:val="002343E7"/>
    <w:rsid w:val="00244548"/>
    <w:rsid w:val="002626E3"/>
    <w:rsid w:val="0028205A"/>
    <w:rsid w:val="00293165"/>
    <w:rsid w:val="00295B1C"/>
    <w:rsid w:val="002D77B7"/>
    <w:rsid w:val="00317B7B"/>
    <w:rsid w:val="003778B6"/>
    <w:rsid w:val="00377A1B"/>
    <w:rsid w:val="00383FE4"/>
    <w:rsid w:val="003C5EED"/>
    <w:rsid w:val="004162D0"/>
    <w:rsid w:val="00427F31"/>
    <w:rsid w:val="004355A0"/>
    <w:rsid w:val="0044029D"/>
    <w:rsid w:val="00451E8F"/>
    <w:rsid w:val="004570EB"/>
    <w:rsid w:val="00471B90"/>
    <w:rsid w:val="00480BE5"/>
    <w:rsid w:val="00485D95"/>
    <w:rsid w:val="004A081D"/>
    <w:rsid w:val="004B2E33"/>
    <w:rsid w:val="004D5A9F"/>
    <w:rsid w:val="004D6636"/>
    <w:rsid w:val="004E724F"/>
    <w:rsid w:val="00514DD8"/>
    <w:rsid w:val="005401DC"/>
    <w:rsid w:val="00571B35"/>
    <w:rsid w:val="005A0F0C"/>
    <w:rsid w:val="005A226A"/>
    <w:rsid w:val="005C0DC6"/>
    <w:rsid w:val="005E5966"/>
    <w:rsid w:val="005F2225"/>
    <w:rsid w:val="005F32DF"/>
    <w:rsid w:val="006112A0"/>
    <w:rsid w:val="006522D8"/>
    <w:rsid w:val="006569F5"/>
    <w:rsid w:val="00693030"/>
    <w:rsid w:val="006B037F"/>
    <w:rsid w:val="00716CC6"/>
    <w:rsid w:val="007216D0"/>
    <w:rsid w:val="00721CCE"/>
    <w:rsid w:val="00725569"/>
    <w:rsid w:val="00732C33"/>
    <w:rsid w:val="00746134"/>
    <w:rsid w:val="00781D94"/>
    <w:rsid w:val="007963CD"/>
    <w:rsid w:val="007A1C22"/>
    <w:rsid w:val="007A3BE8"/>
    <w:rsid w:val="007A7296"/>
    <w:rsid w:val="007D20CA"/>
    <w:rsid w:val="007D5123"/>
    <w:rsid w:val="007E1DEC"/>
    <w:rsid w:val="007F2843"/>
    <w:rsid w:val="0081068A"/>
    <w:rsid w:val="00846355"/>
    <w:rsid w:val="00852456"/>
    <w:rsid w:val="0085452D"/>
    <w:rsid w:val="00863988"/>
    <w:rsid w:val="00864717"/>
    <w:rsid w:val="00875CFC"/>
    <w:rsid w:val="008C2500"/>
    <w:rsid w:val="008C4E2F"/>
    <w:rsid w:val="00921A29"/>
    <w:rsid w:val="00923104"/>
    <w:rsid w:val="00923A31"/>
    <w:rsid w:val="00975B60"/>
    <w:rsid w:val="00975C7A"/>
    <w:rsid w:val="009D7D21"/>
    <w:rsid w:val="00A10CDB"/>
    <w:rsid w:val="00A16267"/>
    <w:rsid w:val="00A31874"/>
    <w:rsid w:val="00A31D92"/>
    <w:rsid w:val="00A32311"/>
    <w:rsid w:val="00A41E04"/>
    <w:rsid w:val="00A44613"/>
    <w:rsid w:val="00A75D50"/>
    <w:rsid w:val="00A87288"/>
    <w:rsid w:val="00AA7CFE"/>
    <w:rsid w:val="00B13F40"/>
    <w:rsid w:val="00B441C2"/>
    <w:rsid w:val="00B46BAD"/>
    <w:rsid w:val="00B70CF5"/>
    <w:rsid w:val="00B75F46"/>
    <w:rsid w:val="00B936A3"/>
    <w:rsid w:val="00B952CC"/>
    <w:rsid w:val="00BC072E"/>
    <w:rsid w:val="00BC364A"/>
    <w:rsid w:val="00BE4265"/>
    <w:rsid w:val="00C03EB3"/>
    <w:rsid w:val="00C4228A"/>
    <w:rsid w:val="00C51076"/>
    <w:rsid w:val="00C74110"/>
    <w:rsid w:val="00C759A0"/>
    <w:rsid w:val="00CA3968"/>
    <w:rsid w:val="00CD77C2"/>
    <w:rsid w:val="00CE57E3"/>
    <w:rsid w:val="00CF1E5E"/>
    <w:rsid w:val="00D4780E"/>
    <w:rsid w:val="00DA729C"/>
    <w:rsid w:val="00DD2034"/>
    <w:rsid w:val="00DF480F"/>
    <w:rsid w:val="00E23173"/>
    <w:rsid w:val="00E40AB1"/>
    <w:rsid w:val="00E530A8"/>
    <w:rsid w:val="00E56629"/>
    <w:rsid w:val="00E750DC"/>
    <w:rsid w:val="00EA0FC8"/>
    <w:rsid w:val="00EB2BBE"/>
    <w:rsid w:val="00EC774A"/>
    <w:rsid w:val="00EE3565"/>
    <w:rsid w:val="00F62D85"/>
    <w:rsid w:val="00FD5DDA"/>
    <w:rsid w:val="00FE0891"/>
    <w:rsid w:val="00FF4E87"/>
    <w:rsid w:val="03942765"/>
    <w:rsid w:val="054D35C3"/>
    <w:rsid w:val="05A6386A"/>
    <w:rsid w:val="060F0966"/>
    <w:rsid w:val="07D7113E"/>
    <w:rsid w:val="07FE652C"/>
    <w:rsid w:val="086B458F"/>
    <w:rsid w:val="08805332"/>
    <w:rsid w:val="092359D7"/>
    <w:rsid w:val="09472D32"/>
    <w:rsid w:val="0A2D1174"/>
    <w:rsid w:val="0B245CF3"/>
    <w:rsid w:val="0BAF40D6"/>
    <w:rsid w:val="0BD249B2"/>
    <w:rsid w:val="0D246BD4"/>
    <w:rsid w:val="0D2F1115"/>
    <w:rsid w:val="0DA35750"/>
    <w:rsid w:val="0DBB2578"/>
    <w:rsid w:val="0DDF6F9F"/>
    <w:rsid w:val="0E477FDC"/>
    <w:rsid w:val="0EDB7766"/>
    <w:rsid w:val="0F984C05"/>
    <w:rsid w:val="11553800"/>
    <w:rsid w:val="12491D69"/>
    <w:rsid w:val="12625618"/>
    <w:rsid w:val="13613FB9"/>
    <w:rsid w:val="15B2628A"/>
    <w:rsid w:val="16335009"/>
    <w:rsid w:val="166E7663"/>
    <w:rsid w:val="17252CDC"/>
    <w:rsid w:val="179764FD"/>
    <w:rsid w:val="18CB25F9"/>
    <w:rsid w:val="1A6E3C3A"/>
    <w:rsid w:val="1AA80E44"/>
    <w:rsid w:val="1BAA690E"/>
    <w:rsid w:val="1C3567ED"/>
    <w:rsid w:val="1E5D1F46"/>
    <w:rsid w:val="1EC73863"/>
    <w:rsid w:val="1FFE4FF8"/>
    <w:rsid w:val="216D3F7F"/>
    <w:rsid w:val="23A83C63"/>
    <w:rsid w:val="23DF164F"/>
    <w:rsid w:val="24497258"/>
    <w:rsid w:val="25C87BB4"/>
    <w:rsid w:val="27337569"/>
    <w:rsid w:val="285B5912"/>
    <w:rsid w:val="299977B0"/>
    <w:rsid w:val="29AF7AA0"/>
    <w:rsid w:val="2A2D713F"/>
    <w:rsid w:val="2A563846"/>
    <w:rsid w:val="2B8054C5"/>
    <w:rsid w:val="2DEF06E0"/>
    <w:rsid w:val="2F86309A"/>
    <w:rsid w:val="33607256"/>
    <w:rsid w:val="33E82B6E"/>
    <w:rsid w:val="34E951F3"/>
    <w:rsid w:val="3510354D"/>
    <w:rsid w:val="36F823B4"/>
    <w:rsid w:val="38001ED1"/>
    <w:rsid w:val="380C7E9D"/>
    <w:rsid w:val="382F2577"/>
    <w:rsid w:val="39470667"/>
    <w:rsid w:val="39695BA9"/>
    <w:rsid w:val="39D3594E"/>
    <w:rsid w:val="3B09375B"/>
    <w:rsid w:val="3C9375C1"/>
    <w:rsid w:val="409823DF"/>
    <w:rsid w:val="41315B57"/>
    <w:rsid w:val="42A50927"/>
    <w:rsid w:val="4350523B"/>
    <w:rsid w:val="438751EB"/>
    <w:rsid w:val="4492203A"/>
    <w:rsid w:val="4585575A"/>
    <w:rsid w:val="46161889"/>
    <w:rsid w:val="47854EFC"/>
    <w:rsid w:val="491354E7"/>
    <w:rsid w:val="4ACF4DCB"/>
    <w:rsid w:val="4AE90DC1"/>
    <w:rsid w:val="4D3C3F75"/>
    <w:rsid w:val="4D565C2E"/>
    <w:rsid w:val="4F876573"/>
    <w:rsid w:val="507C141B"/>
    <w:rsid w:val="51387611"/>
    <w:rsid w:val="51F30844"/>
    <w:rsid w:val="53545A44"/>
    <w:rsid w:val="54D74397"/>
    <w:rsid w:val="55056F56"/>
    <w:rsid w:val="55456CB4"/>
    <w:rsid w:val="56825435"/>
    <w:rsid w:val="56DE2F1C"/>
    <w:rsid w:val="57050FA0"/>
    <w:rsid w:val="576158FB"/>
    <w:rsid w:val="5865507A"/>
    <w:rsid w:val="591734E0"/>
    <w:rsid w:val="5A580604"/>
    <w:rsid w:val="5C5227E4"/>
    <w:rsid w:val="606E6A75"/>
    <w:rsid w:val="618315C1"/>
    <w:rsid w:val="61F71336"/>
    <w:rsid w:val="62010511"/>
    <w:rsid w:val="625059A0"/>
    <w:rsid w:val="629D5843"/>
    <w:rsid w:val="63C2425D"/>
    <w:rsid w:val="64064A38"/>
    <w:rsid w:val="64B4480A"/>
    <w:rsid w:val="6532711C"/>
    <w:rsid w:val="65E6293F"/>
    <w:rsid w:val="685A01D2"/>
    <w:rsid w:val="6D52539C"/>
    <w:rsid w:val="6DF40E20"/>
    <w:rsid w:val="6E02353D"/>
    <w:rsid w:val="6EFF7B6F"/>
    <w:rsid w:val="7078022E"/>
    <w:rsid w:val="725B3D6F"/>
    <w:rsid w:val="72BC20E7"/>
    <w:rsid w:val="76BB072D"/>
    <w:rsid w:val="77DF7935"/>
    <w:rsid w:val="7A5769BE"/>
    <w:rsid w:val="7DDA4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99"/>
    <w:pPr>
      <w:jc w:val="left"/>
    </w:pPr>
  </w:style>
  <w:style w:type="paragraph" w:styleId="3">
    <w:name w:val="Balloon Text"/>
    <w:basedOn w:val="1"/>
    <w:link w:val="15"/>
    <w:autoRedefine/>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sz w:val="24"/>
    </w:rPr>
  </w:style>
  <w:style w:type="paragraph" w:styleId="7">
    <w:name w:val="annotation subject"/>
    <w:basedOn w:val="2"/>
    <w:next w:val="2"/>
    <w:link w:val="18"/>
    <w:autoRedefine/>
    <w:semiHidden/>
    <w:unhideWhenUsed/>
    <w:qFormat/>
    <w:uiPriority w:val="99"/>
    <w:rPr>
      <w:b/>
      <w:bCs/>
    </w:rPr>
  </w:style>
  <w:style w:type="table" w:styleId="9">
    <w:name w:val="Table Grid"/>
    <w:basedOn w:val="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5"/>
    <w:qFormat/>
    <w:uiPriority w:val="99"/>
    <w:rPr>
      <w:sz w:val="18"/>
      <w:szCs w:val="18"/>
    </w:rPr>
  </w:style>
  <w:style w:type="character" w:customStyle="1" w:styleId="13">
    <w:name w:val="页脚 字符"/>
    <w:basedOn w:val="10"/>
    <w:link w:val="4"/>
    <w:autoRedefine/>
    <w:qFormat/>
    <w:uiPriority w:val="99"/>
    <w:rPr>
      <w:sz w:val="18"/>
      <w:szCs w:val="18"/>
    </w:rPr>
  </w:style>
  <w:style w:type="paragraph" w:customStyle="1" w:styleId="14">
    <w:name w:val="cjk"/>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5">
    <w:name w:val="批注框文本 字符"/>
    <w:basedOn w:val="10"/>
    <w:link w:val="3"/>
    <w:autoRedefine/>
    <w:semiHidden/>
    <w:qFormat/>
    <w:uiPriority w:val="99"/>
    <w:rPr>
      <w:rFonts w:ascii="Calibri" w:hAnsi="Calibri"/>
      <w:kern w:val="2"/>
      <w:sz w:val="18"/>
      <w:szCs w:val="18"/>
    </w:rPr>
  </w:style>
  <w:style w:type="paragraph" w:styleId="16">
    <w:name w:val="List Paragraph"/>
    <w:basedOn w:val="1"/>
    <w:autoRedefine/>
    <w:qFormat/>
    <w:uiPriority w:val="99"/>
    <w:pPr>
      <w:ind w:firstLine="420" w:firstLineChars="200"/>
    </w:pPr>
  </w:style>
  <w:style w:type="character" w:customStyle="1" w:styleId="17">
    <w:name w:val="批注文字 字符"/>
    <w:basedOn w:val="10"/>
    <w:link w:val="2"/>
    <w:semiHidden/>
    <w:qFormat/>
    <w:uiPriority w:val="99"/>
    <w:rPr>
      <w:rFonts w:ascii="Calibri" w:hAnsi="Calibri"/>
      <w:kern w:val="2"/>
      <w:sz w:val="21"/>
      <w:szCs w:val="24"/>
    </w:rPr>
  </w:style>
  <w:style w:type="character" w:customStyle="1" w:styleId="18">
    <w:name w:val="批注主题 字符"/>
    <w:basedOn w:val="17"/>
    <w:link w:val="7"/>
    <w:semiHidden/>
    <w:qFormat/>
    <w:uiPriority w:val="99"/>
    <w:rPr>
      <w:rFonts w:ascii="Calibri" w:hAnsi="Calibr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Pages>
  <Words>4530</Words>
  <Characters>4697</Characters>
  <Lines>39</Lines>
  <Paragraphs>11</Paragraphs>
  <TotalTime>16</TotalTime>
  <ScaleCrop>false</ScaleCrop>
  <LinksUpToDate>false</LinksUpToDate>
  <CharactersWithSpaces>4701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2021-05-18T02:05:00Z</dcterms:created>
  <dc:creator>hsd0303</dc:creator>
  <cp:lastModifiedBy>武光辉</cp:lastModifiedBy>
  <cp:lastPrinted>2024-09-12T08:52:00Z</cp:lastPrinted>
  <dcterms:modified xsi:type="dcterms:W3CDTF">2024-09-13T07:53:09Z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44007A015376434AA582AFD46E77D053_13</vt:lpwstr>
  </property>
</Properties>
</file>