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804E8">
      <w:pPr>
        <w:widowControl/>
        <w:spacing w:before="75" w:line="360" w:lineRule="atLeast"/>
        <w:jc w:val="center"/>
        <w:rPr>
          <w:rFonts w:hint="eastAsia" w:ascii="黑体" w:hAnsi="黑体" w:eastAsia="黑体" w:cs="宋体"/>
          <w:kern w:val="0"/>
          <w:sz w:val="30"/>
          <w:szCs w:val="30"/>
        </w:rPr>
      </w:pPr>
      <w:r>
        <w:rPr>
          <w:rFonts w:hint="eastAsia" w:ascii="黑体" w:hAnsi="黑体" w:eastAsia="黑体" w:cs="宋体"/>
          <w:kern w:val="0"/>
          <w:sz w:val="30"/>
          <w:szCs w:val="30"/>
        </w:rPr>
        <w:t>化学化工学院推荐2025届优秀应届本科毕业生免试攻读硕士</w:t>
      </w:r>
    </w:p>
    <w:p w14:paraId="1A54E699">
      <w:pPr>
        <w:widowControl/>
        <w:spacing w:before="75" w:line="360" w:lineRule="atLeast"/>
        <w:jc w:val="center"/>
        <w:rPr>
          <w:rFonts w:ascii="宋体" w:hAnsi="宋体" w:eastAsia="宋体" w:cs="宋体"/>
          <w:kern w:val="0"/>
          <w:sz w:val="30"/>
          <w:szCs w:val="30"/>
        </w:rPr>
      </w:pPr>
      <w:r>
        <w:rPr>
          <w:rFonts w:hint="eastAsia" w:ascii="黑体" w:hAnsi="黑体" w:eastAsia="黑体" w:cs="宋体"/>
          <w:kern w:val="0"/>
          <w:sz w:val="30"/>
          <w:szCs w:val="30"/>
        </w:rPr>
        <w:t>学位研究生实施细则</w:t>
      </w:r>
    </w:p>
    <w:p w14:paraId="42D92DE0">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rPr>
        <w:t>为做好</w:t>
      </w:r>
      <w:r>
        <w:rPr>
          <w:rFonts w:hint="eastAsia" w:ascii="仿宋" w:hAnsi="仿宋" w:eastAsia="仿宋" w:cs="宋体"/>
          <w:kern w:val="0"/>
          <w:sz w:val="28"/>
          <w:szCs w:val="28"/>
          <w:lang w:val="en-US" w:eastAsia="zh-CN"/>
        </w:rPr>
        <w:t>学</w:t>
      </w:r>
      <w:r>
        <w:rPr>
          <w:rFonts w:hint="eastAsia" w:ascii="仿宋" w:hAnsi="仿宋" w:eastAsia="仿宋" w:cs="宋体"/>
          <w:kern w:val="0"/>
          <w:sz w:val="28"/>
          <w:szCs w:val="28"/>
        </w:rPr>
        <w:t>院推荐免试攻读硕士学位研究生工作，深入贯彻全国教育大会和新时代全国高等学校本科教育工作会议精神，根据国家和教育部有关文件要求，参照《河南师范大学推荐优秀应届本科毕业生免试攻读硕士学位研究生管理办法</w:t>
      </w: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修订</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》（师大教〔202</w:t>
      </w:r>
      <w:r>
        <w:rPr>
          <w:rFonts w:hint="eastAsia" w:ascii="仿宋" w:hAnsi="仿宋" w:eastAsia="仿宋" w:cs="宋体"/>
          <w:kern w:val="0"/>
          <w:sz w:val="28"/>
          <w:szCs w:val="28"/>
          <w:lang w:val="en-US" w:eastAsia="zh-CN"/>
        </w:rPr>
        <w:t>4</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2</w:t>
      </w:r>
      <w:r>
        <w:rPr>
          <w:rFonts w:hint="eastAsia" w:ascii="仿宋" w:hAnsi="仿宋" w:eastAsia="仿宋" w:cs="宋体"/>
          <w:kern w:val="0"/>
          <w:sz w:val="28"/>
          <w:szCs w:val="28"/>
        </w:rPr>
        <w:t>号）具体内容，特制定本实施细则。</w:t>
      </w:r>
    </w:p>
    <w:p w14:paraId="3507489B">
      <w:pPr>
        <w:widowControl/>
        <w:spacing w:before="75" w:line="360" w:lineRule="atLeast"/>
        <w:ind w:firstLine="555"/>
        <w:jc w:val="left"/>
        <w:rPr>
          <w:rFonts w:ascii="宋体" w:hAnsi="宋体" w:eastAsia="宋体" w:cs="宋体"/>
          <w:kern w:val="0"/>
          <w:sz w:val="28"/>
          <w:szCs w:val="28"/>
        </w:rPr>
      </w:pPr>
      <w:r>
        <w:rPr>
          <w:rFonts w:hint="eastAsia" w:ascii="黑体" w:hAnsi="黑体" w:eastAsia="黑体" w:cs="宋体"/>
          <w:kern w:val="0"/>
          <w:sz w:val="28"/>
          <w:szCs w:val="28"/>
        </w:rPr>
        <w:t>一、推荐条件</w:t>
      </w:r>
    </w:p>
    <w:p w14:paraId="31239759">
      <w:pPr>
        <w:keepNext w:val="0"/>
        <w:keepLines w:val="0"/>
        <w:pageBreakBefore w:val="0"/>
        <w:widowControl/>
        <w:kinsoku/>
        <w:wordWrap/>
        <w:overflowPunct/>
        <w:topLinePunct w:val="0"/>
        <w:autoSpaceDE/>
        <w:autoSpaceDN/>
        <w:bidi w:val="0"/>
        <w:adjustRightInd/>
        <w:snapToGrid/>
        <w:spacing w:before="75" w:line="360" w:lineRule="atLeast"/>
        <w:ind w:firstLine="562" w:firstLineChars="200"/>
        <w:jc w:val="left"/>
        <w:textAlignment w:val="auto"/>
        <w:rPr>
          <w:rFonts w:ascii="宋体" w:hAnsi="宋体" w:eastAsia="宋体" w:cs="宋体"/>
          <w:kern w:val="0"/>
          <w:sz w:val="28"/>
          <w:szCs w:val="28"/>
        </w:rPr>
      </w:pPr>
      <w:r>
        <w:rPr>
          <w:rFonts w:hint="eastAsia" w:ascii="仿宋" w:hAnsi="仿宋" w:eastAsia="仿宋" w:cs="宋体"/>
          <w:b/>
          <w:bCs/>
          <w:kern w:val="0"/>
          <w:sz w:val="28"/>
          <w:szCs w:val="28"/>
        </w:rPr>
        <w:t>（一）普通类推免生推荐条件</w:t>
      </w:r>
    </w:p>
    <w:p w14:paraId="34CF0453">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1.坚持和拥护党的领导，遵纪守法，品德优良，刻苦学习，勤于创新，身心健康，积极向上</w:t>
      </w:r>
      <w:r>
        <w:rPr>
          <w:rFonts w:hint="eastAsia" w:ascii="仿宋" w:hAnsi="仿宋" w:eastAsia="仿宋" w:cs="宋体"/>
          <w:b w:val="0"/>
          <w:bCs w:val="0"/>
          <w:kern w:val="0"/>
          <w:sz w:val="28"/>
          <w:szCs w:val="28"/>
          <w:lang w:eastAsia="zh-CN"/>
        </w:rPr>
        <w:t>。</w:t>
      </w:r>
    </w:p>
    <w:p w14:paraId="46C8C343">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2.</w:t>
      </w:r>
      <w:r>
        <w:rPr>
          <w:rFonts w:hint="eastAsia" w:ascii="仿宋" w:hAnsi="仿宋" w:eastAsia="仿宋" w:cs="宋体"/>
          <w:b w:val="0"/>
          <w:bCs w:val="0"/>
          <w:kern w:val="0"/>
          <w:sz w:val="28"/>
          <w:szCs w:val="28"/>
          <w:highlight w:val="none"/>
          <w:lang w:val="en-US" w:eastAsia="zh-CN"/>
        </w:rPr>
        <w:t>学业综合成绩</w:t>
      </w:r>
      <w:r>
        <w:rPr>
          <w:rFonts w:hint="eastAsia" w:ascii="仿宋" w:hAnsi="仿宋" w:eastAsia="仿宋" w:cs="宋体"/>
          <w:b w:val="0"/>
          <w:bCs w:val="0"/>
          <w:kern w:val="0"/>
          <w:sz w:val="28"/>
          <w:szCs w:val="28"/>
        </w:rPr>
        <w:t>排名位于本专业学生总人数</w:t>
      </w:r>
      <w:r>
        <w:rPr>
          <w:rFonts w:hint="eastAsia" w:ascii="仿宋" w:hAnsi="仿宋" w:eastAsia="仿宋" w:cs="宋体"/>
          <w:b w:val="0"/>
          <w:bCs w:val="0"/>
          <w:kern w:val="0"/>
          <w:sz w:val="28"/>
          <w:szCs w:val="28"/>
          <w:highlight w:val="none"/>
        </w:rPr>
        <w:t>（不含公费师范生）</w:t>
      </w:r>
      <w:r>
        <w:rPr>
          <w:rFonts w:hint="eastAsia" w:ascii="仿宋" w:hAnsi="仿宋" w:eastAsia="仿宋" w:cs="宋体"/>
          <w:b w:val="0"/>
          <w:bCs w:val="0"/>
          <w:kern w:val="0"/>
          <w:sz w:val="28"/>
          <w:szCs w:val="28"/>
        </w:rPr>
        <w:t>的前40%（含40%）。有任意课程补考记录者须位于前20%</w:t>
      </w:r>
      <w:r>
        <w:rPr>
          <w:rFonts w:hint="eastAsia" w:ascii="仿宋" w:hAnsi="仿宋" w:eastAsia="仿宋" w:cs="宋体"/>
          <w:b w:val="0"/>
          <w:bCs w:val="0"/>
          <w:kern w:val="0"/>
          <w:sz w:val="28"/>
          <w:szCs w:val="28"/>
          <w:highlight w:val="none"/>
          <w:lang w:eastAsia="zh-CN"/>
        </w:rPr>
        <w:t>（</w:t>
      </w:r>
      <w:r>
        <w:rPr>
          <w:rFonts w:hint="eastAsia" w:ascii="仿宋" w:hAnsi="仿宋" w:eastAsia="仿宋" w:cs="宋体"/>
          <w:b w:val="0"/>
          <w:bCs w:val="0"/>
          <w:kern w:val="0"/>
          <w:sz w:val="28"/>
          <w:szCs w:val="28"/>
          <w:highlight w:val="none"/>
          <w:lang w:val="en-US" w:eastAsia="zh-CN"/>
        </w:rPr>
        <w:t>含20%</w:t>
      </w:r>
      <w:r>
        <w:rPr>
          <w:rFonts w:hint="eastAsia" w:ascii="仿宋" w:hAnsi="仿宋" w:eastAsia="仿宋" w:cs="宋体"/>
          <w:b w:val="0"/>
          <w:bCs w:val="0"/>
          <w:kern w:val="0"/>
          <w:sz w:val="28"/>
          <w:szCs w:val="28"/>
          <w:highlight w:val="none"/>
          <w:lang w:eastAsia="zh-CN"/>
        </w:rPr>
        <w:t>）</w:t>
      </w:r>
      <w:r>
        <w:rPr>
          <w:rFonts w:hint="eastAsia" w:ascii="仿宋" w:hAnsi="仿宋" w:eastAsia="仿宋" w:cs="宋体"/>
          <w:b w:val="0"/>
          <w:bCs w:val="0"/>
          <w:kern w:val="0"/>
          <w:sz w:val="28"/>
          <w:szCs w:val="28"/>
          <w:highlight w:val="none"/>
        </w:rPr>
        <w:t>。</w:t>
      </w:r>
    </w:p>
    <w:p w14:paraId="3986A75E">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b w:val="0"/>
          <w:bCs w:val="0"/>
          <w:kern w:val="0"/>
          <w:sz w:val="28"/>
          <w:szCs w:val="28"/>
        </w:rPr>
        <w:t>3.英语水平达到</w:t>
      </w:r>
      <w:r>
        <w:rPr>
          <w:rFonts w:hint="eastAsia" w:ascii="仿宋" w:hAnsi="仿宋" w:eastAsia="仿宋" w:cs="宋体"/>
          <w:b w:val="0"/>
          <w:bCs w:val="0"/>
          <w:kern w:val="0"/>
          <w:sz w:val="28"/>
          <w:szCs w:val="28"/>
          <w:lang w:val="en-US" w:eastAsia="zh-CN"/>
        </w:rPr>
        <w:t>大学生英语</w:t>
      </w:r>
      <w:r>
        <w:rPr>
          <w:rFonts w:hint="eastAsia" w:ascii="仿宋" w:hAnsi="仿宋" w:eastAsia="仿宋" w:cs="宋体"/>
          <w:b w:val="0"/>
          <w:bCs w:val="0"/>
          <w:kern w:val="0"/>
          <w:sz w:val="28"/>
          <w:szCs w:val="28"/>
        </w:rPr>
        <w:t>四级考试水平</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成绩≥425</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或雅思成绩达到6.0或托福成绩65分及以上。</w:t>
      </w:r>
      <w:r>
        <w:rPr>
          <w:rFonts w:hint="eastAsia" w:ascii="仿宋" w:hAnsi="仿宋" w:eastAsia="仿宋" w:cs="宋体"/>
          <w:b w:val="0"/>
          <w:bCs w:val="0"/>
          <w:kern w:val="0"/>
          <w:sz w:val="28"/>
          <w:szCs w:val="28"/>
          <w:highlight w:val="none"/>
          <w:lang w:val="en-US" w:eastAsia="zh-CN"/>
        </w:rPr>
        <w:t>所</w:t>
      </w:r>
      <w:r>
        <w:rPr>
          <w:rFonts w:hint="eastAsia" w:ascii="仿宋" w:hAnsi="仿宋" w:eastAsia="仿宋" w:cs="宋体"/>
          <w:b w:val="0"/>
          <w:bCs w:val="0"/>
          <w:kern w:val="0"/>
          <w:sz w:val="28"/>
          <w:szCs w:val="28"/>
          <w:highlight w:val="none"/>
        </w:rPr>
        <w:t>修外语为小语种（日语、俄语）的学生，大学日语、大学俄语四级考试成绩为及格或相应等级测试成绩</w:t>
      </w:r>
      <w:r>
        <w:rPr>
          <w:rFonts w:hint="eastAsia" w:ascii="仿宋" w:hAnsi="仿宋" w:eastAsia="仿宋" w:cs="宋体"/>
          <w:kern w:val="0"/>
          <w:sz w:val="28"/>
          <w:szCs w:val="28"/>
          <w:highlight w:val="none"/>
        </w:rPr>
        <w:t>。</w:t>
      </w:r>
    </w:p>
    <w:p w14:paraId="27923EBA">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rPr>
        <w:t>4.在各类竞赛中获得省级及以上奖励者，或在校学习期间以第一作者在中文核心刊物上发表论文者，同等条件下可优先推荐。</w:t>
      </w:r>
    </w:p>
    <w:p w14:paraId="123AE509">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5.有下列情况之一者，不予推荐：</w:t>
      </w:r>
    </w:p>
    <w:p w14:paraId="3BA8585B">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1</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考试作弊及协同作弊者；</w:t>
      </w:r>
    </w:p>
    <w:p w14:paraId="2D5CF642">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2</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受过警告</w:t>
      </w:r>
      <w:r>
        <w:rPr>
          <w:rFonts w:hint="eastAsia" w:ascii="仿宋" w:hAnsi="仿宋" w:eastAsia="仿宋" w:cs="宋体"/>
          <w:kern w:val="0"/>
          <w:sz w:val="28"/>
          <w:szCs w:val="28"/>
          <w:lang w:eastAsia="zh-CN"/>
        </w:rPr>
        <w:t>及</w:t>
      </w:r>
      <w:r>
        <w:rPr>
          <w:rFonts w:hint="eastAsia" w:ascii="仿宋" w:hAnsi="仿宋" w:eastAsia="仿宋" w:cs="宋体"/>
          <w:kern w:val="0"/>
          <w:sz w:val="28"/>
          <w:szCs w:val="28"/>
        </w:rPr>
        <w:t>警告以上纪律处分者；</w:t>
      </w:r>
    </w:p>
    <w:p w14:paraId="35FE8812">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3</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推荐时已确定不能获得学士学位者。</w:t>
      </w:r>
    </w:p>
    <w:p w14:paraId="7D9E2AA2">
      <w:pPr>
        <w:keepNext w:val="0"/>
        <w:keepLines w:val="0"/>
        <w:pageBreakBefore w:val="0"/>
        <w:widowControl/>
        <w:kinsoku/>
        <w:wordWrap/>
        <w:overflowPunct/>
        <w:topLinePunct w:val="0"/>
        <w:autoSpaceDE/>
        <w:autoSpaceDN/>
        <w:bidi w:val="0"/>
        <w:adjustRightInd/>
        <w:snapToGrid/>
        <w:spacing w:before="75" w:line="360" w:lineRule="atLeast"/>
        <w:ind w:firstLine="562" w:firstLineChars="200"/>
        <w:jc w:val="left"/>
        <w:textAlignment w:val="auto"/>
        <w:rPr>
          <w:rFonts w:ascii="宋体" w:hAnsi="宋体" w:eastAsia="宋体" w:cs="宋体"/>
          <w:kern w:val="0"/>
          <w:sz w:val="28"/>
          <w:szCs w:val="28"/>
        </w:rPr>
      </w:pPr>
      <w:r>
        <w:rPr>
          <w:rFonts w:hint="eastAsia" w:ascii="仿宋" w:hAnsi="仿宋" w:eastAsia="仿宋" w:cs="宋体"/>
          <w:b/>
          <w:bCs/>
          <w:kern w:val="0"/>
          <w:sz w:val="28"/>
          <w:szCs w:val="28"/>
        </w:rPr>
        <w:t>（二）硕师计划</w:t>
      </w:r>
      <w:r>
        <w:rPr>
          <w:rFonts w:hint="eastAsia" w:ascii="仿宋" w:hAnsi="仿宋" w:eastAsia="仿宋" w:cs="宋体"/>
          <w:b/>
          <w:bCs/>
          <w:kern w:val="0"/>
          <w:sz w:val="28"/>
          <w:szCs w:val="28"/>
          <w:lang w:val="en-US" w:eastAsia="zh-CN"/>
        </w:rPr>
        <w:t>类</w:t>
      </w:r>
      <w:r>
        <w:rPr>
          <w:rFonts w:hint="eastAsia" w:ascii="仿宋" w:hAnsi="仿宋" w:eastAsia="仿宋" w:cs="宋体"/>
          <w:b/>
          <w:bCs/>
          <w:kern w:val="0"/>
          <w:sz w:val="28"/>
          <w:szCs w:val="28"/>
        </w:rPr>
        <w:t>推免生推荐条件</w:t>
      </w:r>
    </w:p>
    <w:p w14:paraId="1AA8C916">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rPr>
        <w:t>1.坚持和拥护党的领导，遵纪守法，品德优良，刻苦学习，勤于创新，身心健康，积极向上。有志于从事农村教育教学、研究工作，志愿到县镇及以下农村学校任教。</w:t>
      </w:r>
    </w:p>
    <w:p w14:paraId="2584DB0C">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kern w:val="0"/>
          <w:sz w:val="28"/>
          <w:szCs w:val="28"/>
        </w:rPr>
        <w:t>2.</w:t>
      </w:r>
      <w:r>
        <w:rPr>
          <w:rFonts w:hint="eastAsia" w:ascii="仿宋" w:hAnsi="仿宋" w:eastAsia="仿宋" w:cs="宋体"/>
          <w:kern w:val="0"/>
          <w:sz w:val="28"/>
          <w:szCs w:val="28"/>
          <w:highlight w:val="none"/>
        </w:rPr>
        <w:t>学业综合成绩</w:t>
      </w:r>
      <w:r>
        <w:rPr>
          <w:rFonts w:hint="eastAsia" w:ascii="仿宋" w:hAnsi="仿宋" w:eastAsia="仿宋" w:cs="宋体"/>
          <w:kern w:val="0"/>
          <w:sz w:val="28"/>
          <w:szCs w:val="28"/>
        </w:rPr>
        <w:t>排名</w:t>
      </w:r>
      <w:r>
        <w:rPr>
          <w:rFonts w:hint="eastAsia" w:ascii="仿宋" w:hAnsi="仿宋" w:eastAsia="仿宋" w:cs="宋体"/>
          <w:b w:val="0"/>
          <w:bCs w:val="0"/>
          <w:kern w:val="0"/>
          <w:sz w:val="28"/>
          <w:szCs w:val="28"/>
        </w:rPr>
        <w:t>位于本专业学生总人数的前60%（含60%），有任意课程补考记录者须位于前30</w:t>
      </w:r>
      <w:r>
        <w:rPr>
          <w:rFonts w:hint="eastAsia" w:ascii="仿宋" w:hAnsi="仿宋" w:eastAsia="仿宋" w:cs="宋体"/>
          <w:b w:val="0"/>
          <w:bCs w:val="0"/>
          <w:kern w:val="0"/>
          <w:sz w:val="28"/>
          <w:szCs w:val="28"/>
          <w:highlight w:val="none"/>
        </w:rPr>
        <w:t>%</w:t>
      </w:r>
      <w:r>
        <w:rPr>
          <w:rFonts w:hint="eastAsia" w:ascii="仿宋" w:hAnsi="仿宋" w:eastAsia="仿宋" w:cs="宋体"/>
          <w:b w:val="0"/>
          <w:bCs w:val="0"/>
          <w:kern w:val="0"/>
          <w:sz w:val="28"/>
          <w:szCs w:val="28"/>
          <w:highlight w:val="none"/>
          <w:lang w:eastAsia="zh-CN"/>
        </w:rPr>
        <w:t>（</w:t>
      </w:r>
      <w:r>
        <w:rPr>
          <w:rFonts w:hint="eastAsia" w:ascii="仿宋" w:hAnsi="仿宋" w:eastAsia="仿宋" w:cs="宋体"/>
          <w:b w:val="0"/>
          <w:bCs w:val="0"/>
          <w:kern w:val="0"/>
          <w:sz w:val="28"/>
          <w:szCs w:val="28"/>
          <w:highlight w:val="none"/>
          <w:lang w:val="en-US" w:eastAsia="zh-CN"/>
        </w:rPr>
        <w:t>含30%</w:t>
      </w:r>
      <w:r>
        <w:rPr>
          <w:rFonts w:hint="eastAsia" w:ascii="仿宋" w:hAnsi="仿宋" w:eastAsia="仿宋" w:cs="宋体"/>
          <w:b w:val="0"/>
          <w:bCs w:val="0"/>
          <w:kern w:val="0"/>
          <w:sz w:val="28"/>
          <w:szCs w:val="28"/>
          <w:highlight w:val="none"/>
          <w:lang w:eastAsia="zh-CN"/>
        </w:rPr>
        <w:t>）</w:t>
      </w:r>
      <w:r>
        <w:rPr>
          <w:rFonts w:hint="eastAsia" w:ascii="仿宋" w:hAnsi="仿宋" w:eastAsia="仿宋" w:cs="宋体"/>
          <w:b w:val="0"/>
          <w:bCs w:val="0"/>
          <w:kern w:val="0"/>
          <w:sz w:val="28"/>
          <w:szCs w:val="28"/>
        </w:rPr>
        <w:t>。</w:t>
      </w:r>
    </w:p>
    <w:p w14:paraId="76218D0D">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3.英语水平达到</w:t>
      </w:r>
      <w:r>
        <w:rPr>
          <w:rFonts w:hint="eastAsia" w:ascii="仿宋" w:hAnsi="仿宋" w:eastAsia="仿宋" w:cs="宋体"/>
          <w:b w:val="0"/>
          <w:bCs w:val="0"/>
          <w:kern w:val="0"/>
          <w:sz w:val="28"/>
          <w:szCs w:val="28"/>
          <w:lang w:val="en-US" w:eastAsia="zh-CN"/>
        </w:rPr>
        <w:t>大学生英语</w:t>
      </w:r>
      <w:r>
        <w:rPr>
          <w:rFonts w:hint="eastAsia" w:ascii="仿宋" w:hAnsi="仿宋" w:eastAsia="仿宋" w:cs="宋体"/>
          <w:b w:val="0"/>
          <w:bCs w:val="0"/>
          <w:kern w:val="0"/>
          <w:sz w:val="28"/>
          <w:szCs w:val="28"/>
        </w:rPr>
        <w:t>四级考试水平</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成绩≥425</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或雅思成绩达到6.0或托福成绩65分及以上。所修外语为小语种（日语、俄语）的学生，大学日语、大学俄语四级考试成绩为及格或相应等级测试成绩。</w:t>
      </w:r>
    </w:p>
    <w:p w14:paraId="4A63CE50">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b w:val="0"/>
          <w:bCs w:val="0"/>
          <w:kern w:val="0"/>
          <w:sz w:val="28"/>
          <w:szCs w:val="28"/>
          <w:lang w:val="en-US" w:eastAsia="zh-CN"/>
        </w:rPr>
        <w:t>4</w:t>
      </w:r>
      <w:r>
        <w:rPr>
          <w:rFonts w:hint="eastAsia" w:ascii="仿宋" w:hAnsi="仿宋" w:eastAsia="仿宋" w:cs="宋体"/>
          <w:b w:val="0"/>
          <w:bCs w:val="0"/>
          <w:kern w:val="0"/>
          <w:sz w:val="28"/>
          <w:szCs w:val="28"/>
        </w:rPr>
        <w:t>.在教学技能竞赛中获得省级及以上奖励者，或在校学习期间以第</w:t>
      </w:r>
      <w:r>
        <w:rPr>
          <w:rFonts w:hint="eastAsia" w:ascii="仿宋" w:hAnsi="仿宋" w:eastAsia="仿宋" w:cs="宋体"/>
          <w:kern w:val="0"/>
          <w:sz w:val="28"/>
          <w:szCs w:val="28"/>
        </w:rPr>
        <w:t>一作者在中文核心及以上刊物上</w:t>
      </w:r>
      <w:r>
        <w:rPr>
          <w:rFonts w:hint="eastAsia" w:ascii="仿宋" w:hAnsi="仿宋" w:eastAsia="仿宋" w:cs="宋体"/>
          <w:b w:val="0"/>
          <w:bCs w:val="0"/>
          <w:kern w:val="0"/>
          <w:sz w:val="28"/>
          <w:szCs w:val="28"/>
        </w:rPr>
        <w:t>发表教学研究类论文</w:t>
      </w:r>
      <w:r>
        <w:rPr>
          <w:rFonts w:hint="eastAsia" w:ascii="仿宋" w:hAnsi="仿宋" w:eastAsia="仿宋" w:cs="宋体"/>
          <w:kern w:val="0"/>
          <w:sz w:val="28"/>
          <w:szCs w:val="28"/>
        </w:rPr>
        <w:t>者，或参加过一学期支教的师范类毕业生，同等条件下可优先推荐。</w:t>
      </w:r>
    </w:p>
    <w:p w14:paraId="3D4EA97B">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b w:val="0"/>
          <w:bCs w:val="0"/>
          <w:kern w:val="0"/>
          <w:sz w:val="28"/>
          <w:szCs w:val="28"/>
          <w:lang w:val="en-US" w:eastAsia="zh-CN"/>
        </w:rPr>
        <w:t>5</w:t>
      </w:r>
      <w:r>
        <w:rPr>
          <w:rFonts w:hint="eastAsia" w:ascii="仿宋" w:hAnsi="仿宋" w:eastAsia="仿宋" w:cs="宋体"/>
          <w:b w:val="0"/>
          <w:bCs w:val="0"/>
          <w:kern w:val="0"/>
          <w:sz w:val="28"/>
          <w:szCs w:val="28"/>
        </w:rPr>
        <w:t>.原则要求为师范类专业，学生接收单位须填报我校。获得推免资格后，</w:t>
      </w:r>
      <w:r>
        <w:rPr>
          <w:rFonts w:hint="eastAsia" w:ascii="仿宋" w:hAnsi="仿宋" w:eastAsia="仿宋" w:cs="宋体"/>
          <w:b w:val="0"/>
          <w:bCs w:val="0"/>
          <w:kern w:val="0"/>
          <w:sz w:val="28"/>
          <w:szCs w:val="28"/>
          <w:highlight w:val="none"/>
        </w:rPr>
        <w:t>必须在规定时间</w:t>
      </w:r>
      <w:r>
        <w:rPr>
          <w:rFonts w:hint="eastAsia" w:ascii="仿宋" w:hAnsi="仿宋" w:eastAsia="仿宋" w:cs="宋体"/>
          <w:b w:val="0"/>
          <w:bCs w:val="0"/>
          <w:kern w:val="0"/>
          <w:sz w:val="28"/>
          <w:szCs w:val="28"/>
          <w:highlight w:val="none"/>
          <w:lang w:eastAsia="zh-CN"/>
        </w:rPr>
        <w:t>内</w:t>
      </w:r>
      <w:r>
        <w:rPr>
          <w:rFonts w:hint="eastAsia" w:ascii="仿宋" w:hAnsi="仿宋" w:eastAsia="仿宋" w:cs="宋体"/>
          <w:b w:val="0"/>
          <w:bCs w:val="0"/>
          <w:kern w:val="0"/>
          <w:sz w:val="28"/>
          <w:szCs w:val="28"/>
          <w:highlight w:val="none"/>
        </w:rPr>
        <w:t>与河南省扶贫开发工作重点县教体局或任教学校签订聘用合同。</w:t>
      </w:r>
      <w:r>
        <w:rPr>
          <w:rFonts w:hint="eastAsia" w:ascii="仿宋" w:hAnsi="仿宋" w:eastAsia="仿宋" w:cs="宋体"/>
          <w:b w:val="0"/>
          <w:bCs w:val="0"/>
          <w:kern w:val="0"/>
          <w:sz w:val="28"/>
          <w:szCs w:val="28"/>
        </w:rPr>
        <w:t>毕业时须获得本科毕业证、学位证和相应教师资格证。本科毕业时未取得教师资格证的“硕师计划”研究生，无法聘为编制内正式教师或特岗教师，将取消培养资格</w:t>
      </w:r>
      <w:r>
        <w:rPr>
          <w:rFonts w:hint="eastAsia" w:ascii="仿宋" w:hAnsi="仿宋" w:eastAsia="仿宋" w:cs="宋体"/>
          <w:kern w:val="0"/>
          <w:sz w:val="28"/>
          <w:szCs w:val="28"/>
        </w:rPr>
        <w:t>。</w:t>
      </w:r>
    </w:p>
    <w:p w14:paraId="3CBF301B">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lang w:val="en-US" w:eastAsia="zh-CN"/>
        </w:rPr>
        <w:t>6</w:t>
      </w:r>
      <w:r>
        <w:rPr>
          <w:rFonts w:hint="eastAsia" w:ascii="仿宋" w:hAnsi="仿宋" w:eastAsia="仿宋" w:cs="宋体"/>
          <w:b w:val="0"/>
          <w:bCs w:val="0"/>
          <w:kern w:val="0"/>
          <w:sz w:val="28"/>
          <w:szCs w:val="28"/>
        </w:rPr>
        <w:t>.有下列情况之一者，不予推荐：</w:t>
      </w:r>
    </w:p>
    <w:p w14:paraId="75E52BB5">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1</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考试作弊及协同作弊者；</w:t>
      </w:r>
    </w:p>
    <w:p w14:paraId="546852E9">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2</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受过警告</w:t>
      </w:r>
      <w:r>
        <w:rPr>
          <w:rFonts w:hint="eastAsia" w:ascii="仿宋" w:hAnsi="仿宋" w:eastAsia="仿宋" w:cs="宋体"/>
          <w:kern w:val="0"/>
          <w:sz w:val="28"/>
          <w:szCs w:val="28"/>
          <w:lang w:eastAsia="zh-CN"/>
        </w:rPr>
        <w:t>及</w:t>
      </w:r>
      <w:r>
        <w:rPr>
          <w:rFonts w:hint="eastAsia" w:ascii="仿宋" w:hAnsi="仿宋" w:eastAsia="仿宋" w:cs="宋体"/>
          <w:kern w:val="0"/>
          <w:sz w:val="28"/>
          <w:szCs w:val="28"/>
        </w:rPr>
        <w:t>警告以上纪律处分者；</w:t>
      </w:r>
    </w:p>
    <w:p w14:paraId="45A4F500">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3</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推荐时已确定不能获得学士学位者。</w:t>
      </w:r>
    </w:p>
    <w:p w14:paraId="520E4614">
      <w:pPr>
        <w:keepNext w:val="0"/>
        <w:keepLines w:val="0"/>
        <w:pageBreakBefore w:val="0"/>
        <w:widowControl/>
        <w:kinsoku/>
        <w:wordWrap/>
        <w:overflowPunct/>
        <w:topLinePunct w:val="0"/>
        <w:autoSpaceDE/>
        <w:autoSpaceDN/>
        <w:bidi w:val="0"/>
        <w:adjustRightInd/>
        <w:snapToGrid/>
        <w:spacing w:before="75" w:line="360" w:lineRule="atLeast"/>
        <w:ind w:firstLine="562" w:firstLineChars="200"/>
        <w:jc w:val="left"/>
        <w:textAlignment w:val="auto"/>
        <w:rPr>
          <w:rFonts w:ascii="宋体" w:hAnsi="宋体" w:eastAsia="宋体" w:cs="宋体"/>
          <w:kern w:val="0"/>
          <w:sz w:val="28"/>
          <w:szCs w:val="28"/>
        </w:rPr>
      </w:pPr>
      <w:r>
        <w:rPr>
          <w:rFonts w:hint="eastAsia" w:ascii="仿宋" w:hAnsi="仿宋" w:eastAsia="仿宋" w:cs="宋体"/>
          <w:b/>
          <w:bCs/>
          <w:kern w:val="0"/>
          <w:sz w:val="28"/>
          <w:szCs w:val="28"/>
        </w:rPr>
        <w:t>（三）研究生支教团推免生推荐条件</w:t>
      </w:r>
    </w:p>
    <w:p w14:paraId="4DC17509">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rPr>
        <w:t>1.坚持和拥护党的领导，遵纪守法，品德优良具有高尚的爱国主义情操和集体主义精神，理想信念坚定，社会责任感强，积极参加志愿服务。</w:t>
      </w:r>
    </w:p>
    <w:p w14:paraId="4AC9C53E">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kern w:val="0"/>
          <w:sz w:val="28"/>
          <w:szCs w:val="28"/>
        </w:rPr>
        <w:t>2.</w:t>
      </w:r>
      <w:r>
        <w:rPr>
          <w:rFonts w:hint="eastAsia" w:ascii="仿宋" w:hAnsi="仿宋" w:eastAsia="仿宋" w:cs="宋体"/>
          <w:kern w:val="0"/>
          <w:sz w:val="28"/>
          <w:szCs w:val="28"/>
          <w:highlight w:val="none"/>
          <w:lang w:val="en-US" w:eastAsia="zh-CN"/>
        </w:rPr>
        <w:t>学业</w:t>
      </w:r>
      <w:r>
        <w:rPr>
          <w:rFonts w:hint="eastAsia" w:ascii="仿宋" w:hAnsi="仿宋" w:eastAsia="仿宋" w:cs="宋体"/>
          <w:kern w:val="0"/>
          <w:sz w:val="28"/>
          <w:szCs w:val="28"/>
          <w:highlight w:val="none"/>
        </w:rPr>
        <w:t>综合</w:t>
      </w:r>
      <w:r>
        <w:rPr>
          <w:rFonts w:hint="eastAsia" w:ascii="仿宋" w:hAnsi="仿宋" w:eastAsia="仿宋" w:cs="宋体"/>
          <w:kern w:val="0"/>
          <w:sz w:val="28"/>
          <w:szCs w:val="28"/>
          <w:highlight w:val="none"/>
          <w:lang w:val="en-US" w:eastAsia="zh-CN"/>
        </w:rPr>
        <w:t>成绩</w:t>
      </w:r>
      <w:r>
        <w:rPr>
          <w:rFonts w:hint="eastAsia" w:ascii="仿宋" w:hAnsi="仿宋" w:eastAsia="仿宋" w:cs="宋体"/>
          <w:kern w:val="0"/>
          <w:sz w:val="28"/>
          <w:szCs w:val="28"/>
        </w:rPr>
        <w:t>排名</w:t>
      </w:r>
      <w:r>
        <w:rPr>
          <w:rFonts w:hint="eastAsia" w:ascii="仿宋" w:hAnsi="仿宋" w:eastAsia="仿宋" w:cs="宋体"/>
          <w:kern w:val="0"/>
          <w:sz w:val="28"/>
          <w:szCs w:val="28"/>
          <w:lang w:val="en-US" w:eastAsia="zh-CN"/>
        </w:rPr>
        <w:t>位于</w:t>
      </w:r>
      <w:r>
        <w:rPr>
          <w:rFonts w:hint="eastAsia" w:ascii="仿宋" w:hAnsi="仿宋" w:eastAsia="仿宋" w:cs="宋体"/>
          <w:kern w:val="0"/>
          <w:sz w:val="28"/>
          <w:szCs w:val="28"/>
        </w:rPr>
        <w:t>本专业学生总人数</w:t>
      </w:r>
      <w:r>
        <w:rPr>
          <w:rFonts w:hint="eastAsia" w:ascii="仿宋" w:hAnsi="仿宋" w:eastAsia="仿宋" w:cs="宋体"/>
          <w:kern w:val="0"/>
          <w:sz w:val="28"/>
          <w:szCs w:val="28"/>
          <w:highlight w:val="none"/>
        </w:rPr>
        <w:t>（不含公费师范生）</w:t>
      </w:r>
      <w:r>
        <w:rPr>
          <w:rFonts w:hint="eastAsia" w:ascii="仿宋" w:hAnsi="仿宋" w:eastAsia="仿宋" w:cs="宋体"/>
          <w:kern w:val="0"/>
          <w:sz w:val="28"/>
          <w:szCs w:val="28"/>
        </w:rPr>
        <w:t>的</w:t>
      </w:r>
      <w:r>
        <w:rPr>
          <w:rFonts w:hint="eastAsia" w:ascii="仿宋" w:hAnsi="仿宋" w:eastAsia="仿宋" w:cs="宋体"/>
          <w:b w:val="0"/>
          <w:bCs w:val="0"/>
          <w:kern w:val="0"/>
          <w:sz w:val="28"/>
          <w:szCs w:val="28"/>
        </w:rPr>
        <w:t>前40%（含40%）。</w:t>
      </w:r>
    </w:p>
    <w:p w14:paraId="05C6F768">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b w:val="0"/>
          <w:bCs w:val="0"/>
          <w:kern w:val="0"/>
          <w:sz w:val="28"/>
          <w:szCs w:val="28"/>
        </w:rPr>
        <w:t>3.英语水平达到</w:t>
      </w:r>
      <w:r>
        <w:rPr>
          <w:rFonts w:hint="eastAsia" w:ascii="仿宋" w:hAnsi="仿宋" w:eastAsia="仿宋" w:cs="宋体"/>
          <w:b w:val="0"/>
          <w:bCs w:val="0"/>
          <w:kern w:val="0"/>
          <w:sz w:val="28"/>
          <w:szCs w:val="28"/>
          <w:lang w:val="en-US" w:eastAsia="zh-CN"/>
        </w:rPr>
        <w:t>大学生英语</w:t>
      </w:r>
      <w:r>
        <w:rPr>
          <w:rFonts w:hint="eastAsia" w:ascii="仿宋" w:hAnsi="仿宋" w:eastAsia="仿宋" w:cs="宋体"/>
          <w:b w:val="0"/>
          <w:bCs w:val="0"/>
          <w:kern w:val="0"/>
          <w:sz w:val="28"/>
          <w:szCs w:val="28"/>
        </w:rPr>
        <w:t>四级考试水平</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成绩≥425</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或雅思成绩达到</w:t>
      </w:r>
      <w:r>
        <w:rPr>
          <w:rFonts w:hint="eastAsia" w:ascii="仿宋" w:hAnsi="仿宋" w:eastAsia="仿宋" w:cs="宋体"/>
          <w:b w:val="0"/>
          <w:bCs w:val="0"/>
          <w:kern w:val="0"/>
          <w:sz w:val="28"/>
          <w:szCs w:val="28"/>
          <w:lang w:val="en-US" w:eastAsia="zh-CN"/>
        </w:rPr>
        <w:t>6</w:t>
      </w:r>
      <w:r>
        <w:rPr>
          <w:rFonts w:hint="eastAsia" w:ascii="仿宋" w:hAnsi="仿宋" w:eastAsia="仿宋" w:cs="宋体"/>
          <w:b w:val="0"/>
          <w:bCs w:val="0"/>
          <w:kern w:val="0"/>
          <w:sz w:val="28"/>
          <w:szCs w:val="28"/>
        </w:rPr>
        <w:t>.0或托福成绩65分及以上</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highlight w:val="none"/>
          <w:lang w:val="en-US" w:eastAsia="zh-CN"/>
        </w:rPr>
        <w:t>所</w:t>
      </w:r>
      <w:r>
        <w:rPr>
          <w:rFonts w:hint="eastAsia" w:ascii="仿宋" w:hAnsi="仿宋" w:eastAsia="仿宋" w:cs="宋体"/>
          <w:b w:val="0"/>
          <w:bCs w:val="0"/>
          <w:kern w:val="0"/>
          <w:sz w:val="28"/>
          <w:szCs w:val="28"/>
          <w:highlight w:val="none"/>
        </w:rPr>
        <w:t>修外语为小语种（日语、俄语）</w:t>
      </w:r>
      <w:r>
        <w:rPr>
          <w:rFonts w:hint="eastAsia" w:ascii="仿宋" w:hAnsi="仿宋" w:eastAsia="仿宋" w:cs="宋体"/>
          <w:kern w:val="0"/>
          <w:sz w:val="28"/>
          <w:szCs w:val="28"/>
          <w:highlight w:val="none"/>
        </w:rPr>
        <w:t>的学生，大学日语、大学俄语四级考试成绩为及格或相应等级测试成绩。</w:t>
      </w:r>
    </w:p>
    <w:p w14:paraId="39DF6467">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4.身心健康，</w:t>
      </w:r>
      <w:r>
        <w:rPr>
          <w:rFonts w:hint="eastAsia" w:ascii="仿宋" w:hAnsi="仿宋" w:eastAsia="仿宋" w:cs="宋体"/>
          <w:kern w:val="0"/>
          <w:sz w:val="28"/>
          <w:szCs w:val="28"/>
          <w:highlight w:val="none"/>
          <w:lang w:val="en-US" w:eastAsia="zh-CN"/>
        </w:rPr>
        <w:t>达到全国大学生志愿服务西部计划项目管理办公室关于体检和心理测评的相关文件要求，能胜任西部地区基础教育志愿服务工作，服从全国大学生志愿服务西部计划项目管理办公室对支教地的统筹安排和调剂</w:t>
      </w:r>
      <w:r>
        <w:rPr>
          <w:rFonts w:hint="eastAsia" w:ascii="仿宋" w:hAnsi="仿宋" w:eastAsia="仿宋" w:cs="宋体"/>
          <w:kern w:val="0"/>
          <w:sz w:val="28"/>
          <w:szCs w:val="28"/>
          <w:highlight w:val="none"/>
        </w:rPr>
        <w:t>。</w:t>
      </w:r>
      <w:r>
        <w:rPr>
          <w:rFonts w:hint="eastAsia" w:ascii="仿宋" w:hAnsi="仿宋" w:eastAsia="仿宋" w:cs="宋体"/>
          <w:kern w:val="0"/>
          <w:sz w:val="28"/>
          <w:szCs w:val="28"/>
        </w:rPr>
        <w:t>在公示支教团志愿者校内正式入选成员名单之后，入选志愿者不得因学术直保、就业等其他任何原因放弃支教资格。</w:t>
      </w:r>
    </w:p>
    <w:p w14:paraId="69A9C6B1">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rPr>
        <w:t>.中共党员（含预备党员）</w:t>
      </w:r>
      <w:r>
        <w:rPr>
          <w:rFonts w:hint="eastAsia" w:ascii="仿宋" w:hAnsi="仿宋" w:eastAsia="仿宋" w:cs="宋体"/>
          <w:kern w:val="0"/>
          <w:sz w:val="28"/>
          <w:szCs w:val="28"/>
          <w:highlight w:val="none"/>
          <w:lang w:eastAsia="zh-CN"/>
        </w:rPr>
        <w:t>、</w:t>
      </w:r>
      <w:r>
        <w:rPr>
          <w:rFonts w:hint="eastAsia" w:ascii="仿宋" w:hAnsi="仿宋" w:eastAsia="仿宋" w:cs="宋体"/>
          <w:kern w:val="0"/>
          <w:sz w:val="28"/>
          <w:szCs w:val="28"/>
          <w:highlight w:val="none"/>
          <w:lang w:val="en-US" w:eastAsia="zh-CN"/>
        </w:rPr>
        <w:t>师范生、非师范生持有</w:t>
      </w:r>
      <w:r>
        <w:rPr>
          <w:rFonts w:hint="eastAsia" w:ascii="仿宋" w:hAnsi="仿宋" w:eastAsia="仿宋" w:cs="宋体"/>
          <w:kern w:val="0"/>
          <w:sz w:val="28"/>
          <w:szCs w:val="28"/>
          <w:highlight w:val="none"/>
        </w:rPr>
        <w:t>中小学教师资格证</w:t>
      </w:r>
      <w:r>
        <w:rPr>
          <w:rFonts w:hint="eastAsia" w:ascii="仿宋" w:hAnsi="仿宋" w:eastAsia="仿宋" w:cs="宋体"/>
          <w:kern w:val="0"/>
          <w:sz w:val="28"/>
          <w:szCs w:val="28"/>
          <w:highlight w:val="none"/>
          <w:lang w:val="en-US" w:eastAsia="zh-CN"/>
        </w:rPr>
        <w:t>者</w:t>
      </w:r>
      <w:r>
        <w:rPr>
          <w:rFonts w:hint="eastAsia" w:ascii="仿宋" w:hAnsi="仿宋" w:eastAsia="仿宋" w:cs="宋体"/>
          <w:kern w:val="0"/>
          <w:sz w:val="28"/>
          <w:szCs w:val="28"/>
          <w:highlight w:val="none"/>
        </w:rPr>
        <w:t>，获得国家级科技类竞赛二等</w:t>
      </w:r>
      <w:r>
        <w:rPr>
          <w:rFonts w:hint="eastAsia" w:ascii="仿宋" w:hAnsi="仿宋" w:eastAsia="仿宋" w:cs="宋体"/>
          <w:kern w:val="0"/>
          <w:sz w:val="28"/>
          <w:szCs w:val="28"/>
        </w:rPr>
        <w:t>奖以上（含二等奖）奖励者，或在社会实践、志愿服务活动中表现突出的注册志愿者，或教育教学能力突出、所学专业符合服务地学科专业需求者，或积极参加社会工作、具有吃苦耐劳精神和奉献精神的优秀学生干部，同等条件下可优先推荐</w:t>
      </w:r>
      <w:r>
        <w:rPr>
          <w:rFonts w:hint="eastAsia" w:ascii="仿宋" w:hAnsi="仿宋" w:eastAsia="仿宋" w:cs="宋体"/>
          <w:kern w:val="0"/>
          <w:sz w:val="28"/>
          <w:szCs w:val="28"/>
          <w:lang w:val="en-US" w:eastAsia="zh-CN"/>
        </w:rPr>
        <w:t>。</w:t>
      </w:r>
    </w:p>
    <w:p w14:paraId="5DF363D1">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宋体" w:hAnsi="宋体" w:eastAsia="仿宋" w:cs="宋体"/>
          <w:kern w:val="0"/>
          <w:sz w:val="28"/>
          <w:szCs w:val="28"/>
          <w:lang w:eastAsia="zh-CN"/>
        </w:rPr>
      </w:pPr>
      <w:r>
        <w:rPr>
          <w:rFonts w:hint="eastAsia" w:ascii="仿宋" w:hAnsi="仿宋" w:eastAsia="仿宋" w:cs="宋体"/>
          <w:kern w:val="0"/>
          <w:sz w:val="28"/>
          <w:szCs w:val="28"/>
        </w:rPr>
        <w:t>6.有下列情况之一者，不予推荐</w:t>
      </w:r>
      <w:r>
        <w:rPr>
          <w:rFonts w:hint="eastAsia" w:ascii="仿宋" w:hAnsi="仿宋" w:eastAsia="仿宋" w:cs="宋体"/>
          <w:kern w:val="0"/>
          <w:sz w:val="28"/>
          <w:szCs w:val="28"/>
          <w:lang w:eastAsia="zh-CN"/>
        </w:rPr>
        <w:t>：</w:t>
      </w:r>
    </w:p>
    <w:p w14:paraId="23CBDA8D">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1</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考试作弊及协同作弊者；</w:t>
      </w:r>
    </w:p>
    <w:p w14:paraId="72CD8513">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2</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受过警告</w:t>
      </w:r>
      <w:r>
        <w:rPr>
          <w:rFonts w:hint="eastAsia" w:ascii="仿宋" w:hAnsi="仿宋" w:eastAsia="仿宋" w:cs="宋体"/>
          <w:kern w:val="0"/>
          <w:sz w:val="28"/>
          <w:szCs w:val="28"/>
          <w:lang w:eastAsia="zh-CN"/>
        </w:rPr>
        <w:t>及</w:t>
      </w:r>
      <w:r>
        <w:rPr>
          <w:rFonts w:hint="eastAsia" w:ascii="仿宋" w:hAnsi="仿宋" w:eastAsia="仿宋" w:cs="宋体"/>
          <w:kern w:val="0"/>
          <w:sz w:val="28"/>
          <w:szCs w:val="28"/>
        </w:rPr>
        <w:t>警告以上纪律处分者；</w:t>
      </w:r>
    </w:p>
    <w:p w14:paraId="4040E9B0">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kern w:val="0"/>
          <w:sz w:val="28"/>
          <w:szCs w:val="28"/>
          <w:lang w:eastAsia="zh-CN"/>
        </w:rPr>
        <w:t>（</w:t>
      </w:r>
      <w:r>
        <w:rPr>
          <w:rFonts w:hint="eastAsia" w:ascii="仿宋" w:hAnsi="仿宋" w:eastAsia="仿宋" w:cs="宋体"/>
          <w:kern w:val="0"/>
          <w:sz w:val="28"/>
          <w:szCs w:val="28"/>
        </w:rPr>
        <w:t>3</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推荐时已确定不能获得学士学位者。</w:t>
      </w:r>
    </w:p>
    <w:p w14:paraId="3D6A91F4">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b w:val="0"/>
          <w:bCs w:val="0"/>
          <w:kern w:val="0"/>
          <w:sz w:val="28"/>
          <w:szCs w:val="28"/>
        </w:rPr>
      </w:pPr>
      <w:r>
        <w:rPr>
          <w:rFonts w:hint="eastAsia" w:ascii="仿宋" w:hAnsi="仿宋" w:eastAsia="仿宋" w:cs="宋体"/>
          <w:b w:val="0"/>
          <w:bCs w:val="0"/>
          <w:kern w:val="0"/>
          <w:sz w:val="28"/>
          <w:szCs w:val="28"/>
        </w:rPr>
        <w:t>具体选拔程序由校团委统一安排。</w:t>
      </w:r>
    </w:p>
    <w:p w14:paraId="33AC5E61">
      <w:pPr>
        <w:keepNext w:val="0"/>
        <w:keepLines w:val="0"/>
        <w:pageBreakBefore w:val="0"/>
        <w:widowControl/>
        <w:numPr>
          <w:ilvl w:val="0"/>
          <w:numId w:val="1"/>
        </w:numPr>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b w:val="0"/>
          <w:bCs w:val="0"/>
          <w:kern w:val="0"/>
          <w:sz w:val="28"/>
          <w:szCs w:val="28"/>
          <w:highlight w:val="none"/>
        </w:rPr>
      </w:pPr>
      <w:r>
        <w:rPr>
          <w:rFonts w:hint="eastAsia" w:ascii="仿宋" w:hAnsi="仿宋" w:eastAsia="仿宋" w:cs="宋体"/>
          <w:b w:val="0"/>
          <w:bCs w:val="0"/>
          <w:kern w:val="0"/>
          <w:sz w:val="28"/>
          <w:szCs w:val="28"/>
          <w:highlight w:val="none"/>
        </w:rPr>
        <w:t>在部队荣立二等功及以上的退役人员，符合研究生报名条件的，可免试（初试）攻读硕士研究生。</w:t>
      </w:r>
    </w:p>
    <w:p w14:paraId="63ED5183">
      <w:pPr>
        <w:widowControl/>
        <w:spacing w:before="75" w:line="360" w:lineRule="atLeast"/>
        <w:jc w:val="left"/>
        <w:rPr>
          <w:rFonts w:ascii="宋体" w:hAnsi="宋体" w:eastAsia="宋体" w:cs="宋体"/>
          <w:kern w:val="0"/>
          <w:sz w:val="28"/>
          <w:szCs w:val="28"/>
        </w:rPr>
      </w:pPr>
      <w:r>
        <w:rPr>
          <w:rFonts w:hint="eastAsia" w:ascii="黑体" w:hAnsi="黑体" w:eastAsia="黑体" w:cs="宋体"/>
          <w:kern w:val="0"/>
          <w:sz w:val="28"/>
          <w:szCs w:val="28"/>
        </w:rPr>
        <w:t>二</w:t>
      </w:r>
      <w:r>
        <w:rPr>
          <w:rFonts w:ascii="宋体" w:hAnsi="宋体" w:eastAsia="宋体" w:cs="宋体"/>
          <w:kern w:val="0"/>
          <w:sz w:val="28"/>
          <w:szCs w:val="28"/>
        </w:rPr>
        <w:t>、</w:t>
      </w:r>
      <w:r>
        <w:rPr>
          <w:rFonts w:hint="eastAsia" w:ascii="黑体" w:hAnsi="黑体" w:eastAsia="黑体" w:cs="宋体"/>
          <w:kern w:val="0"/>
          <w:sz w:val="28"/>
          <w:szCs w:val="28"/>
        </w:rPr>
        <w:t>推荐排名计算办法：</w:t>
      </w:r>
    </w:p>
    <w:p w14:paraId="2799D253">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kern w:val="0"/>
          <w:sz w:val="28"/>
          <w:szCs w:val="28"/>
        </w:rPr>
      </w:pPr>
      <w:r>
        <w:rPr>
          <w:rFonts w:hint="eastAsia" w:ascii="仿宋" w:hAnsi="仿宋" w:eastAsia="仿宋" w:cs="宋体"/>
          <w:b w:val="0"/>
          <w:bCs w:val="0"/>
          <w:kern w:val="0"/>
          <w:sz w:val="28"/>
          <w:szCs w:val="28"/>
        </w:rPr>
        <w:t>1.推免遴选综合评价成绩由学业综合成绩和</w:t>
      </w:r>
      <w:bookmarkStart w:id="0" w:name="_Hlk152925940"/>
      <w:r>
        <w:rPr>
          <w:rFonts w:hint="eastAsia" w:ascii="仿宋" w:hAnsi="仿宋" w:eastAsia="仿宋" w:cs="宋体"/>
          <w:b w:val="0"/>
          <w:bCs w:val="0"/>
          <w:kern w:val="0"/>
          <w:sz w:val="28"/>
          <w:szCs w:val="28"/>
        </w:rPr>
        <w:t>素质类综合成绩</w:t>
      </w:r>
      <w:bookmarkEnd w:id="0"/>
      <w:r>
        <w:rPr>
          <w:rFonts w:hint="eastAsia" w:ascii="仿宋" w:hAnsi="仿宋" w:eastAsia="仿宋" w:cs="宋体"/>
          <w:b w:val="0"/>
          <w:bCs w:val="0"/>
          <w:kern w:val="0"/>
          <w:sz w:val="28"/>
          <w:szCs w:val="28"/>
        </w:rPr>
        <w:t>构成</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lang w:val="en-US" w:eastAsia="zh-CN"/>
        </w:rPr>
        <w:t>学</w:t>
      </w:r>
      <w:r>
        <w:rPr>
          <w:rFonts w:hint="eastAsia" w:ascii="仿宋" w:hAnsi="仿宋" w:eastAsia="仿宋" w:cs="宋体"/>
          <w:b w:val="0"/>
          <w:bCs w:val="0"/>
          <w:kern w:val="0"/>
          <w:sz w:val="28"/>
          <w:szCs w:val="28"/>
        </w:rPr>
        <w:t>院党政联席会根据下列条件，严格按照择优推荐的原则，确定人选排名顺序。</w:t>
      </w:r>
    </w:p>
    <w:p w14:paraId="4E5AD030">
      <w:pPr>
        <w:keepNext w:val="0"/>
        <w:keepLines w:val="0"/>
        <w:pageBreakBefore w:val="0"/>
        <w:widowControl/>
        <w:kinsoku/>
        <w:wordWrap/>
        <w:overflowPunct/>
        <w:topLinePunct w:val="0"/>
        <w:autoSpaceDE/>
        <w:autoSpaceDN/>
        <w:bidi w:val="0"/>
        <w:adjustRightInd/>
        <w:snapToGrid/>
        <w:spacing w:before="75" w:line="360" w:lineRule="auto"/>
        <w:ind w:firstLine="562" w:firstLineChars="200"/>
        <w:jc w:val="left"/>
        <w:textAlignment w:val="auto"/>
        <w:rPr>
          <w:rFonts w:hint="eastAsia" w:ascii="仿宋" w:hAnsi="仿宋" w:eastAsia="仿宋" w:cs="宋体"/>
          <w:b/>
          <w:bCs/>
          <w:kern w:val="0"/>
          <w:sz w:val="28"/>
          <w:szCs w:val="28"/>
          <w:lang w:eastAsia="zh-CN"/>
        </w:rPr>
      </w:pPr>
      <w:r>
        <w:rPr>
          <w:rFonts w:hint="eastAsia" w:ascii="仿宋" w:hAnsi="仿宋" w:eastAsia="仿宋" w:cs="宋体"/>
          <w:b/>
          <w:bCs/>
          <w:kern w:val="0"/>
          <w:sz w:val="28"/>
          <w:szCs w:val="28"/>
        </w:rPr>
        <w:t>2.学业综合成绩</w:t>
      </w:r>
      <w:r>
        <w:rPr>
          <w:rFonts w:hint="eastAsia" w:ascii="仿宋" w:hAnsi="仿宋" w:eastAsia="仿宋" w:cs="宋体"/>
          <w:b/>
          <w:bCs/>
          <w:kern w:val="0"/>
          <w:sz w:val="28"/>
          <w:szCs w:val="28"/>
          <w:lang w:val="en-US" w:eastAsia="zh-CN"/>
        </w:rPr>
        <w:t>占</w:t>
      </w:r>
      <w:r>
        <w:rPr>
          <w:rFonts w:hint="eastAsia" w:ascii="仿宋" w:hAnsi="仿宋" w:eastAsia="仿宋" w:cs="宋体"/>
          <w:b/>
          <w:bCs/>
          <w:kern w:val="0"/>
          <w:sz w:val="28"/>
          <w:szCs w:val="28"/>
        </w:rPr>
        <w:t>90%。</w:t>
      </w:r>
      <w:r>
        <w:rPr>
          <w:rFonts w:hint="eastAsia" w:ascii="仿宋" w:hAnsi="仿宋" w:eastAsia="仿宋" w:cs="宋体"/>
          <w:b w:val="0"/>
          <w:bCs w:val="0"/>
          <w:kern w:val="0"/>
          <w:sz w:val="28"/>
          <w:szCs w:val="28"/>
          <w:lang w:eastAsia="zh-CN"/>
        </w:rPr>
        <w:t>学业综合成绩使用本专业培养方案规定的前三学年必修课程平均加权学分成绩，计算公式为：</w:t>
      </w:r>
    </w:p>
    <w:p w14:paraId="551FF87F">
      <w:pPr>
        <w:widowControl/>
        <w:spacing w:before="75" w:line="360" w:lineRule="auto"/>
        <w:ind w:firstLine="435"/>
        <w:jc w:val="center"/>
        <w:rPr>
          <w:rFonts w:hint="eastAsia" w:ascii="仿宋" w:hAnsi="仿宋" w:eastAsia="仿宋" w:cs="宋体"/>
          <w:b/>
          <w:bCs/>
          <w:kern w:val="0"/>
          <w:sz w:val="28"/>
          <w:szCs w:val="28"/>
          <w:lang w:eastAsia="zh-CN"/>
        </w:rPr>
      </w:pPr>
      <w:r>
        <w:rPr>
          <w:rFonts w:hint="eastAsia" w:ascii="仿宋" w:hAnsi="仿宋" w:eastAsia="仿宋" w:cs="宋体"/>
          <w:b/>
          <w:bCs/>
          <w:kern w:val="0"/>
          <w:sz w:val="28"/>
          <w:szCs w:val="28"/>
          <w:lang w:eastAsia="zh-CN"/>
        </w:rPr>
        <w:fldChar w:fldCharType="begin"/>
      </w:r>
      <w:r>
        <w:rPr>
          <w:rFonts w:hint="eastAsia" w:ascii="仿宋" w:hAnsi="仿宋" w:eastAsia="仿宋" w:cs="宋体"/>
          <w:b/>
          <w:bCs/>
          <w:kern w:val="0"/>
          <w:sz w:val="28"/>
          <w:szCs w:val="28"/>
          <w:lang w:eastAsia="zh-CN"/>
        </w:rPr>
        <w:instrText xml:space="preserve"> QUOTE </w:instrText>
      </w:r>
      <w:r>
        <w:rPr>
          <w:rFonts w:hint="eastAsia" w:ascii="仿宋" w:hAnsi="仿宋" w:eastAsia="仿宋" w:cs="宋体"/>
          <w:b/>
          <w:bCs/>
          <w:kern w:val="0"/>
          <w:sz w:val="28"/>
          <w:szCs w:val="28"/>
          <w:lang w:eastAsia="zh-CN"/>
        </w:rPr>
        <w:pict>
          <v:shape id="_x0000_i1025" o:spt="75" type="#_x0000_t75" style="height:28.8pt;width:206.4pt;" filled="f" stroked="f" coordsize="21600,2160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bordersDontSurroundHeader/&gt;&lt;w:bordersDontSurroundFooter/&gt;&lt;w:stylePaneFormatFilter w:val=&quot;3F01&quot;/&gt;&lt;w:defaultTabStop w:val=&quot;420&quot;/&gt;&lt;w:evenAndOddHeaders/&gt;&lt;w:drawingGridHorizontalSpacing w:val=&quot;158&quot;/&gt;&lt;w:drawingGridVerticalSpacing w:val=&quot;579&quot;/&gt;&lt;w:displayHorizontalDrawingGridEvery w:val=&quot;0&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useWord2002TableStyleRules/&gt;&lt;w:useFELayout/&gt;&lt;/w:compat&gt;&lt;wsp:rsids&gt;&lt;wsp:rsidRoot wsp:val=&quot;00783BD0&quot;/&gt;&lt;wsp:rsid wsp:val=&quot;00001003&quot;/&gt;&lt;wsp:rsid wsp:val=&quot;000047D6&quot;/&gt;&lt;wsp:rsid wsp:val=&quot;00005497&quot;/&gt;&lt;wsp:rsid wsp:val=&quot;00033BE6&quot;/&gt;&lt;wsp:rsid wsp:val=&quot;00041B6F&quot;/&gt;&lt;wsp:rsid wsp:val=&quot;00044FE1&quot;/&gt;&lt;wsp:rsid wsp:val=&quot;00046B0D&quot;/&gt;&lt;wsp:rsid wsp:val=&quot;000478BC&quot;/&gt;&lt;wsp:rsid wsp:val=&quot;000635FA&quot;/&gt;&lt;wsp:rsid wsp:val=&quot;0007078D&quot;/&gt;&lt;wsp:rsid wsp:val=&quot;000716D5&quot;/&gt;&lt;wsp:rsid wsp:val=&quot;000B71B2&quot;/&gt;&lt;wsp:rsid wsp:val=&quot;000D1C4A&quot;/&gt;&lt;wsp:rsid wsp:val=&quot;000D29E9&quot;/&gt;&lt;wsp:rsid wsp:val=&quot;001010AF&quot;/&gt;&lt;wsp:rsid wsp:val=&quot;0013451F&quot;/&gt;&lt;wsp:rsid wsp:val=&quot;00142299&quot;/&gt;&lt;wsp:rsid wsp:val=&quot;00152D1F&quot;/&gt;&lt;wsp:rsid wsp:val=&quot;00163101&quot;/&gt;&lt;wsp:rsid wsp:val=&quot;0017111F&quot;/&gt;&lt;wsp:rsid wsp:val=&quot;001D786D&quot;/&gt;&lt;wsp:rsid wsp:val=&quot;002369DB&quot;/&gt;&lt;wsp:rsid wsp:val=&quot;0024658E&quot;/&gt;&lt;wsp:rsid wsp:val=&quot;00261868&quot;/&gt;&lt;wsp:rsid wsp:val=&quot;00264469&quot;/&gt;&lt;wsp:rsid wsp:val=&quot;00286355&quot;/&gt;&lt;wsp:rsid wsp:val=&quot;00286D34&quot;/&gt;&lt;wsp:rsid wsp:val=&quot;003035B8&quot;/&gt;&lt;wsp:rsid wsp:val=&quot;00342991&quot;/&gt;&lt;wsp:rsid wsp:val=&quot;0037416E&quot;/&gt;&lt;wsp:rsid wsp:val=&quot;0038200C&quot;/&gt;&lt;wsp:rsid wsp:val=&quot;00383680&quot;/&gt;&lt;wsp:rsid wsp:val=&quot;003B731B&quot;/&gt;&lt;wsp:rsid wsp:val=&quot;003F15E3&quot;/&gt;&lt;wsp:rsid wsp:val=&quot;003F757C&quot;/&gt;&lt;wsp:rsid wsp:val=&quot;0041010A&quot;/&gt;&lt;wsp:rsid wsp:val=&quot;00430B02&quot;/&gt;&lt;wsp:rsid wsp:val=&quot;004774AB&quot;/&gt;&lt;wsp:rsid wsp:val=&quot;004A138A&quot;/&gt;&lt;wsp:rsid wsp:val=&quot;004A5A38&quot;/&gt;&lt;wsp:rsid wsp:val=&quot;004B7DFB&quot;/&gt;&lt;wsp:rsid wsp:val=&quot;004D0BE7&quot;/&gt;&lt;wsp:rsid wsp:val=&quot;004D1169&quot;/&gt;&lt;wsp:rsid wsp:val=&quot;004E14E1&quot;/&gt;&lt;wsp:rsid wsp:val=&quot;005034DF&quot;/&gt;&lt;wsp:rsid wsp:val=&quot;00521634&quot;/&gt;&lt;wsp:rsid wsp:val=&quot;00533A88&quot;/&gt;&lt;wsp:rsid wsp:val=&quot;00573672&quot;/&gt;&lt;wsp:rsid wsp:val=&quot;005954A7&quot;/&gt;&lt;wsp:rsid wsp:val=&quot;005A3F5A&quot;/&gt;&lt;wsp:rsid wsp:val=&quot;005A79C0&quot;/&gt;&lt;wsp:rsid wsp:val=&quot;005B4B07&quot;/&gt;&lt;wsp:rsid wsp:val=&quot;005B759E&quot;/&gt;&lt;wsp:rsid wsp:val=&quot;005D157E&quot;/&gt;&lt;wsp:rsid wsp:val=&quot;005D18DC&quot;/&gt;&lt;wsp:rsid wsp:val=&quot;00621FB5&quot;/&gt;&lt;wsp:rsid wsp:val=&quot;006542B5&quot;/&gt;&lt;wsp:rsid wsp:val=&quot;0065799A&quot;/&gt;&lt;wsp:rsid wsp:val=&quot;0067493B&quot;/&gt;&lt;wsp:rsid wsp:val=&quot;006966C1&quot;/&gt;&lt;wsp:rsid wsp:val=&quot;006A7104&quot;/&gt;&lt;wsp:rsid wsp:val=&quot;006C0BD0&quot;/&gt;&lt;wsp:rsid wsp:val=&quot;006C7AB3&quot;/&gt;&lt;wsp:rsid wsp:val=&quot;006D4EE2&quot;/&gt;&lt;wsp:rsid wsp:val=&quot;006E536F&quot;/&gt;&lt;wsp:rsid wsp:val=&quot;006F05FC&quot;/&gt;&lt;wsp:rsid wsp:val=&quot;0070326D&quot;/&gt;&lt;wsp:rsid wsp:val=&quot;0073133B&quot;/&gt;&lt;wsp:rsid wsp:val=&quot;00740F91&quot;/&gt;&lt;wsp:rsid wsp:val=&quot;007538BE&quot;/&gt;&lt;wsp:rsid wsp:val=&quot;00755061&quot;/&gt;&lt;wsp:rsid wsp:val=&quot;007567A8&quot;/&gt;&lt;wsp:rsid wsp:val=&quot;007647BC&quot;/&gt;&lt;wsp:rsid wsp:val=&quot;00783BD0&quot;/&gt;&lt;wsp:rsid wsp:val=&quot;007967E6&quot;/&gt;&lt;wsp:rsid wsp:val=&quot;007C673A&quot;/&gt;&lt;wsp:rsid wsp:val=&quot;0081238A&quot;/&gt;&lt;wsp:rsid wsp:val=&quot;0084450B&quot;/&gt;&lt;wsp:rsid wsp:val=&quot;00874AA4&quot;/&gt;&lt;wsp:rsid wsp:val=&quot;0089615D&quot;/&gt;&lt;wsp:rsid wsp:val=&quot;008A43AD&quot;/&gt;&lt;wsp:rsid wsp:val=&quot;008B17DC&quot;/&gt;&lt;wsp:rsid wsp:val=&quot;008B6E0F&quot;/&gt;&lt;wsp:rsid wsp:val=&quot;008E1D33&quot;/&gt;&lt;wsp:rsid wsp:val=&quot;00900954&quot;/&gt;&lt;wsp:rsid wsp:val=&quot;00923BD4&quot;/&gt;&lt;wsp:rsid wsp:val=&quot;00962BD9&quot;/&gt;&lt;wsp:rsid wsp:val=&quot;009B0D14&quot;/&gt;&lt;wsp:rsid wsp:val=&quot;009B3814&quot;/&gt;&lt;wsp:rsid wsp:val=&quot;009F0E0A&quot;/&gt;&lt;wsp:rsid wsp:val=&quot;00A0125C&quot;/&gt;&lt;wsp:rsid wsp:val=&quot;00A0219C&quot;/&gt;&lt;wsp:rsid wsp:val=&quot;00A2086C&quot;/&gt;&lt;wsp:rsid wsp:val=&quot;00A255D2&quot;/&gt;&lt;wsp:rsid wsp:val=&quot;00A31452&quot;/&gt;&lt;wsp:rsid wsp:val=&quot;00A31467&quot;/&gt;&lt;wsp:rsid wsp:val=&quot;00A43A8A&quot;/&gt;&lt;wsp:rsid wsp:val=&quot;00A53545&quot;/&gt;&lt;wsp:rsid wsp:val=&quot;00A73F61&quot;/&gt;&lt;wsp:rsid wsp:val=&quot;00A90411&quot;/&gt;&lt;wsp:rsid wsp:val=&quot;00A9762B&quot;/&gt;&lt;wsp:rsid wsp:val=&quot;00AA56E7&quot;/&gt;&lt;wsp:rsid wsp:val=&quot;00AB42FE&quot;/&gt;&lt;wsp:rsid wsp:val=&quot;00B005B1&quot;/&gt;&lt;wsp:rsid wsp:val=&quot;00B067CB&quot;/&gt;&lt;wsp:rsid wsp:val=&quot;00B307BC&quot;/&gt;&lt;wsp:rsid wsp:val=&quot;00B60A39&quot;/&gt;&lt;wsp:rsid wsp:val=&quot;00B64DFA&quot;/&gt;&lt;wsp:rsid wsp:val=&quot;00B75C05&quot;/&gt;&lt;wsp:rsid wsp:val=&quot;00BA2A59&quot;/&gt;&lt;wsp:rsid wsp:val=&quot;00BC497F&quot;/&gt;&lt;wsp:rsid wsp:val=&quot;00C03542&quot;/&gt;&lt;wsp:rsid wsp:val=&quot;00C07740&quot;/&gt;&lt;wsp:rsid wsp:val=&quot;00C20445&quot;/&gt;&lt;wsp:rsid wsp:val=&quot;00C37960&quot;/&gt;&lt;wsp:rsid wsp:val=&quot;00C75541&quot;/&gt;&lt;wsp:rsid wsp:val=&quot;00C81577&quot;/&gt;&lt;wsp:rsid wsp:val=&quot;00C85163&quot;/&gt;&lt;wsp:rsid wsp:val=&quot;00CE015F&quot;/&gt;&lt;wsp:rsid wsp:val=&quot;00D11110&quot;/&gt;&lt;wsp:rsid wsp:val=&quot;00D11343&quot;/&gt;&lt;wsp:rsid wsp:val=&quot;00D162F1&quot;/&gt;&lt;wsp:rsid wsp:val=&quot;00D205E9&quot;/&gt;&lt;wsp:rsid wsp:val=&quot;00D419F4&quot;/&gt;&lt;wsp:rsid wsp:val=&quot;00D7373C&quot;/&gt;&lt;wsp:rsid wsp:val=&quot;00D86A4F&quot;/&gt;&lt;wsp:rsid wsp:val=&quot;00DC0E04&quot;/&gt;&lt;wsp:rsid wsp:val=&quot;00DC176A&quot;/&gt;&lt;wsp:rsid wsp:val=&quot;00E444BD&quot;/&gt;&lt;wsp:rsid wsp:val=&quot;00E72629&quot;/&gt;&lt;wsp:rsid wsp:val=&quot;00E85E58&quot;/&gt;&lt;wsp:rsid wsp:val=&quot;00E9402C&quot;/&gt;&lt;wsp:rsid wsp:val=&quot;00EA36C7&quot;/&gt;&lt;wsp:rsid wsp:val=&quot;00EB0844&quot;/&gt;&lt;wsp:rsid wsp:val=&quot;00EB3A3D&quot;/&gt;&lt;wsp:rsid wsp:val=&quot;00ED6525&quot;/&gt;&lt;wsp:rsid wsp:val=&quot;00F225E7&quot;/&gt;&lt;wsp:rsid wsp:val=&quot;00F34911&quot;/&gt;&lt;wsp:rsid wsp:val=&quot;00F52AEA&quot;/&gt;&lt;wsp:rsid wsp:val=&quot;00F8396B&quot;/&gt;&lt;wsp:rsid wsp:val=&quot;00F8486C&quot;/&gt;&lt;wsp:rsid wsp:val=&quot;00F864D4&quot;/&gt;&lt;wsp:rsid wsp:val=&quot;00FA7CD3&quot;/&gt;&lt;wsp:rsid wsp:val=&quot;00FA7D5F&quot;/&gt;&lt;wsp:rsid wsp:val=&quot;00FB21BC&quot;/&gt;&lt;wsp:rsid wsp:val=&quot;00FD0B6E&quot;/&gt;&lt;wsp:rsid wsp:val=&quot;00FE017C&quot;/&gt;&lt;wsp:rsid wsp:val=&quot;00FF54B0&quot;/&gt;&lt;wsp:rsid wsp:val=&quot;03415224&quot;/&gt;&lt;wsp:rsid wsp:val=&quot;07D8164F&quot;/&gt;&lt;wsp:rsid wsp:val=&quot;0DDE3BCD&quot;/&gt;&lt;wsp:rsid wsp:val=&quot;0DF95972&quot;/&gt;&lt;wsp:rsid wsp:val=&quot;123203F3&quot;/&gt;&lt;wsp:rsid wsp:val=&quot;124424DB&quot;/&gt;&lt;wsp:rsid wsp:val=&quot;21603051&quot;/&gt;&lt;wsp:rsid wsp:val=&quot;34386DFF&quot;/&gt;&lt;wsp:rsid wsp:val=&quot;39743B1E&quot;/&gt;&lt;wsp:rsid wsp:val=&quot;3F603F3A&quot;/&gt;&lt;wsp:rsid wsp:val=&quot;400148BB&quot;/&gt;&lt;wsp:rsid wsp:val=&quot;42EA5AC9&quot;/&gt;&lt;wsp:rsid wsp:val=&quot;497A2F38&quot;/&gt;&lt;wsp:rsid wsp:val=&quot;4C10150F&quot;/&gt;&lt;wsp:rsid wsp:val=&quot;5B1D708A&quot;/&gt;&lt;wsp:rsid wsp:val=&quot;66F51F41&quot;/&gt;&lt;wsp:rsid wsp:val=&quot;7EE57CB9&quot;/&gt;&lt;/wsp:rsids&gt;&lt;/w:docPr&gt;&lt;w:body&gt;&lt;wx:sect&gt;&lt;w:p wsp:rsidR=&quot;00000000&quot; wsp:rsidRDefault=&quot;008A43AD&quot; wsp:rsidP=&quot;008A43AD&quot;&gt;&lt;w:pPr&gt;&lt;w:rPr&gt;&lt;wx:font wx:val=&quot;仿宋_GB2312&quot;/&gt;&lt;/w:rPr&gt;&lt;/w:pPr&gt;&lt;m:oMathPara&gt;&lt;m:oMath&gt;&lt;m:f&gt;&lt;m:fPr&gt;&lt;m:type m:val=&quot;lin&quot;/&gt;&lt;m:ctrlPr&gt;&lt;w:rPr&gt;&lt;w:rFonts w:ascii=&quot;Cambria Math&quot; w:fareast=&quot;仿宋&quot; w:h-ansi=&quot;Cambria Math&quot;/&gt;&lt;wx:font wx:val=&quot;Cambria Math&quot;/&gt;&lt;w:i/&gt;&lt;/w:rPr&gt;&lt;/m:ctrlPr&gt;&lt;/m:fPr&gt;&lt;m:num&gt;&lt;m:nary&gt;&lt;m:naryPr&gt;&lt;m:chr m:val=&quot;∑&quot;/&gt;&lt;m:limLoc m:val=&quot;undOvr&quot;/&gt;&lt;m:supHide m:val=&quot;1&quot;/&gt;&lt;m:ctrlPr&gt;&lt;w:rPr&gt;&lt;w:rFonts w:ascii=&quot;Cambria Math&quot; w:fareast=&quot;仿宋&quot; w:h-ansi=&quot;Cambria Math&quot;/&gt;&lt;wx:font wx:val=&quot;Cambria Math&quot;/&gt;&lt;w:i/&gt;&lt;/w:rPr&gt;&lt;/m:ctrlPr&gt;&lt;/m:naryPr&gt;&lt;m:sub&gt;&lt;m:r&gt;&lt;w:rPr&gt;&lt;w:rFonts w:ascii=&quot;Cambria Math&quot; w:fareast=&quot;仿宋&quot; w:h-ansi=&quot;Cambria Math&quot;/&gt;&lt;wx:font wx:val=&quot;Cambria Math&quot;/&gt;&lt;w:i/&gt;&lt;/w:rPr&gt;&lt;m:t&gt;i&lt;/m:t&gt;&lt;/m:r&gt;&lt;/m:sub&gt;&lt;m:sup/&gt;&lt;m:e&gt;&lt;m:r&gt;&lt;m:rPr&gt;&lt;m:nor/&gt;&lt;/m:rPr&gt;&lt;w:rPr&gt;&lt;w:rFonts w:ascii=&quot;仿宋&quot; w:fareast=&quot;仿宋&quot; w:h-ansi=&quot;仿宋&quot; w:hint=&quot;fareast&quot;/&gt;&lt;wx:font wx:val=&quot;仿宋&quot;/&gt;&lt;/w:rPr&gt;&lt;m:t&gt;课程成绩&lt;/m:t&gt;&lt;/m:r&gt;&lt;m:r&gt;&lt;w:rPr&gt;&lt;w:rFonts w:ascii=&quot;Cambria Math&quot; w:fareast=&quot;仿宋&quot; w:h-ansi=&quot;Cambria Math&quot;/&gt;&lt;wx:font wx:val=&quot;Cambria Math&quot;/&gt;&lt;w:i/&gt;&lt;/w:rPr&gt;&lt;m:t&gt;i&lt;/m:t&gt;&lt;/m:r&gt;&lt;/m:e&gt;&lt;/m:nary&gt;&lt;m:r&gt;&lt;w:rPr&gt;&lt;w:rFonts w:ascii=&quot;Cambria Math&quot; w:fareast=&quot;仿宋&quot; w:h-ansi=&quot;Cambria Math&quot;/&gt;&lt;wx:font wx:val=&quot;Cambria Math&quot;/&gt;&lt;w:i/&gt;&lt;/w:rPr&gt;&lt;m:t&gt;*&lt;/m:t&gt;&lt;/m:r&gt;&lt;m:r&gt;&lt;m:rPr&gt;&lt;m:nor/&gt;&lt;/m:rPr&gt;&lt;w:rPr&gt;&lt;w:rFonts w:ascii=&quot;仿宋&quot; w:fareast=&quot;仿宋&quot; w:h-ansi=&quot;仿宋&quot; w:hint=&quot;fareast&quot;/&gt;&lt;wx:font wx:val=&quot;仿宋&quot;/&gt;&lt;/w:rPr&gt;&lt;m:t&gt;学分&lt;/m:t&gt;&lt;/m:r&gt;&lt;m:r&gt;&lt;w:rPr&gt;&lt;w:rFonts w:ascii=&quot;Cambria Math&quot; w:fareast=&quot;仿宋&quot; w:h-ansi=&quot;Cambria Math&quot;/&gt;&lt;wx:font wx:val=&quot;Cambria Math&quot;/&gt;&lt;w:i/&gt;&lt;/w:rPr&gt;&lt;m:t&gt;i&lt;/m:t&gt;&lt;/m:r&gt;&lt;/m:num&gt;&lt;m:den&gt;&lt;m:nary&gt;&lt;m:naryPr&gt;&lt;m:chr m:val=&quot;∑&quot;/&gt;&lt;m:limLoc m:val=&quot;undOvr&quot;/&gt;&lt;m:supHide m:val=&quot;1&quot;/&gt;&lt;m:ctrlPr&gt;&lt;w:rPr&gt;&lt;w:rFonts w:ascii=&quot;Cambria Math&quot; w:fareast=&quot;仿宋&quot; w:h-ansi=&quot;Cambria Math&quot;/&gt;&lt;wx:font wx:val=&quot;Cambria Math&quot;/&gt;&lt;w:i/&gt;&lt;/w:rPr&gt;&lt;/m:ctrlPr&gt;&lt;/m:naryPr&gt;&lt;m:sub&gt;&lt;m:r&gt;&lt;w:rPr&gt;&lt;w:rFonts w:ascii=&quot;Cambria Math&quot; w:fareast=&quot;仿宋&quot; w:h-ansi=&quot;Cambria Math&quot;/&gt;&lt;wx:font wx:val=&quot;Cambria Math&quot;/&gt;&lt;w:i/&gt;&lt;/w:rPr&gt;&lt;m:t&gt;i&lt;/m:t&gt;&lt;/m:r&gt;&lt;/m:sub&gt;&lt;m:sup/&gt;&lt;m:e&gt;&lt;m:r&gt;&lt;m:rPr&gt;&lt;m:nor/&gt;&lt;/m:rPr&gt;&lt;w:rPr&gt;&lt;w:rFonts w:ascii=&quot;仿宋&quot; w:fareast=&quot;仿宋&quot; w:h-ansi=&quot;仿宋&quot; w:hint=&quot;fareast&quot;/&gt;&lt;wx:font wx:val=&quot;仿宋&quot;/&gt;&lt;/w:rPr&gt;&lt;m:t&gt;学分&lt;/m:t&gt;&lt;/m:r&gt;&lt;/m:e&gt;&lt;/m:nary&gt;&lt;/m:den&gt;&lt;/m:f&gt;&lt;m:r&gt;&lt;w:rPr&gt;&lt;w:rFonts w:ascii=&quot;Cambria Math&quot; w:fareast=&quot;仿宋&quot; w:h-ansi=&quot;Cambria Math&quot;/&gt;&lt;wx:font wx:val=&quot;Cambria Math&quot;/&gt;&lt;w:i/&gt;&lt;/w:rPr&gt;&lt;m:t&gt;i&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v:imagedata r:id="rId5" chromakey="#FFFFFF" o:title=""/>
            <o:lock v:ext="edit" aspectratio="t"/>
            <w10:wrap type="none"/>
            <w10:anchorlock/>
          </v:shape>
        </w:pict>
      </w:r>
      <w:r>
        <w:rPr>
          <w:rFonts w:hint="eastAsia" w:ascii="仿宋" w:hAnsi="仿宋" w:eastAsia="仿宋" w:cs="宋体"/>
          <w:b/>
          <w:bCs/>
          <w:kern w:val="0"/>
          <w:sz w:val="28"/>
          <w:szCs w:val="28"/>
          <w:lang w:eastAsia="zh-CN"/>
        </w:rPr>
        <w:instrText xml:space="preserve"> </w:instrText>
      </w:r>
      <w:r>
        <w:rPr>
          <w:rFonts w:hint="eastAsia" w:ascii="仿宋" w:hAnsi="仿宋" w:eastAsia="仿宋" w:cs="宋体"/>
          <w:b/>
          <w:bCs/>
          <w:kern w:val="0"/>
          <w:sz w:val="28"/>
          <w:szCs w:val="28"/>
          <w:lang w:eastAsia="zh-CN"/>
        </w:rPr>
        <w:fldChar w:fldCharType="separate"/>
      </w:r>
      <w:r>
        <w:rPr>
          <w:rFonts w:hint="eastAsia" w:ascii="仿宋" w:hAnsi="仿宋" w:eastAsia="仿宋" w:cs="宋体"/>
          <w:b/>
          <w:bCs/>
          <w:kern w:val="0"/>
          <w:sz w:val="28"/>
          <w:szCs w:val="28"/>
          <w:lang w:eastAsia="zh-CN"/>
        </w:rPr>
        <w:pict>
          <v:shape id="_x0000_i1026" o:spt="75" type="#_x0000_t75" style="height:28.8pt;width:206.4pt;" filled="f" stroked="f" coordsize="21600,2160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bordersDontSurroundHeader/&gt;&lt;w:bordersDontSurroundFooter/&gt;&lt;w:stylePaneFormatFilter w:val=&quot;3F01&quot;/&gt;&lt;w:defaultTabStop w:val=&quot;420&quot;/&gt;&lt;w:evenAndOddHeaders/&gt;&lt;w:drawingGridHorizontalSpacing w:val=&quot;158&quot;/&gt;&lt;w:drawingGridVerticalSpacing w:val=&quot;579&quot;/&gt;&lt;w:displayHorizontalDrawingGridEvery w:val=&quot;0&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useWord2002TableStyleRules/&gt;&lt;w:useFELayout/&gt;&lt;/w:compat&gt;&lt;wsp:rsids&gt;&lt;wsp:rsidRoot wsp:val=&quot;00783BD0&quot;/&gt;&lt;wsp:rsid wsp:val=&quot;00001003&quot;/&gt;&lt;wsp:rsid wsp:val=&quot;000047D6&quot;/&gt;&lt;wsp:rsid wsp:val=&quot;00005497&quot;/&gt;&lt;wsp:rsid wsp:val=&quot;00033BE6&quot;/&gt;&lt;wsp:rsid wsp:val=&quot;00041B6F&quot;/&gt;&lt;wsp:rsid wsp:val=&quot;00044FE1&quot;/&gt;&lt;wsp:rsid wsp:val=&quot;00046B0D&quot;/&gt;&lt;wsp:rsid wsp:val=&quot;000478BC&quot;/&gt;&lt;wsp:rsid wsp:val=&quot;000635FA&quot;/&gt;&lt;wsp:rsid wsp:val=&quot;0007078D&quot;/&gt;&lt;wsp:rsid wsp:val=&quot;000716D5&quot;/&gt;&lt;wsp:rsid wsp:val=&quot;000B71B2&quot;/&gt;&lt;wsp:rsid wsp:val=&quot;000D1C4A&quot;/&gt;&lt;wsp:rsid wsp:val=&quot;000D29E9&quot;/&gt;&lt;wsp:rsid wsp:val=&quot;001010AF&quot;/&gt;&lt;wsp:rsid wsp:val=&quot;0013451F&quot;/&gt;&lt;wsp:rsid wsp:val=&quot;00142299&quot;/&gt;&lt;wsp:rsid wsp:val=&quot;00152D1F&quot;/&gt;&lt;wsp:rsid wsp:val=&quot;00163101&quot;/&gt;&lt;wsp:rsid wsp:val=&quot;0017111F&quot;/&gt;&lt;wsp:rsid wsp:val=&quot;001D786D&quot;/&gt;&lt;wsp:rsid wsp:val=&quot;002369DB&quot;/&gt;&lt;wsp:rsid wsp:val=&quot;0024658E&quot;/&gt;&lt;wsp:rsid wsp:val=&quot;00261868&quot;/&gt;&lt;wsp:rsid wsp:val=&quot;00264469&quot;/&gt;&lt;wsp:rsid wsp:val=&quot;00286355&quot;/&gt;&lt;wsp:rsid wsp:val=&quot;00286D34&quot;/&gt;&lt;wsp:rsid wsp:val=&quot;003035B8&quot;/&gt;&lt;wsp:rsid wsp:val=&quot;00342991&quot;/&gt;&lt;wsp:rsid wsp:val=&quot;0037416E&quot;/&gt;&lt;wsp:rsid wsp:val=&quot;0038200C&quot;/&gt;&lt;wsp:rsid wsp:val=&quot;00383680&quot;/&gt;&lt;wsp:rsid wsp:val=&quot;003B731B&quot;/&gt;&lt;wsp:rsid wsp:val=&quot;003F15E3&quot;/&gt;&lt;wsp:rsid wsp:val=&quot;003F757C&quot;/&gt;&lt;wsp:rsid wsp:val=&quot;0041010A&quot;/&gt;&lt;wsp:rsid wsp:val=&quot;00430B02&quot;/&gt;&lt;wsp:rsid wsp:val=&quot;004774AB&quot;/&gt;&lt;wsp:rsid wsp:val=&quot;004A138A&quot;/&gt;&lt;wsp:rsid wsp:val=&quot;004A5A38&quot;/&gt;&lt;wsp:rsid wsp:val=&quot;004B7DFB&quot;/&gt;&lt;wsp:rsid wsp:val=&quot;004D0BE7&quot;/&gt;&lt;wsp:rsid wsp:val=&quot;004D1169&quot;/&gt;&lt;wsp:rsid wsp:val=&quot;004E14E1&quot;/&gt;&lt;wsp:rsid wsp:val=&quot;005034DF&quot;/&gt;&lt;wsp:rsid wsp:val=&quot;00521634&quot;/&gt;&lt;wsp:rsid wsp:val=&quot;00533A88&quot;/&gt;&lt;wsp:rsid wsp:val=&quot;00573672&quot;/&gt;&lt;wsp:rsid wsp:val=&quot;005954A7&quot;/&gt;&lt;wsp:rsid wsp:val=&quot;005A3F5A&quot;/&gt;&lt;wsp:rsid wsp:val=&quot;005A79C0&quot;/&gt;&lt;wsp:rsid wsp:val=&quot;005B4B07&quot;/&gt;&lt;wsp:rsid wsp:val=&quot;005B759E&quot;/&gt;&lt;wsp:rsid wsp:val=&quot;005D157E&quot;/&gt;&lt;wsp:rsid wsp:val=&quot;005D18DC&quot;/&gt;&lt;wsp:rsid wsp:val=&quot;00621FB5&quot;/&gt;&lt;wsp:rsid wsp:val=&quot;006542B5&quot;/&gt;&lt;wsp:rsid wsp:val=&quot;0065799A&quot;/&gt;&lt;wsp:rsid wsp:val=&quot;0067493B&quot;/&gt;&lt;wsp:rsid wsp:val=&quot;006966C1&quot;/&gt;&lt;wsp:rsid wsp:val=&quot;006A7104&quot;/&gt;&lt;wsp:rsid wsp:val=&quot;006C0BD0&quot;/&gt;&lt;wsp:rsid wsp:val=&quot;006C7AB3&quot;/&gt;&lt;wsp:rsid wsp:val=&quot;006D4EE2&quot;/&gt;&lt;wsp:rsid wsp:val=&quot;006E536F&quot;/&gt;&lt;wsp:rsid wsp:val=&quot;006F05FC&quot;/&gt;&lt;wsp:rsid wsp:val=&quot;0070326D&quot;/&gt;&lt;wsp:rsid wsp:val=&quot;0073133B&quot;/&gt;&lt;wsp:rsid wsp:val=&quot;00740F91&quot;/&gt;&lt;wsp:rsid wsp:val=&quot;007538BE&quot;/&gt;&lt;wsp:rsid wsp:val=&quot;00755061&quot;/&gt;&lt;wsp:rsid wsp:val=&quot;007567A8&quot;/&gt;&lt;wsp:rsid wsp:val=&quot;007647BC&quot;/&gt;&lt;wsp:rsid wsp:val=&quot;00783BD0&quot;/&gt;&lt;wsp:rsid wsp:val=&quot;007967E6&quot;/&gt;&lt;wsp:rsid wsp:val=&quot;007C673A&quot;/&gt;&lt;wsp:rsid wsp:val=&quot;0081238A&quot;/&gt;&lt;wsp:rsid wsp:val=&quot;0084450B&quot;/&gt;&lt;wsp:rsid wsp:val=&quot;00874AA4&quot;/&gt;&lt;wsp:rsid wsp:val=&quot;0089615D&quot;/&gt;&lt;wsp:rsid wsp:val=&quot;008A43AD&quot;/&gt;&lt;wsp:rsid wsp:val=&quot;008B17DC&quot;/&gt;&lt;wsp:rsid wsp:val=&quot;008B6E0F&quot;/&gt;&lt;wsp:rsid wsp:val=&quot;008E1D33&quot;/&gt;&lt;wsp:rsid wsp:val=&quot;00900954&quot;/&gt;&lt;wsp:rsid wsp:val=&quot;00923BD4&quot;/&gt;&lt;wsp:rsid wsp:val=&quot;00962BD9&quot;/&gt;&lt;wsp:rsid wsp:val=&quot;009B0D14&quot;/&gt;&lt;wsp:rsid wsp:val=&quot;009B3814&quot;/&gt;&lt;wsp:rsid wsp:val=&quot;009F0E0A&quot;/&gt;&lt;wsp:rsid wsp:val=&quot;00A0125C&quot;/&gt;&lt;wsp:rsid wsp:val=&quot;00A0219C&quot;/&gt;&lt;wsp:rsid wsp:val=&quot;00A2086C&quot;/&gt;&lt;wsp:rsid wsp:val=&quot;00A255D2&quot;/&gt;&lt;wsp:rsid wsp:val=&quot;00A31452&quot;/&gt;&lt;wsp:rsid wsp:val=&quot;00A31467&quot;/&gt;&lt;wsp:rsid wsp:val=&quot;00A43A8A&quot;/&gt;&lt;wsp:rsid wsp:val=&quot;00A53545&quot;/&gt;&lt;wsp:rsid wsp:val=&quot;00A73F61&quot;/&gt;&lt;wsp:rsid wsp:val=&quot;00A90411&quot;/&gt;&lt;wsp:rsid wsp:val=&quot;00A9762B&quot;/&gt;&lt;wsp:rsid wsp:val=&quot;00AA56E7&quot;/&gt;&lt;wsp:rsid wsp:val=&quot;00AB42FE&quot;/&gt;&lt;wsp:rsid wsp:val=&quot;00B005B1&quot;/&gt;&lt;wsp:rsid wsp:val=&quot;00B067CB&quot;/&gt;&lt;wsp:rsid wsp:val=&quot;00B307BC&quot;/&gt;&lt;wsp:rsid wsp:val=&quot;00B60A39&quot;/&gt;&lt;wsp:rsid wsp:val=&quot;00B64DFA&quot;/&gt;&lt;wsp:rsid wsp:val=&quot;00B75C05&quot;/&gt;&lt;wsp:rsid wsp:val=&quot;00BA2A59&quot;/&gt;&lt;wsp:rsid wsp:val=&quot;00BC497F&quot;/&gt;&lt;wsp:rsid wsp:val=&quot;00C03542&quot;/&gt;&lt;wsp:rsid wsp:val=&quot;00C07740&quot;/&gt;&lt;wsp:rsid wsp:val=&quot;00C20445&quot;/&gt;&lt;wsp:rsid wsp:val=&quot;00C37960&quot;/&gt;&lt;wsp:rsid wsp:val=&quot;00C75541&quot;/&gt;&lt;wsp:rsid wsp:val=&quot;00C81577&quot;/&gt;&lt;wsp:rsid wsp:val=&quot;00C85163&quot;/&gt;&lt;wsp:rsid wsp:val=&quot;00CE015F&quot;/&gt;&lt;wsp:rsid wsp:val=&quot;00D11110&quot;/&gt;&lt;wsp:rsid wsp:val=&quot;00D11343&quot;/&gt;&lt;wsp:rsid wsp:val=&quot;00D162F1&quot;/&gt;&lt;wsp:rsid wsp:val=&quot;00D205E9&quot;/&gt;&lt;wsp:rsid wsp:val=&quot;00D419F4&quot;/&gt;&lt;wsp:rsid wsp:val=&quot;00D7373C&quot;/&gt;&lt;wsp:rsid wsp:val=&quot;00D86A4F&quot;/&gt;&lt;wsp:rsid wsp:val=&quot;00DC0E04&quot;/&gt;&lt;wsp:rsid wsp:val=&quot;00DC176A&quot;/&gt;&lt;wsp:rsid wsp:val=&quot;00E444BD&quot;/&gt;&lt;wsp:rsid wsp:val=&quot;00E72629&quot;/&gt;&lt;wsp:rsid wsp:val=&quot;00E85E58&quot;/&gt;&lt;wsp:rsid wsp:val=&quot;00E9402C&quot;/&gt;&lt;wsp:rsid wsp:val=&quot;00EA36C7&quot;/&gt;&lt;wsp:rsid wsp:val=&quot;00EB0844&quot;/&gt;&lt;wsp:rsid wsp:val=&quot;00EB3A3D&quot;/&gt;&lt;wsp:rsid wsp:val=&quot;00ED6525&quot;/&gt;&lt;wsp:rsid wsp:val=&quot;00F225E7&quot;/&gt;&lt;wsp:rsid wsp:val=&quot;00F34911&quot;/&gt;&lt;wsp:rsid wsp:val=&quot;00F52AEA&quot;/&gt;&lt;wsp:rsid wsp:val=&quot;00F8396B&quot;/&gt;&lt;wsp:rsid wsp:val=&quot;00F8486C&quot;/&gt;&lt;wsp:rsid wsp:val=&quot;00F864D4&quot;/&gt;&lt;wsp:rsid wsp:val=&quot;00FA7CD3&quot;/&gt;&lt;wsp:rsid wsp:val=&quot;00FA7D5F&quot;/&gt;&lt;wsp:rsid wsp:val=&quot;00FB21BC&quot;/&gt;&lt;wsp:rsid wsp:val=&quot;00FD0B6E&quot;/&gt;&lt;wsp:rsid wsp:val=&quot;00FE017C&quot;/&gt;&lt;wsp:rsid wsp:val=&quot;00FF54B0&quot;/&gt;&lt;wsp:rsid wsp:val=&quot;03415224&quot;/&gt;&lt;wsp:rsid wsp:val=&quot;07D8164F&quot;/&gt;&lt;wsp:rsid wsp:val=&quot;0DDE3BCD&quot;/&gt;&lt;wsp:rsid wsp:val=&quot;0DF95972&quot;/&gt;&lt;wsp:rsid wsp:val=&quot;123203F3&quot;/&gt;&lt;wsp:rsid wsp:val=&quot;124424DB&quot;/&gt;&lt;wsp:rsid wsp:val=&quot;21603051&quot;/&gt;&lt;wsp:rsid wsp:val=&quot;34386DFF&quot;/&gt;&lt;wsp:rsid wsp:val=&quot;39743B1E&quot;/&gt;&lt;wsp:rsid wsp:val=&quot;3F603F3A&quot;/&gt;&lt;wsp:rsid wsp:val=&quot;400148BB&quot;/&gt;&lt;wsp:rsid wsp:val=&quot;42EA5AC9&quot;/&gt;&lt;wsp:rsid wsp:val=&quot;497A2F38&quot;/&gt;&lt;wsp:rsid wsp:val=&quot;4C10150F&quot;/&gt;&lt;wsp:rsid wsp:val=&quot;5B1D708A&quot;/&gt;&lt;wsp:rsid wsp:val=&quot;66F51F41&quot;/&gt;&lt;wsp:rsid wsp:val=&quot;7EE57CB9&quot;/&gt;&lt;/wsp:rsids&gt;&lt;/w:docPr&gt;&lt;w:body&gt;&lt;wx:sect&gt;&lt;w:p wsp:rsidR=&quot;00000000&quot; wsp:rsidRDefault=&quot;008A43AD&quot; wsp:rsidP=&quot;008A43AD&quot;&gt;&lt;w:pPr&gt;&lt;w:rPr&gt;&lt;wx:font wx:val=&quot;仿宋_GB2312&quot;/&gt;&lt;/w:rPr&gt;&lt;/w:pPr&gt;&lt;m:oMathPara&gt;&lt;m:oMath&gt;&lt;m:f&gt;&lt;m:fPr&gt;&lt;m:type m:val=&quot;lin&quot;/&gt;&lt;m:ctrlPr&gt;&lt;w:rPr&gt;&lt;w:rFonts w:ascii=&quot;Cambria Math&quot; w:fareast=&quot;仿宋&quot; w:h-ansi=&quot;Cambria Math&quot;/&gt;&lt;wx:font wx:val=&quot;Cambria Math&quot;/&gt;&lt;w:i/&gt;&lt;/w:rPr&gt;&lt;/m:ctrlPr&gt;&lt;/m:fPr&gt;&lt;m:num&gt;&lt;m:nary&gt;&lt;m:naryPr&gt;&lt;m:chr m:val=&quot;∑&quot;/&gt;&lt;m:limLoc m:val=&quot;undOvr&quot;/&gt;&lt;m:supHide m:val=&quot;1&quot;/&gt;&lt;m:ctrlPr&gt;&lt;w:rPr&gt;&lt;w:rFonts w:ascii=&quot;Cambria Math&quot; w:fareast=&quot;仿宋&quot; w:h-ansi=&quot;Cambria Math&quot;/&gt;&lt;wx:font wx:val=&quot;Cambria Math&quot;/&gt;&lt;w:i/&gt;&lt;/w:rPr&gt;&lt;/m:ctrlPr&gt;&lt;/m:naryPr&gt;&lt;m:sub&gt;&lt;m:r&gt;&lt;w:rPr&gt;&lt;w:rFonts w:ascii=&quot;Cambria Math&quot; w:fareast=&quot;仿宋&quot; w:h-ansi=&quot;Cambria Math&quot;/&gt;&lt;wx:font wx:val=&quot;Cambria Math&quot;/&gt;&lt;w:i/&gt;&lt;/w:rPr&gt;&lt;m:t&gt;i&lt;/m:t&gt;&lt;/m:r&gt;&lt;/m:sub&gt;&lt;m:sup/&gt;&lt;m:e&gt;&lt;m:r&gt;&lt;m:rPr&gt;&lt;m:nor/&gt;&lt;/m:rPr&gt;&lt;w:rPr&gt;&lt;w:rFonts w:ascii=&quot;仿宋&quot; w:fareast=&quot;仿宋&quot; w:h-ansi=&quot;仿宋&quot; w:hint=&quot;fareast&quot;/&gt;&lt;wx:font wx:val=&quot;仿宋&quot;/&gt;&lt;/w:rPr&gt;&lt;m:t&gt;课程成绩&lt;/m:t&gt;&lt;/m:r&gt;&lt;m:r&gt;&lt;w:rPr&gt;&lt;w:rFonts w:ascii=&quot;Cambria Math&quot; w:fareast=&quot;仿宋&quot; w:h-ansi=&quot;Cambria Math&quot;/&gt;&lt;wx:font wx:val=&quot;Cambria Math&quot;/&gt;&lt;w:i/&gt;&lt;/w:rPr&gt;&lt;m:t&gt;i&lt;/m:t&gt;&lt;/m:r&gt;&lt;/m:e&gt;&lt;/m:nary&gt;&lt;m:r&gt;&lt;w:rPr&gt;&lt;w:rFonts w:ascii=&quot;Cambria Math&quot; w:fareast=&quot;仿宋&quot; w:h-ansi=&quot;Cambria Math&quot;/&gt;&lt;wx:font wx:val=&quot;Cambria Math&quot;/&gt;&lt;w:i/&gt;&lt;/w:rPr&gt;&lt;m:t&gt;*&lt;/m:t&gt;&lt;/m:r&gt;&lt;m:r&gt;&lt;m:rPr&gt;&lt;m:nor/&gt;&lt;/m:rPr&gt;&lt;w:rPr&gt;&lt;w:rFonts w:ascii=&quot;仿宋&quot; w:fareast=&quot;仿宋&quot; w:h-ansi=&quot;仿宋&quot; w:hint=&quot;fareast&quot;/&gt;&lt;wx:font wx:val=&quot;仿宋&quot;/&gt;&lt;/w:rPr&gt;&lt;m:t&gt;学分&lt;/m:t&gt;&lt;/m:r&gt;&lt;m:r&gt;&lt;w:rPr&gt;&lt;w:rFonts w:ascii=&quot;Cambria Math&quot; w:fareast=&quot;仿宋&quot; w:h-ansi=&quot;Cambria Math&quot;/&gt;&lt;wx:font wx:val=&quot;Cambria Math&quot;/&gt;&lt;w:i/&gt;&lt;/w:rPr&gt;&lt;m:t&gt;i&lt;/m:t&gt;&lt;/m:r&gt;&lt;/m:num&gt;&lt;m:den&gt;&lt;m:nary&gt;&lt;m:naryPr&gt;&lt;m:chr m:val=&quot;∑&quot;/&gt;&lt;m:limLoc m:val=&quot;undOvr&quot;/&gt;&lt;m:supHide m:val=&quot;1&quot;/&gt;&lt;m:ctrlPr&gt;&lt;w:rPr&gt;&lt;w:rFonts w:ascii=&quot;Cambria Math&quot; w:fareast=&quot;仿宋&quot; w:h-ansi=&quot;Cambria Math&quot;/&gt;&lt;wx:font wx:val=&quot;Cambria Math&quot;/&gt;&lt;w:i/&gt;&lt;/w:rPr&gt;&lt;/m:ctrlPr&gt;&lt;/m:naryPr&gt;&lt;m:sub&gt;&lt;m:r&gt;&lt;w:rPr&gt;&lt;w:rFonts w:ascii=&quot;Cambria Math&quot; w:fareast=&quot;仿宋&quot; w:h-ansi=&quot;Cambria Math&quot;/&gt;&lt;wx:font wx:val=&quot;Cambria Math&quot;/&gt;&lt;w:i/&gt;&lt;/w:rPr&gt;&lt;m:t&gt;i&lt;/m:t&gt;&lt;/m:r&gt;&lt;/m:sub&gt;&lt;m:sup/&gt;&lt;m:e&gt;&lt;m:r&gt;&lt;m:rPr&gt;&lt;m:nor/&gt;&lt;/m:rPr&gt;&lt;w:rPr&gt;&lt;w:rFonts w:ascii=&quot;仿宋&quot; w:fareast=&quot;仿宋&quot; w:h-ansi=&quot;仿宋&quot; w:hint=&quot;fareast&quot;/&gt;&lt;wx:font wx:val=&quot;仿宋&quot;/&gt;&lt;/w:rPr&gt;&lt;m:t&gt;学分&lt;/m:t&gt;&lt;/m:r&gt;&lt;/m:e&gt;&lt;/m:nary&gt;&lt;/m:den&gt;&lt;/m:f&gt;&lt;m:r&gt;&lt;w:rPr&gt;&lt;w:rFonts w:ascii=&quot;Cambria Math&quot; w:fareast=&quot;仿宋&quot; w:h-ansi=&quot;Cambria Math&quot;/&gt;&lt;wx:font wx:val=&quot;Cambria Math&quot;/&gt;&lt;w:i/&gt;&lt;/w:rPr&gt;&lt;m:t&gt;i&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v:imagedata r:id="rId5" chromakey="#FFFFFF" o:title=""/>
            <o:lock v:ext="edit" aspectratio="t"/>
            <w10:wrap type="none"/>
            <w10:anchorlock/>
          </v:shape>
        </w:pict>
      </w:r>
      <w:r>
        <w:rPr>
          <w:rFonts w:hint="eastAsia" w:ascii="仿宋" w:hAnsi="仿宋" w:eastAsia="仿宋" w:cs="宋体"/>
          <w:b/>
          <w:bCs/>
          <w:kern w:val="0"/>
          <w:sz w:val="28"/>
          <w:szCs w:val="28"/>
          <w:lang w:eastAsia="zh-CN"/>
        </w:rPr>
        <w:fldChar w:fldCharType="end"/>
      </w:r>
    </w:p>
    <w:p w14:paraId="4BD31B25">
      <w:pPr>
        <w:keepNext w:val="0"/>
        <w:keepLines w:val="0"/>
        <w:pageBreakBefore w:val="0"/>
        <w:widowControl/>
        <w:kinsoku/>
        <w:wordWrap/>
        <w:overflowPunct/>
        <w:topLinePunct w:val="0"/>
        <w:autoSpaceDE/>
        <w:autoSpaceDN/>
        <w:bidi w:val="0"/>
        <w:adjustRightInd/>
        <w:spacing w:before="75" w:line="600" w:lineRule="exact"/>
        <w:ind w:firstLine="560" w:firstLineChars="200"/>
        <w:jc w:val="left"/>
        <w:textAlignment w:val="auto"/>
        <w:rPr>
          <w:rFonts w:hint="eastAsia" w:ascii="仿宋" w:hAnsi="仿宋" w:eastAsia="仿宋" w:cs="宋体"/>
          <w:b/>
          <w:bCs/>
          <w:kern w:val="0"/>
          <w:sz w:val="28"/>
          <w:szCs w:val="28"/>
          <w:lang w:eastAsia="zh-CN"/>
        </w:rPr>
      </w:pPr>
      <w:r>
        <w:rPr>
          <w:rFonts w:hint="eastAsia" w:ascii="仿宋" w:hAnsi="仿宋" w:eastAsia="仿宋" w:cs="宋体"/>
          <w:b w:val="0"/>
          <w:bCs w:val="0"/>
          <w:kern w:val="0"/>
          <w:sz w:val="28"/>
          <w:szCs w:val="28"/>
          <w:lang w:eastAsia="zh-CN"/>
        </w:rPr>
        <w:t>课程成绩按各课程第一次所修成绩计算。</w:t>
      </w:r>
      <w:r>
        <w:rPr>
          <w:rFonts w:hint="eastAsia" w:ascii="仿宋" w:hAnsi="仿宋" w:eastAsia="仿宋" w:cs="宋体"/>
          <w:b w:val="0"/>
          <w:bCs w:val="0"/>
          <w:kern w:val="0"/>
          <w:sz w:val="28"/>
          <w:szCs w:val="28"/>
        </w:rPr>
        <w:t>计算方法</w:t>
      </w:r>
      <w:r>
        <w:rPr>
          <w:rFonts w:hint="eastAsia" w:ascii="仿宋" w:hAnsi="仿宋" w:eastAsia="仿宋" w:cs="宋体"/>
          <w:b w:val="0"/>
          <w:bCs w:val="0"/>
          <w:kern w:val="0"/>
          <w:sz w:val="28"/>
          <w:szCs w:val="28"/>
          <w:lang w:val="en-US" w:eastAsia="zh-CN"/>
        </w:rPr>
        <w:t>为</w:t>
      </w:r>
      <w:r>
        <w:rPr>
          <w:rFonts w:hint="eastAsia" w:ascii="仿宋" w:hAnsi="仿宋" w:eastAsia="仿宋" w:cs="宋体"/>
          <w:b/>
          <w:bCs/>
          <w:kern w:val="0"/>
          <w:sz w:val="28"/>
          <w:szCs w:val="28"/>
        </w:rPr>
        <w:t>：</w:t>
      </w:r>
      <w:r>
        <w:rPr>
          <w:rFonts w:hint="eastAsia" w:ascii="仿宋" w:hAnsi="仿宋" w:eastAsia="仿宋" w:cs="宋体"/>
          <w:kern w:val="0"/>
          <w:sz w:val="28"/>
          <w:szCs w:val="28"/>
          <w:lang w:val="en-US" w:eastAsia="zh-CN"/>
        </w:rPr>
        <w:t>学业综合</w:t>
      </w:r>
      <w:r>
        <w:rPr>
          <w:rFonts w:hint="eastAsia" w:ascii="仿宋" w:hAnsi="仿宋" w:eastAsia="仿宋" w:cs="宋体"/>
          <w:kern w:val="0"/>
          <w:sz w:val="28"/>
          <w:szCs w:val="28"/>
        </w:rPr>
        <w:t>成绩=（每人三年</w:t>
      </w:r>
      <w:r>
        <w:rPr>
          <w:rFonts w:hint="eastAsia" w:ascii="仿宋" w:hAnsi="仿宋" w:eastAsia="仿宋" w:cs="宋体"/>
          <w:kern w:val="0"/>
          <w:sz w:val="28"/>
          <w:szCs w:val="28"/>
          <w:lang w:val="en-US" w:eastAsia="zh-CN"/>
        </w:rPr>
        <w:t>学业综合</w:t>
      </w:r>
      <w:r>
        <w:rPr>
          <w:rFonts w:hint="eastAsia" w:ascii="仿宋" w:hAnsi="仿宋" w:eastAsia="仿宋" w:cs="宋体"/>
          <w:kern w:val="0"/>
          <w:sz w:val="28"/>
          <w:szCs w:val="28"/>
        </w:rPr>
        <w:t>原始总成绩/第一名三年</w:t>
      </w:r>
      <w:r>
        <w:rPr>
          <w:rFonts w:hint="eastAsia" w:ascii="仿宋" w:hAnsi="仿宋" w:eastAsia="仿宋" w:cs="宋体"/>
          <w:kern w:val="0"/>
          <w:sz w:val="28"/>
          <w:szCs w:val="28"/>
          <w:lang w:val="en-US" w:eastAsia="zh-CN"/>
        </w:rPr>
        <w:t>学业综合</w:t>
      </w:r>
      <w:r>
        <w:rPr>
          <w:rFonts w:hint="eastAsia" w:ascii="仿宋" w:hAnsi="仿宋" w:eastAsia="仿宋" w:cs="宋体"/>
          <w:kern w:val="0"/>
          <w:sz w:val="28"/>
          <w:szCs w:val="28"/>
        </w:rPr>
        <w:t>原始总成绩）</w:t>
      </w:r>
      <w:r>
        <w:rPr>
          <w:rFonts w:hint="eastAsia" w:ascii="仿宋" w:hAnsi="仿宋" w:eastAsia="仿宋" w:cs="宋体"/>
          <w:kern w:val="0"/>
          <w:sz w:val="28"/>
          <w:szCs w:val="28"/>
          <w:lang w:val="en-US" w:eastAsia="zh-CN"/>
        </w:rPr>
        <w:t>*90</w:t>
      </w:r>
      <w:r>
        <w:rPr>
          <w:rFonts w:hint="eastAsia" w:ascii="仿宋" w:hAnsi="仿宋" w:eastAsia="仿宋" w:cs="宋体"/>
          <w:kern w:val="0"/>
          <w:sz w:val="28"/>
          <w:szCs w:val="28"/>
        </w:rPr>
        <w:t>。</w:t>
      </w:r>
      <w:r>
        <w:rPr>
          <w:rFonts w:hint="eastAsia" w:ascii="仿宋" w:hAnsi="仿宋" w:eastAsia="仿宋" w:cs="宋体"/>
          <w:kern w:val="0"/>
          <w:sz w:val="28"/>
          <w:szCs w:val="28"/>
          <w:lang w:eastAsia="zh-CN"/>
        </w:rPr>
        <w:t>（</w:t>
      </w:r>
      <w:r>
        <w:rPr>
          <w:rFonts w:hint="eastAsia" w:ascii="仿宋" w:hAnsi="仿宋" w:eastAsia="仿宋" w:cs="宋体"/>
          <w:kern w:val="0"/>
          <w:sz w:val="28"/>
          <w:szCs w:val="28"/>
        </w:rPr>
        <w:t>注：第一名为本专业报名参加推荐免试同学之中成绩最高</w:t>
      </w:r>
      <w:r>
        <w:rPr>
          <w:rFonts w:hint="eastAsia" w:ascii="仿宋" w:hAnsi="仿宋" w:eastAsia="仿宋" w:cs="宋体"/>
          <w:kern w:val="0"/>
          <w:sz w:val="28"/>
          <w:szCs w:val="28"/>
          <w:lang w:val="en-US" w:eastAsia="zh-CN"/>
        </w:rPr>
        <w:t>分</w:t>
      </w:r>
      <w:r>
        <w:rPr>
          <w:rFonts w:hint="eastAsia" w:ascii="仿宋" w:hAnsi="仿宋" w:eastAsia="仿宋" w:cs="宋体"/>
          <w:kern w:val="0"/>
          <w:sz w:val="28"/>
          <w:szCs w:val="28"/>
          <w:lang w:eastAsia="zh-CN"/>
        </w:rPr>
        <w:t>。五级制成绩为优、良、中、及格、不及格的科目换算分数为95、85、75、65、55，二级制成绩为合格、不合格的科目换算分数为：80、55。</w:t>
      </w:r>
    </w:p>
    <w:p w14:paraId="6E8D0FF3">
      <w:pPr>
        <w:keepNext w:val="0"/>
        <w:keepLines w:val="0"/>
        <w:pageBreakBefore w:val="0"/>
        <w:kinsoku/>
        <w:wordWrap/>
        <w:overflowPunct/>
        <w:topLinePunct w:val="0"/>
        <w:autoSpaceDE/>
        <w:autoSpaceDN/>
        <w:bidi w:val="0"/>
        <w:adjustRightInd/>
        <w:snapToGrid w:val="0"/>
        <w:spacing w:line="600" w:lineRule="exact"/>
        <w:ind w:firstLine="562" w:firstLineChars="200"/>
        <w:textAlignment w:val="auto"/>
        <w:rPr>
          <w:rFonts w:hint="eastAsia" w:ascii="仿宋" w:hAnsi="仿宋" w:eastAsia="仿宋" w:cs="宋体"/>
          <w:b w:val="0"/>
          <w:bCs/>
          <w:kern w:val="0"/>
          <w:sz w:val="28"/>
          <w:szCs w:val="28"/>
          <w:lang w:eastAsia="zh-CN"/>
        </w:rPr>
      </w:pPr>
      <w:r>
        <w:rPr>
          <w:rFonts w:hint="eastAsia" w:ascii="仿宋" w:hAnsi="仿宋" w:eastAsia="仿宋" w:cs="宋体"/>
          <w:b/>
          <w:bCs w:val="0"/>
          <w:kern w:val="0"/>
          <w:sz w:val="28"/>
          <w:szCs w:val="28"/>
        </w:rPr>
        <w:t>3.素质类综合成绩占</w:t>
      </w:r>
      <w:r>
        <w:rPr>
          <w:rFonts w:hint="eastAsia" w:ascii="仿宋" w:hAnsi="仿宋" w:eastAsia="仿宋" w:cs="宋体"/>
          <w:b/>
          <w:bCs w:val="0"/>
          <w:kern w:val="0"/>
          <w:sz w:val="28"/>
          <w:szCs w:val="28"/>
          <w:lang w:val="en-US" w:eastAsia="zh-CN"/>
        </w:rPr>
        <w:t>1</w:t>
      </w:r>
      <w:r>
        <w:rPr>
          <w:rFonts w:hint="eastAsia" w:ascii="仿宋" w:hAnsi="仿宋" w:eastAsia="仿宋" w:cs="宋体"/>
          <w:b/>
          <w:bCs w:val="0"/>
          <w:kern w:val="0"/>
          <w:sz w:val="28"/>
          <w:szCs w:val="28"/>
        </w:rPr>
        <w:t>0%。</w:t>
      </w:r>
      <w:r>
        <w:rPr>
          <w:rFonts w:hint="eastAsia" w:ascii="仿宋" w:hAnsi="仿宋" w:eastAsia="仿宋" w:cs="宋体"/>
          <w:b w:val="0"/>
          <w:bCs/>
          <w:kern w:val="0"/>
          <w:sz w:val="28"/>
          <w:szCs w:val="28"/>
        </w:rPr>
        <w:t>素质类综合成绩将学生参军入伍服兵役、参加志愿服务、到国际组织实习、科研成果、竞赛获奖等符合全面发展价值导向等因素纳入学院推免生遴选指标体系</w:t>
      </w:r>
      <w:r>
        <w:rPr>
          <w:rFonts w:hint="eastAsia" w:ascii="仿宋" w:hAnsi="仿宋" w:eastAsia="仿宋" w:cs="宋体"/>
          <w:b w:val="0"/>
          <w:bCs/>
          <w:kern w:val="0"/>
          <w:sz w:val="28"/>
          <w:szCs w:val="28"/>
          <w:lang w:eastAsia="zh-CN"/>
        </w:rPr>
        <w:t>。</w:t>
      </w:r>
    </w:p>
    <w:p w14:paraId="3ACE0FC3">
      <w:pPr>
        <w:keepNext w:val="0"/>
        <w:keepLines w:val="0"/>
        <w:pageBreakBefore w:val="0"/>
        <w:kinsoku/>
        <w:wordWrap/>
        <w:overflowPunct/>
        <w:topLinePunct w:val="0"/>
        <w:autoSpaceDE/>
        <w:autoSpaceDN/>
        <w:bidi w:val="0"/>
        <w:adjustRightInd/>
        <w:snapToGrid w:val="0"/>
        <w:spacing w:line="600" w:lineRule="exact"/>
        <w:ind w:firstLine="562" w:firstLineChars="200"/>
        <w:textAlignment w:val="auto"/>
        <w:rPr>
          <w:rFonts w:hint="eastAsia" w:ascii="仿宋" w:hAnsi="仿宋" w:eastAsia="仿宋"/>
          <w:b w:val="0"/>
          <w:bCs/>
          <w:color w:val="auto"/>
          <w:sz w:val="28"/>
          <w:szCs w:val="28"/>
          <w:highlight w:val="yellow"/>
          <w:lang w:eastAsia="zh-CN"/>
        </w:rPr>
      </w:pPr>
      <w:r>
        <w:rPr>
          <w:rFonts w:hint="eastAsia" w:ascii="仿宋" w:hAnsi="仿宋" w:eastAsia="仿宋" w:cs="宋体"/>
          <w:b/>
          <w:bCs w:val="0"/>
          <w:kern w:val="0"/>
          <w:sz w:val="28"/>
          <w:szCs w:val="28"/>
          <w:lang w:eastAsia="zh-CN"/>
        </w:rPr>
        <w:t>（</w:t>
      </w:r>
      <w:r>
        <w:rPr>
          <w:rFonts w:hint="eastAsia" w:ascii="仿宋" w:hAnsi="仿宋" w:eastAsia="仿宋" w:cs="宋体"/>
          <w:b/>
          <w:bCs w:val="0"/>
          <w:kern w:val="0"/>
          <w:sz w:val="28"/>
          <w:szCs w:val="28"/>
        </w:rPr>
        <w:t>1）</w:t>
      </w:r>
      <w:r>
        <w:rPr>
          <w:rFonts w:hint="eastAsia" w:ascii="仿宋" w:hAnsi="仿宋" w:eastAsia="仿宋" w:cs="宋体"/>
          <w:b/>
          <w:bCs w:val="0"/>
          <w:kern w:val="0"/>
          <w:sz w:val="28"/>
          <w:szCs w:val="28"/>
          <w:lang w:val="en-US" w:eastAsia="zh-CN"/>
        </w:rPr>
        <w:t>参军入伍服兵役占2%。</w:t>
      </w:r>
    </w:p>
    <w:p w14:paraId="578E7851">
      <w:pPr>
        <w:keepNext w:val="0"/>
        <w:keepLines w:val="0"/>
        <w:pageBreakBefore w:val="0"/>
        <w:kinsoku/>
        <w:wordWrap/>
        <w:overflowPunct/>
        <w:topLinePunct w:val="0"/>
        <w:autoSpaceDE/>
        <w:autoSpaceDN/>
        <w:bidi w:val="0"/>
        <w:adjustRightInd/>
        <w:snapToGrid w:val="0"/>
        <w:spacing w:line="600" w:lineRule="exact"/>
        <w:ind w:firstLine="562" w:firstLineChars="200"/>
        <w:jc w:val="both"/>
        <w:textAlignment w:val="auto"/>
        <w:rPr>
          <w:rFonts w:hint="eastAsia" w:ascii="仿宋" w:hAnsi="仿宋" w:eastAsia="仿宋" w:cs="宋体"/>
          <w:b w:val="0"/>
          <w:bCs/>
          <w:kern w:val="0"/>
          <w:sz w:val="28"/>
          <w:szCs w:val="28"/>
          <w:lang w:val="en-US" w:eastAsia="zh-CN"/>
        </w:rPr>
      </w:pPr>
      <w:r>
        <w:rPr>
          <w:rFonts w:hint="eastAsia" w:ascii="仿宋" w:hAnsi="仿宋" w:eastAsia="仿宋" w:cs="宋体"/>
          <w:b/>
          <w:bCs w:val="0"/>
          <w:kern w:val="0"/>
          <w:sz w:val="28"/>
          <w:szCs w:val="28"/>
          <w:lang w:eastAsia="zh-CN"/>
        </w:rPr>
        <w:t>（</w:t>
      </w:r>
      <w:r>
        <w:rPr>
          <w:rFonts w:hint="eastAsia" w:ascii="仿宋" w:hAnsi="仿宋" w:eastAsia="仿宋" w:cs="宋体"/>
          <w:b/>
          <w:bCs w:val="0"/>
          <w:kern w:val="0"/>
          <w:sz w:val="28"/>
          <w:szCs w:val="28"/>
        </w:rPr>
        <w:t>2）</w:t>
      </w:r>
      <w:r>
        <w:rPr>
          <w:rFonts w:hint="eastAsia" w:ascii="仿宋" w:hAnsi="仿宋" w:eastAsia="仿宋" w:cs="宋体"/>
          <w:b/>
          <w:bCs w:val="0"/>
          <w:kern w:val="0"/>
          <w:sz w:val="28"/>
          <w:szCs w:val="28"/>
          <w:lang w:val="en-US" w:eastAsia="zh-CN"/>
        </w:rPr>
        <w:t>参加志愿服务占1%。</w:t>
      </w:r>
      <w:r>
        <w:rPr>
          <w:rFonts w:hint="eastAsia" w:ascii="仿宋" w:hAnsi="仿宋" w:eastAsia="仿宋" w:cs="宋体"/>
          <w:b w:val="0"/>
          <w:bCs/>
          <w:kern w:val="0"/>
          <w:sz w:val="28"/>
          <w:szCs w:val="28"/>
          <w:lang w:val="en-US" w:eastAsia="zh-CN"/>
        </w:rPr>
        <w:t>注册《中国志愿服务网》，并获得全国性项目志愿服务证书。参加志愿服务以中国志愿服务网公布的全国性项目为依据。</w:t>
      </w:r>
    </w:p>
    <w:p w14:paraId="05810638">
      <w:pPr>
        <w:keepNext w:val="0"/>
        <w:keepLines w:val="0"/>
        <w:pageBreakBefore w:val="0"/>
        <w:kinsoku/>
        <w:wordWrap/>
        <w:overflowPunct/>
        <w:topLinePunct w:val="0"/>
        <w:autoSpaceDE/>
        <w:autoSpaceDN/>
        <w:bidi w:val="0"/>
        <w:adjustRightInd/>
        <w:snapToGrid w:val="0"/>
        <w:spacing w:line="600" w:lineRule="exact"/>
        <w:ind w:firstLine="562" w:firstLineChars="200"/>
        <w:jc w:val="both"/>
        <w:textAlignment w:val="auto"/>
        <w:rPr>
          <w:rFonts w:hint="eastAsia" w:ascii="仿宋" w:hAnsi="仿宋" w:eastAsia="仿宋" w:cs="宋体"/>
          <w:b w:val="0"/>
          <w:bCs/>
          <w:kern w:val="0"/>
          <w:sz w:val="28"/>
          <w:szCs w:val="28"/>
          <w:lang w:val="en-US" w:eastAsia="zh-CN"/>
        </w:rPr>
      </w:pPr>
      <w:r>
        <w:rPr>
          <w:rFonts w:hint="eastAsia" w:ascii="仿宋" w:hAnsi="仿宋" w:eastAsia="仿宋" w:cs="宋体"/>
          <w:b/>
          <w:bCs w:val="0"/>
          <w:kern w:val="0"/>
          <w:sz w:val="28"/>
          <w:szCs w:val="28"/>
          <w:lang w:val="en-US" w:eastAsia="zh-CN"/>
        </w:rPr>
        <w:t>（3）到国际组织实习占1%。</w:t>
      </w:r>
      <w:r>
        <w:rPr>
          <w:rFonts w:hint="eastAsia" w:ascii="仿宋" w:hAnsi="仿宋" w:eastAsia="仿宋" w:cs="宋体"/>
          <w:b w:val="0"/>
          <w:bCs/>
          <w:kern w:val="0"/>
          <w:sz w:val="28"/>
          <w:szCs w:val="28"/>
          <w:lang w:val="en-US" w:eastAsia="zh-CN"/>
        </w:rPr>
        <w:t>参加联合国下组织实习项目1个月及以上，凭实习证明，并由学院推荐免试研究生工作领导小组研究认定。</w:t>
      </w:r>
    </w:p>
    <w:p w14:paraId="70CA08CE">
      <w:pPr>
        <w:keepNext w:val="0"/>
        <w:keepLines w:val="0"/>
        <w:pageBreakBefore w:val="0"/>
        <w:widowControl/>
        <w:kinsoku/>
        <w:wordWrap/>
        <w:overflowPunct/>
        <w:topLinePunct w:val="0"/>
        <w:autoSpaceDE/>
        <w:autoSpaceDN/>
        <w:bidi w:val="0"/>
        <w:adjustRightInd/>
        <w:snapToGrid/>
        <w:spacing w:before="75" w:line="600" w:lineRule="exact"/>
        <w:ind w:firstLine="562" w:firstLineChars="200"/>
        <w:jc w:val="both"/>
        <w:textAlignment w:val="auto"/>
        <w:rPr>
          <w:rFonts w:hint="eastAsia" w:ascii="仿宋" w:hAnsi="仿宋" w:eastAsia="仿宋" w:cs="宋体"/>
          <w:kern w:val="0"/>
          <w:sz w:val="28"/>
          <w:szCs w:val="28"/>
          <w:lang w:eastAsia="zh-CN"/>
        </w:rPr>
      </w:pPr>
      <w:r>
        <w:rPr>
          <w:rFonts w:hint="eastAsia" w:ascii="仿宋" w:hAnsi="仿宋" w:eastAsia="仿宋" w:cs="宋体"/>
          <w:b/>
          <w:bCs w:val="0"/>
          <w:kern w:val="0"/>
          <w:sz w:val="28"/>
          <w:szCs w:val="28"/>
          <w:lang w:val="en-US" w:eastAsia="zh-CN"/>
        </w:rPr>
        <w:t>（4）</w:t>
      </w:r>
      <w:r>
        <w:rPr>
          <w:rFonts w:hint="eastAsia" w:ascii="仿宋" w:hAnsi="仿宋" w:eastAsia="仿宋" w:cs="宋体"/>
          <w:b/>
          <w:bCs w:val="0"/>
          <w:kern w:val="0"/>
          <w:sz w:val="28"/>
          <w:szCs w:val="28"/>
        </w:rPr>
        <w:t>科研成果</w:t>
      </w:r>
      <w:r>
        <w:rPr>
          <w:rFonts w:hint="eastAsia" w:ascii="仿宋" w:hAnsi="仿宋" w:eastAsia="仿宋" w:cs="宋体"/>
          <w:b/>
          <w:bCs w:val="0"/>
          <w:kern w:val="0"/>
          <w:sz w:val="28"/>
          <w:szCs w:val="28"/>
          <w:lang w:val="en-US" w:eastAsia="zh-CN"/>
        </w:rPr>
        <w:t>占3%。</w:t>
      </w:r>
      <w:r>
        <w:rPr>
          <w:rFonts w:hint="eastAsia" w:ascii="仿宋" w:hAnsi="仿宋" w:eastAsia="仿宋" w:cs="宋体"/>
          <w:bCs/>
          <w:kern w:val="0"/>
          <w:sz w:val="28"/>
          <w:szCs w:val="28"/>
          <w:lang w:val="en-US" w:eastAsia="zh-CN"/>
        </w:rPr>
        <w:t>学生本科阶段在核心期刊上以独立作者或第一作者发表的与学业相关的科研论文</w:t>
      </w:r>
      <w:r>
        <w:rPr>
          <w:rFonts w:hint="eastAsia" w:ascii="仿宋" w:hAnsi="仿宋" w:eastAsia="仿宋" w:cs="宋体"/>
          <w:bCs/>
          <w:kern w:val="0"/>
          <w:sz w:val="28"/>
          <w:szCs w:val="28"/>
        </w:rPr>
        <w:t>。</w:t>
      </w:r>
      <w:r>
        <w:rPr>
          <w:rFonts w:hint="eastAsia" w:ascii="仿宋" w:hAnsi="仿宋" w:eastAsia="仿宋" w:cs="宋体"/>
          <w:b w:val="0"/>
          <w:bCs/>
          <w:kern w:val="0"/>
          <w:sz w:val="28"/>
          <w:szCs w:val="28"/>
        </w:rPr>
        <w:t>计算方法：</w:t>
      </w:r>
      <w:r>
        <w:rPr>
          <w:rFonts w:hint="eastAsia" w:ascii="仿宋" w:hAnsi="仿宋" w:eastAsia="仿宋" w:cs="宋体"/>
          <w:b w:val="0"/>
          <w:bCs/>
          <w:kern w:val="0"/>
          <w:sz w:val="28"/>
          <w:szCs w:val="28"/>
          <w:lang w:val="en-US" w:eastAsia="zh-CN"/>
        </w:rPr>
        <w:t>分数</w:t>
      </w:r>
      <w:r>
        <w:rPr>
          <w:rFonts w:hint="eastAsia" w:ascii="仿宋" w:hAnsi="仿宋" w:eastAsia="仿宋" w:cs="宋体"/>
          <w:kern w:val="0"/>
          <w:sz w:val="28"/>
          <w:szCs w:val="28"/>
        </w:rPr>
        <w:t>=（每人</w:t>
      </w:r>
      <w:r>
        <w:rPr>
          <w:rFonts w:hint="eastAsia" w:ascii="仿宋" w:hAnsi="仿宋" w:eastAsia="仿宋" w:cs="宋体"/>
          <w:kern w:val="0"/>
          <w:sz w:val="28"/>
          <w:szCs w:val="28"/>
          <w:lang w:val="en-US" w:eastAsia="zh-CN"/>
        </w:rPr>
        <w:t>科研成果总分</w:t>
      </w:r>
      <w:r>
        <w:rPr>
          <w:rFonts w:hint="eastAsia" w:ascii="仿宋" w:hAnsi="仿宋" w:eastAsia="仿宋" w:cs="宋体"/>
          <w:kern w:val="0"/>
          <w:sz w:val="28"/>
          <w:szCs w:val="28"/>
        </w:rPr>
        <w:t>/第一名</w:t>
      </w:r>
      <w:r>
        <w:rPr>
          <w:rFonts w:hint="eastAsia" w:ascii="仿宋" w:hAnsi="仿宋" w:eastAsia="仿宋" w:cs="宋体"/>
          <w:kern w:val="0"/>
          <w:sz w:val="28"/>
          <w:szCs w:val="28"/>
          <w:lang w:val="en-US" w:eastAsia="zh-CN"/>
        </w:rPr>
        <w:t>科研成果总分</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*3</w:t>
      </w:r>
      <w:r>
        <w:rPr>
          <w:rFonts w:hint="eastAsia" w:ascii="仿宋" w:hAnsi="仿宋" w:eastAsia="仿宋" w:cs="宋体"/>
          <w:kern w:val="0"/>
          <w:sz w:val="28"/>
          <w:szCs w:val="28"/>
        </w:rPr>
        <w:t>。</w:t>
      </w: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注：</w:t>
      </w:r>
      <w:r>
        <w:rPr>
          <w:rFonts w:hint="eastAsia" w:ascii="仿宋" w:hAnsi="仿宋" w:eastAsia="仿宋" w:cs="宋体"/>
          <w:kern w:val="0"/>
          <w:sz w:val="28"/>
          <w:szCs w:val="28"/>
        </w:rPr>
        <w:t>第一名为本专业报名参加推荐免试同学之中成绩最高的</w:t>
      </w:r>
      <w:r>
        <w:rPr>
          <w:rFonts w:hint="eastAsia" w:ascii="仿宋" w:hAnsi="仿宋" w:eastAsia="仿宋" w:cs="宋体"/>
          <w:kern w:val="0"/>
          <w:sz w:val="28"/>
          <w:szCs w:val="28"/>
          <w:lang w:eastAsia="zh-CN"/>
        </w:rPr>
        <w:t>）</w:t>
      </w:r>
    </w:p>
    <w:p w14:paraId="3039A6BC">
      <w:pPr>
        <w:keepNext w:val="0"/>
        <w:keepLines w:val="0"/>
        <w:pageBreakBefore w:val="0"/>
        <w:widowControl/>
        <w:kinsoku/>
        <w:wordWrap/>
        <w:overflowPunct/>
        <w:topLinePunct w:val="0"/>
        <w:autoSpaceDE/>
        <w:autoSpaceDN/>
        <w:bidi w:val="0"/>
        <w:adjustRightInd/>
        <w:snapToGrid/>
        <w:spacing w:before="75" w:line="600" w:lineRule="exact"/>
        <w:ind w:firstLine="560" w:firstLineChars="200"/>
        <w:jc w:val="both"/>
        <w:textAlignment w:val="auto"/>
        <w:rPr>
          <w:rFonts w:hint="default" w:ascii="仿宋" w:hAnsi="仿宋" w:eastAsia="仿宋" w:cs="宋体"/>
          <w:kern w:val="0"/>
          <w:sz w:val="28"/>
          <w:szCs w:val="28"/>
          <w:highlight w:val="none"/>
          <w:lang w:val="en-US" w:eastAsia="zh-CN"/>
        </w:rPr>
      </w:pPr>
      <w:r>
        <w:rPr>
          <w:rFonts w:hint="eastAsia" w:ascii="仿宋" w:hAnsi="仿宋" w:eastAsia="仿宋" w:cs="仿宋"/>
          <w:b w:val="0"/>
          <w:bCs w:val="0"/>
          <w:sz w:val="28"/>
          <w:szCs w:val="28"/>
          <w:highlight w:val="none"/>
          <w:lang w:val="en-US" w:eastAsia="zh-CN"/>
        </w:rPr>
        <w:t>学生</w:t>
      </w:r>
      <w:r>
        <w:rPr>
          <w:rFonts w:hint="eastAsia" w:ascii="仿宋" w:hAnsi="仿宋" w:eastAsia="仿宋" w:cs="仿宋"/>
          <w:b w:val="0"/>
          <w:bCs w:val="0"/>
          <w:sz w:val="28"/>
          <w:szCs w:val="28"/>
          <w:highlight w:val="none"/>
        </w:rPr>
        <w:t>与学历、职称、职务明显高于本人者合作且署名第一作者在公开出版刊物上发表</w:t>
      </w:r>
      <w:r>
        <w:rPr>
          <w:rFonts w:hint="eastAsia" w:ascii="仿宋" w:hAnsi="仿宋" w:eastAsia="仿宋" w:cs="仿宋"/>
          <w:b w:val="0"/>
          <w:bCs w:val="0"/>
          <w:sz w:val="28"/>
          <w:szCs w:val="28"/>
          <w:highlight w:val="none"/>
          <w:lang w:val="en-US" w:eastAsia="zh-CN"/>
        </w:rPr>
        <w:t>科研</w:t>
      </w:r>
      <w:r>
        <w:rPr>
          <w:rFonts w:hint="eastAsia" w:ascii="仿宋" w:hAnsi="仿宋" w:eastAsia="仿宋" w:cs="仿宋"/>
          <w:b w:val="0"/>
          <w:bCs w:val="0"/>
          <w:sz w:val="28"/>
          <w:szCs w:val="28"/>
          <w:highlight w:val="none"/>
        </w:rPr>
        <w:t>论文（论著）</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中文核心期刊按照影响因子档次（1以上，1至0.5，0.5以下）每篇加8、6、4分</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SCI，EI等重点期刊按照一区、二区、三区、四区每篇加20、16、13、9分（需出具复印件，未发表不计算）</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注：以独立作者发表科研论文在上述加分基础上奖励加</w:t>
      </w:r>
      <w:r>
        <w:rPr>
          <w:rFonts w:hint="eastAsia" w:ascii="仿宋" w:hAnsi="仿宋" w:eastAsia="仿宋" w:cs="仿宋"/>
          <w:b w:val="0"/>
          <w:bCs w:val="0"/>
          <w:color w:val="auto"/>
          <w:sz w:val="28"/>
          <w:szCs w:val="28"/>
          <w:highlight w:val="none"/>
          <w:lang w:val="en-US" w:eastAsia="zh-CN"/>
        </w:rPr>
        <w:t>5</w:t>
      </w:r>
      <w:r>
        <w:rPr>
          <w:rFonts w:hint="eastAsia" w:ascii="仿宋" w:hAnsi="仿宋" w:eastAsia="仿宋" w:cs="仿宋"/>
          <w:b w:val="0"/>
          <w:bCs w:val="0"/>
          <w:sz w:val="28"/>
          <w:szCs w:val="28"/>
          <w:highlight w:val="none"/>
          <w:lang w:val="en-US" w:eastAsia="zh-CN"/>
        </w:rPr>
        <w:t>分。</w:t>
      </w:r>
    </w:p>
    <w:p w14:paraId="3DB92695">
      <w:pPr>
        <w:keepNext w:val="0"/>
        <w:keepLines w:val="0"/>
        <w:pageBreakBefore w:val="0"/>
        <w:widowControl/>
        <w:kinsoku/>
        <w:wordWrap/>
        <w:overflowPunct/>
        <w:topLinePunct w:val="0"/>
        <w:autoSpaceDE/>
        <w:autoSpaceDN/>
        <w:bidi w:val="0"/>
        <w:adjustRightInd/>
        <w:snapToGrid/>
        <w:spacing w:before="75" w:line="600" w:lineRule="exact"/>
        <w:ind w:firstLine="562" w:firstLineChars="200"/>
        <w:jc w:val="left"/>
        <w:textAlignment w:val="auto"/>
        <w:rPr>
          <w:rFonts w:hint="eastAsia" w:ascii="仿宋" w:hAnsi="仿宋" w:eastAsia="仿宋" w:cs="宋体"/>
          <w:kern w:val="0"/>
          <w:sz w:val="28"/>
          <w:szCs w:val="28"/>
          <w:lang w:eastAsia="zh-CN"/>
        </w:rPr>
      </w:pPr>
      <w:r>
        <w:rPr>
          <w:rFonts w:hint="eastAsia" w:ascii="仿宋" w:hAnsi="仿宋" w:eastAsia="仿宋" w:cs="宋体"/>
          <w:b/>
          <w:bCs w:val="0"/>
          <w:kern w:val="0"/>
          <w:sz w:val="28"/>
          <w:szCs w:val="28"/>
          <w:lang w:val="en-US" w:eastAsia="zh-CN"/>
        </w:rPr>
        <w:t>（5）竞赛获奖占3%。</w:t>
      </w:r>
      <w:r>
        <w:rPr>
          <w:rFonts w:hint="eastAsia" w:ascii="仿宋" w:hAnsi="仿宋" w:eastAsia="仿宋" w:cs="宋体"/>
          <w:bCs/>
          <w:kern w:val="0"/>
          <w:sz w:val="28"/>
          <w:szCs w:val="28"/>
          <w:lang w:val="en-US" w:eastAsia="zh-CN"/>
        </w:rPr>
        <w:t>作为主力队员参加与学业相关的国内权威科研竞赛（以中国高等教育学会认定并发布的竞赛名单为准）并获得国家级三等奖及以上的奖励（国际赛事参照执行，但不得低于国内赛事相关要求）。计算方法：分数=（每人竞赛获奖总分/报名中第一名竞赛获奖总分）*3。</w:t>
      </w:r>
      <w:r>
        <w:rPr>
          <w:rFonts w:hint="eastAsia" w:ascii="仿宋" w:hAnsi="仿宋" w:eastAsia="仿宋" w:cs="宋体"/>
          <w:kern w:val="0"/>
          <w:sz w:val="28"/>
          <w:szCs w:val="28"/>
          <w:lang w:eastAsia="zh-CN"/>
        </w:rPr>
        <w:t>（</w:t>
      </w:r>
      <w:r>
        <w:rPr>
          <w:rFonts w:hint="eastAsia" w:ascii="仿宋" w:hAnsi="仿宋" w:eastAsia="仿宋" w:cs="宋体"/>
          <w:kern w:val="0"/>
          <w:sz w:val="28"/>
          <w:szCs w:val="28"/>
          <w:lang w:val="en-US" w:eastAsia="zh-CN"/>
        </w:rPr>
        <w:t>注：</w:t>
      </w:r>
      <w:r>
        <w:rPr>
          <w:rFonts w:hint="eastAsia" w:ascii="仿宋" w:hAnsi="仿宋" w:eastAsia="仿宋" w:cs="宋体"/>
          <w:kern w:val="0"/>
          <w:sz w:val="28"/>
          <w:szCs w:val="28"/>
        </w:rPr>
        <w:t>第一名为本专业报名参加推荐免试同学之中成绩最高的</w:t>
      </w:r>
      <w:r>
        <w:rPr>
          <w:rFonts w:hint="eastAsia" w:ascii="仿宋" w:hAnsi="仿宋" w:eastAsia="仿宋" w:cs="宋体"/>
          <w:kern w:val="0"/>
          <w:sz w:val="28"/>
          <w:szCs w:val="28"/>
          <w:lang w:eastAsia="zh-CN"/>
        </w:rPr>
        <w:t>）。</w:t>
      </w:r>
    </w:p>
    <w:p w14:paraId="1CE1D89D">
      <w:pPr>
        <w:keepNext w:val="0"/>
        <w:keepLines w:val="0"/>
        <w:pageBreakBefore w:val="0"/>
        <w:widowControl/>
        <w:kinsoku/>
        <w:wordWrap/>
        <w:overflowPunct/>
        <w:topLinePunct w:val="0"/>
        <w:autoSpaceDE/>
        <w:autoSpaceDN/>
        <w:bidi w:val="0"/>
        <w:adjustRightInd/>
        <w:snapToGrid/>
        <w:spacing w:before="75" w:line="600" w:lineRule="exact"/>
        <w:ind w:firstLine="560" w:firstLineChars="200"/>
        <w:jc w:val="left"/>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“挑战杯</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互联网+”等学术专业竞赛国家级金奖项目主持人加30分，小组成员加15分；银奖项目主持人加20分，小组成员加10分；铜奖项目主持人加16分，小组成员加8分</w:t>
      </w:r>
      <w:r>
        <w:rPr>
          <w:rFonts w:hint="eastAsia" w:ascii="仿宋" w:hAnsi="仿宋" w:eastAsia="仿宋" w:cs="仿宋"/>
          <w:b w:val="0"/>
          <w:bCs w:val="0"/>
          <w:sz w:val="28"/>
          <w:szCs w:val="28"/>
          <w:highlight w:val="none"/>
          <w:lang w:eastAsia="zh-CN"/>
        </w:rPr>
        <w:t>。化学实验创新设计大赛获国家一、二、三级奖项，团队成员分别加15分、13分、11分。化工设计大赛获国家一、二、三级奖项，团队成员分别加15分、10分、7分</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注：与专业无关类竞赛获奖不予加分。</w:t>
      </w:r>
    </w:p>
    <w:p w14:paraId="5797AE1A">
      <w:pPr>
        <w:snapToGrid w:val="0"/>
        <w:spacing w:line="600" w:lineRule="exact"/>
        <w:ind w:firstLine="560" w:firstLineChars="200"/>
        <w:rPr>
          <w:rFonts w:hint="eastAsia" w:ascii="仿宋" w:hAnsi="仿宋" w:eastAsia="仿宋" w:cs="宋体"/>
          <w:bCs/>
          <w:kern w:val="0"/>
          <w:sz w:val="28"/>
          <w:szCs w:val="28"/>
          <w:highlight w:val="none"/>
          <w:lang w:val="en-US" w:eastAsia="zh-CN"/>
        </w:rPr>
      </w:pPr>
      <w:r>
        <w:rPr>
          <w:rFonts w:hint="eastAsia" w:ascii="仿宋" w:hAnsi="仿宋" w:eastAsia="仿宋" w:cs="宋体"/>
          <w:bCs/>
          <w:kern w:val="0"/>
          <w:sz w:val="28"/>
          <w:szCs w:val="28"/>
          <w:highlight w:val="none"/>
          <w:lang w:val="en-US" w:eastAsia="zh-CN"/>
        </w:rPr>
        <w:t>4.科研成果与竞赛获奖考核中，</w:t>
      </w:r>
      <w:r>
        <w:rPr>
          <w:rFonts w:hint="eastAsia" w:ascii="仿宋" w:hAnsi="仿宋" w:eastAsia="仿宋" w:cs="宋体"/>
          <w:bCs/>
          <w:kern w:val="0"/>
          <w:sz w:val="28"/>
          <w:szCs w:val="28"/>
          <w:highlight w:val="none"/>
        </w:rPr>
        <w:t>学生需提供个人学术贡献说</w:t>
      </w:r>
      <w:r>
        <w:rPr>
          <w:rFonts w:hint="eastAsia" w:ascii="仿宋" w:hAnsi="仿宋" w:eastAsia="仿宋" w:cs="宋体"/>
          <w:bCs/>
          <w:kern w:val="0"/>
          <w:sz w:val="28"/>
          <w:szCs w:val="28"/>
        </w:rPr>
        <w:t>明材料，经指导教师签字确认。学院成立专家审核小组（专家审核小组成员一般不少于5人，具有相关学科副教授及以上职称），严格审核、认定申请学生的科研成果</w:t>
      </w:r>
      <w:r>
        <w:rPr>
          <w:rFonts w:hint="eastAsia" w:ascii="仿宋" w:hAnsi="仿宋" w:eastAsia="仿宋" w:cs="宋体"/>
          <w:bCs/>
          <w:kern w:val="0"/>
          <w:sz w:val="28"/>
          <w:szCs w:val="28"/>
          <w:lang w:val="en-US" w:eastAsia="zh-CN"/>
        </w:rPr>
        <w:t>和</w:t>
      </w:r>
      <w:r>
        <w:rPr>
          <w:rFonts w:hint="eastAsia" w:ascii="仿宋" w:hAnsi="仿宋" w:eastAsia="仿宋" w:cs="宋体"/>
          <w:bCs/>
          <w:kern w:val="0"/>
          <w:sz w:val="28"/>
          <w:szCs w:val="28"/>
        </w:rPr>
        <w:t>竞赛获奖，排除抄袭、造假、冒名及有名无实等情况，并对申请的学生进行公开答辩</w:t>
      </w:r>
      <w:r>
        <w:rPr>
          <w:rFonts w:hint="eastAsia" w:ascii="仿宋" w:hAnsi="仿宋" w:eastAsia="仿宋" w:cs="宋体"/>
          <w:bCs/>
          <w:kern w:val="0"/>
          <w:sz w:val="28"/>
          <w:szCs w:val="28"/>
          <w:lang w:eastAsia="zh-CN"/>
        </w:rPr>
        <w:t>。</w:t>
      </w:r>
      <w:r>
        <w:rPr>
          <w:rFonts w:hint="eastAsia" w:ascii="仿宋" w:hAnsi="仿宋" w:eastAsia="仿宋" w:cs="宋体"/>
          <w:bCs/>
          <w:kern w:val="0"/>
          <w:sz w:val="28"/>
          <w:szCs w:val="28"/>
          <w:highlight w:val="none"/>
        </w:rPr>
        <w:t>学生与直系亲属合作的科研成果、竞赛奖项等不纳入学生本人推免遴选综合评价成绩计算体系。</w:t>
      </w:r>
    </w:p>
    <w:p w14:paraId="3ACA3480">
      <w:pPr>
        <w:snapToGrid w:val="0"/>
        <w:spacing w:line="600" w:lineRule="exact"/>
        <w:ind w:firstLine="560" w:firstLineChars="200"/>
        <w:rPr>
          <w:rFonts w:ascii="宋体" w:hAnsi="宋体" w:eastAsia="宋体" w:cs="宋体"/>
          <w:b w:val="0"/>
          <w:bCs w:val="0"/>
          <w:kern w:val="0"/>
          <w:sz w:val="28"/>
          <w:szCs w:val="28"/>
          <w:highlight w:val="none"/>
        </w:rPr>
      </w:pPr>
      <w:r>
        <w:rPr>
          <w:rFonts w:hint="eastAsia" w:ascii="仿宋" w:hAnsi="仿宋" w:eastAsia="仿宋" w:cs="宋体"/>
          <w:b w:val="0"/>
          <w:bCs w:val="0"/>
          <w:kern w:val="0"/>
          <w:sz w:val="28"/>
          <w:szCs w:val="28"/>
          <w:highlight w:val="none"/>
          <w:lang w:val="en-US" w:eastAsia="zh-CN"/>
        </w:rPr>
        <w:t>5</w:t>
      </w:r>
      <w:r>
        <w:rPr>
          <w:rFonts w:hint="eastAsia" w:ascii="仿宋" w:hAnsi="仿宋" w:eastAsia="仿宋" w:cs="宋体"/>
          <w:b w:val="0"/>
          <w:bCs w:val="0"/>
          <w:kern w:val="0"/>
          <w:sz w:val="28"/>
          <w:szCs w:val="28"/>
          <w:highlight w:val="none"/>
        </w:rPr>
        <w:t>.计算分数时，按</w:t>
      </w:r>
      <w:r>
        <w:rPr>
          <w:rFonts w:hint="eastAsia" w:ascii="仿宋" w:hAnsi="仿宋" w:eastAsia="仿宋" w:cs="宋体"/>
          <w:b w:val="0"/>
          <w:bCs w:val="0"/>
          <w:kern w:val="0"/>
          <w:sz w:val="28"/>
          <w:szCs w:val="28"/>
          <w:highlight w:val="none"/>
          <w:lang w:val="en-US" w:eastAsia="zh-CN"/>
        </w:rPr>
        <w:t>学业综合成绩与素质类综合成绩</w:t>
      </w:r>
      <w:r>
        <w:rPr>
          <w:rFonts w:hint="eastAsia" w:ascii="仿宋" w:hAnsi="仿宋" w:eastAsia="仿宋" w:cs="宋体"/>
          <w:b w:val="0"/>
          <w:bCs w:val="0"/>
          <w:kern w:val="0"/>
          <w:sz w:val="28"/>
          <w:szCs w:val="28"/>
          <w:highlight w:val="none"/>
        </w:rPr>
        <w:t>得分总和进行总排名，总分计算保留小数点后三位，若出现并列，以</w:t>
      </w:r>
      <w:r>
        <w:rPr>
          <w:rFonts w:hint="eastAsia" w:ascii="仿宋" w:hAnsi="仿宋" w:eastAsia="仿宋" w:cs="宋体"/>
          <w:b w:val="0"/>
          <w:bCs w:val="0"/>
          <w:kern w:val="0"/>
          <w:sz w:val="28"/>
          <w:szCs w:val="28"/>
          <w:highlight w:val="none"/>
          <w:lang w:val="en-US" w:eastAsia="zh-CN"/>
        </w:rPr>
        <w:t>学业综合成绩</w:t>
      </w:r>
      <w:r>
        <w:rPr>
          <w:rFonts w:hint="eastAsia" w:ascii="仿宋" w:hAnsi="仿宋" w:eastAsia="仿宋" w:cs="宋体"/>
          <w:b w:val="0"/>
          <w:bCs w:val="0"/>
          <w:kern w:val="0"/>
          <w:sz w:val="28"/>
          <w:szCs w:val="28"/>
          <w:highlight w:val="none"/>
        </w:rPr>
        <w:t>优先。</w:t>
      </w:r>
    </w:p>
    <w:p w14:paraId="083D16B7">
      <w:pPr>
        <w:widowControl/>
        <w:spacing w:before="75" w:line="360" w:lineRule="atLeast"/>
        <w:jc w:val="left"/>
        <w:rPr>
          <w:rFonts w:ascii="宋体" w:hAnsi="宋体" w:eastAsia="宋体" w:cs="宋体"/>
          <w:kern w:val="0"/>
          <w:sz w:val="28"/>
          <w:szCs w:val="28"/>
        </w:rPr>
      </w:pPr>
      <w:r>
        <w:rPr>
          <w:rFonts w:hint="eastAsia" w:ascii="黑体" w:hAnsi="黑体" w:eastAsia="黑体" w:cs="宋体"/>
          <w:kern w:val="0"/>
          <w:sz w:val="28"/>
          <w:szCs w:val="28"/>
        </w:rPr>
        <w:t>三、推免工作有关说明：</w:t>
      </w:r>
    </w:p>
    <w:p w14:paraId="1324F4A2">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1.凡符合推荐基本条件同学，在规定时间内自愿报名，逾期视为自动放弃推荐免试资格。</w:t>
      </w:r>
    </w:p>
    <w:p w14:paraId="1AEDA535">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2.同专业内排名以推荐排名计算总成绩由高到低排序；排名</w:t>
      </w:r>
      <w:r>
        <w:rPr>
          <w:rFonts w:hint="eastAsia" w:ascii="仿宋" w:hAnsi="仿宋" w:eastAsia="仿宋" w:cs="宋体"/>
          <w:b w:val="0"/>
          <w:bCs w:val="0"/>
          <w:kern w:val="0"/>
          <w:sz w:val="28"/>
          <w:szCs w:val="28"/>
          <w:lang w:eastAsia="zh-CN"/>
        </w:rPr>
        <w:t>涉及</w:t>
      </w:r>
      <w:r>
        <w:rPr>
          <w:rFonts w:hint="eastAsia" w:ascii="仿宋" w:hAnsi="仿宋" w:eastAsia="仿宋" w:cs="宋体"/>
          <w:b w:val="0"/>
          <w:bCs w:val="0"/>
          <w:kern w:val="0"/>
          <w:sz w:val="28"/>
          <w:szCs w:val="28"/>
        </w:rPr>
        <w:t>不同专业时，排名方法依据本人推荐排名计算名次在本专业内学生总数的所占百分比值由小到大排序；排名</w:t>
      </w:r>
      <w:r>
        <w:rPr>
          <w:rFonts w:hint="eastAsia" w:ascii="仿宋" w:hAnsi="仿宋" w:eastAsia="仿宋" w:cs="宋体"/>
          <w:b w:val="0"/>
          <w:bCs w:val="0"/>
          <w:kern w:val="0"/>
          <w:sz w:val="28"/>
          <w:szCs w:val="28"/>
          <w:lang w:eastAsia="zh-CN"/>
        </w:rPr>
        <w:t>涉及</w:t>
      </w:r>
      <w:r>
        <w:rPr>
          <w:rFonts w:hint="eastAsia" w:ascii="仿宋" w:hAnsi="仿宋" w:eastAsia="仿宋" w:cs="宋体"/>
          <w:b w:val="0"/>
          <w:bCs w:val="0"/>
          <w:kern w:val="0"/>
          <w:sz w:val="28"/>
          <w:szCs w:val="28"/>
        </w:rPr>
        <w:t>其他资格要求时，根据资格获得情况先进行分档。</w:t>
      </w:r>
    </w:p>
    <w:p w14:paraId="66D932AC">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3.其他类型推免生按学校文件政策执行。</w:t>
      </w:r>
    </w:p>
    <w:p w14:paraId="6AC389C5">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rPr>
        <w:t>4.推荐人选确定后公示三天，对不符合推荐条件或者存在舞弊行为的学生经核实后取消推荐资格，推荐资格依次按照排名</w:t>
      </w:r>
      <w:r>
        <w:rPr>
          <w:rFonts w:hint="eastAsia" w:ascii="仿宋" w:hAnsi="仿宋" w:eastAsia="仿宋" w:cs="宋体"/>
          <w:b w:val="0"/>
          <w:bCs w:val="0"/>
          <w:kern w:val="0"/>
          <w:sz w:val="28"/>
          <w:szCs w:val="28"/>
          <w:lang w:eastAsia="zh-CN"/>
        </w:rPr>
        <w:t>递延</w:t>
      </w:r>
      <w:r>
        <w:rPr>
          <w:rFonts w:hint="eastAsia" w:ascii="仿宋" w:hAnsi="仿宋" w:eastAsia="仿宋" w:cs="宋体"/>
          <w:b w:val="0"/>
          <w:bCs w:val="0"/>
          <w:kern w:val="0"/>
          <w:sz w:val="28"/>
          <w:szCs w:val="28"/>
        </w:rPr>
        <w:t>。</w:t>
      </w:r>
    </w:p>
    <w:p w14:paraId="59581DAC">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b w:val="0"/>
          <w:bCs w:val="0"/>
          <w:kern w:val="0"/>
          <w:sz w:val="28"/>
          <w:szCs w:val="28"/>
        </w:rPr>
      </w:pPr>
      <w:r>
        <w:rPr>
          <w:rFonts w:hint="eastAsia" w:ascii="仿宋" w:hAnsi="仿宋" w:eastAsia="仿宋" w:cs="宋体"/>
          <w:b w:val="0"/>
          <w:bCs w:val="0"/>
          <w:kern w:val="0"/>
          <w:sz w:val="28"/>
          <w:szCs w:val="28"/>
        </w:rPr>
        <w:t>5.具有推免硕士研究生资格的</w:t>
      </w:r>
      <w:r>
        <w:rPr>
          <w:rFonts w:hint="eastAsia" w:ascii="仿宋" w:hAnsi="仿宋" w:eastAsia="仿宋" w:cs="宋体"/>
          <w:b w:val="0"/>
          <w:bCs w:val="0"/>
          <w:kern w:val="0"/>
          <w:sz w:val="28"/>
          <w:szCs w:val="28"/>
          <w:lang w:val="en-US" w:eastAsia="zh-CN"/>
        </w:rPr>
        <w:t>学生</w:t>
      </w:r>
      <w:r>
        <w:rPr>
          <w:rFonts w:hint="eastAsia" w:ascii="仿宋" w:hAnsi="仿宋" w:eastAsia="仿宋" w:cs="宋体"/>
          <w:b w:val="0"/>
          <w:bCs w:val="0"/>
          <w:kern w:val="0"/>
          <w:sz w:val="28"/>
          <w:szCs w:val="28"/>
        </w:rPr>
        <w:t>不得参加当年的全国</w:t>
      </w:r>
      <w:r>
        <w:rPr>
          <w:rFonts w:hint="eastAsia" w:ascii="仿宋" w:hAnsi="仿宋" w:eastAsia="仿宋" w:cs="宋体"/>
          <w:b w:val="0"/>
          <w:bCs w:val="0"/>
          <w:kern w:val="0"/>
          <w:sz w:val="28"/>
          <w:szCs w:val="28"/>
          <w:lang w:val="en-US" w:eastAsia="zh-CN"/>
        </w:rPr>
        <w:t>硕士</w:t>
      </w:r>
      <w:r>
        <w:rPr>
          <w:rFonts w:hint="eastAsia" w:ascii="仿宋" w:hAnsi="仿宋" w:eastAsia="仿宋" w:cs="宋体"/>
          <w:b w:val="0"/>
          <w:bCs w:val="0"/>
          <w:kern w:val="0"/>
          <w:sz w:val="28"/>
          <w:szCs w:val="28"/>
        </w:rPr>
        <w:t>研究生统考。</w:t>
      </w:r>
    </w:p>
    <w:p w14:paraId="39782987">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default" w:ascii="仿宋" w:hAnsi="仿宋" w:eastAsia="仿宋" w:cs="宋体"/>
          <w:b w:val="0"/>
          <w:bCs w:val="0"/>
          <w:kern w:val="0"/>
          <w:sz w:val="28"/>
          <w:szCs w:val="28"/>
          <w:highlight w:val="none"/>
          <w:lang w:val="en-US" w:eastAsia="zh-CN"/>
        </w:rPr>
      </w:pPr>
      <w:r>
        <w:rPr>
          <w:rFonts w:hint="eastAsia" w:ascii="仿宋" w:hAnsi="仿宋" w:eastAsia="仿宋" w:cs="宋体"/>
          <w:b w:val="0"/>
          <w:bCs w:val="0"/>
          <w:kern w:val="0"/>
          <w:sz w:val="28"/>
          <w:szCs w:val="28"/>
          <w:highlight w:val="none"/>
          <w:lang w:val="en-US" w:eastAsia="zh-CN"/>
        </w:rPr>
        <w:t>6.具有推免硕士研究生资格的公费师范生须经定向县（市）教育行政部门同意，并签订补充协议（承诺硕士研究生毕业后按期回到定向县（市）任教不少于6年，</w:t>
      </w:r>
      <w:bookmarkStart w:id="1" w:name="_GoBack"/>
      <w:r>
        <w:rPr>
          <w:rFonts w:hint="eastAsia" w:ascii="仿宋" w:hAnsi="仿宋" w:eastAsia="仿宋" w:cs="宋体"/>
          <w:b w:val="0"/>
          <w:bCs w:val="0"/>
          <w:kern w:val="0"/>
          <w:sz w:val="28"/>
          <w:szCs w:val="28"/>
          <w:highlight w:val="none"/>
          <w:lang w:val="en-US" w:eastAsia="zh-CN"/>
        </w:rPr>
        <w:t>其间</w:t>
      </w:r>
      <w:bookmarkEnd w:id="1"/>
      <w:r>
        <w:rPr>
          <w:rFonts w:hint="eastAsia" w:ascii="仿宋" w:hAnsi="仿宋" w:eastAsia="仿宋" w:cs="宋体"/>
          <w:b w:val="0"/>
          <w:bCs w:val="0"/>
          <w:kern w:val="0"/>
          <w:sz w:val="28"/>
          <w:szCs w:val="28"/>
          <w:highlight w:val="none"/>
          <w:lang w:val="en-US" w:eastAsia="zh-CN"/>
        </w:rPr>
        <w:t>不得办理解约）后，可进行推免。</w:t>
      </w:r>
    </w:p>
    <w:p w14:paraId="2CA5B40F">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lang w:val="en-US" w:eastAsia="zh-CN"/>
        </w:rPr>
        <w:t>7</w:t>
      </w:r>
      <w:r>
        <w:rPr>
          <w:rFonts w:hint="eastAsia" w:ascii="仿宋" w:hAnsi="仿宋" w:eastAsia="仿宋" w:cs="宋体"/>
          <w:b w:val="0"/>
          <w:bCs w:val="0"/>
          <w:kern w:val="0"/>
          <w:sz w:val="28"/>
          <w:szCs w:val="28"/>
        </w:rPr>
        <w:t>.本办法自发布之日起施行</w:t>
      </w:r>
      <w:r>
        <w:rPr>
          <w:rFonts w:hint="eastAsia" w:ascii="仿宋" w:hAnsi="仿宋" w:eastAsia="仿宋" w:cs="宋体"/>
          <w:b w:val="0"/>
          <w:bCs w:val="0"/>
          <w:kern w:val="0"/>
          <w:sz w:val="28"/>
          <w:szCs w:val="28"/>
          <w:lang w:eastAsia="zh-CN"/>
        </w:rPr>
        <w:t>。</w:t>
      </w:r>
      <w:r>
        <w:rPr>
          <w:rFonts w:hint="eastAsia" w:ascii="仿宋" w:hAnsi="仿宋" w:eastAsia="仿宋" w:cs="宋体"/>
          <w:b w:val="0"/>
          <w:bCs w:val="0"/>
          <w:kern w:val="0"/>
          <w:sz w:val="28"/>
          <w:szCs w:val="28"/>
        </w:rPr>
        <w:t>凡是与上级文件要求不一致的，以上级文件为准。</w:t>
      </w:r>
    </w:p>
    <w:p w14:paraId="00F4E41A">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ascii="宋体" w:hAnsi="宋体" w:eastAsia="宋体" w:cs="宋体"/>
          <w:b w:val="0"/>
          <w:bCs w:val="0"/>
          <w:kern w:val="0"/>
          <w:sz w:val="28"/>
          <w:szCs w:val="28"/>
        </w:rPr>
      </w:pPr>
      <w:r>
        <w:rPr>
          <w:rFonts w:hint="eastAsia" w:ascii="仿宋" w:hAnsi="仿宋" w:eastAsia="仿宋" w:cs="宋体"/>
          <w:b w:val="0"/>
          <w:bCs w:val="0"/>
          <w:kern w:val="0"/>
          <w:sz w:val="28"/>
          <w:szCs w:val="28"/>
          <w:lang w:val="en-US" w:eastAsia="zh-CN"/>
        </w:rPr>
        <w:t>8</w:t>
      </w:r>
      <w:r>
        <w:rPr>
          <w:rFonts w:hint="eastAsia" w:ascii="仿宋" w:hAnsi="仿宋" w:eastAsia="仿宋" w:cs="宋体"/>
          <w:b w:val="0"/>
          <w:bCs w:val="0"/>
          <w:kern w:val="0"/>
          <w:sz w:val="28"/>
          <w:szCs w:val="28"/>
        </w:rPr>
        <w:t>.</w:t>
      </w:r>
      <w:r>
        <w:rPr>
          <w:rFonts w:hint="eastAsia" w:ascii="仿宋" w:hAnsi="仿宋" w:eastAsia="仿宋" w:cs="宋体"/>
          <w:b w:val="0"/>
          <w:bCs w:val="0"/>
          <w:kern w:val="0"/>
          <w:sz w:val="28"/>
          <w:szCs w:val="28"/>
          <w:highlight w:val="none"/>
        </w:rPr>
        <w:t>本</w:t>
      </w:r>
      <w:r>
        <w:rPr>
          <w:rFonts w:hint="eastAsia" w:ascii="仿宋" w:hAnsi="仿宋" w:eastAsia="仿宋" w:cs="宋体"/>
          <w:b w:val="0"/>
          <w:bCs w:val="0"/>
          <w:kern w:val="0"/>
          <w:sz w:val="28"/>
          <w:szCs w:val="28"/>
          <w:highlight w:val="none"/>
          <w:lang w:val="en-US" w:eastAsia="zh-CN"/>
        </w:rPr>
        <w:t>细则</w:t>
      </w:r>
      <w:r>
        <w:rPr>
          <w:rFonts w:hint="eastAsia" w:ascii="仿宋" w:hAnsi="仿宋" w:eastAsia="仿宋" w:cs="宋体"/>
          <w:b w:val="0"/>
          <w:bCs w:val="0"/>
          <w:kern w:val="0"/>
          <w:sz w:val="28"/>
          <w:szCs w:val="28"/>
          <w:highlight w:val="none"/>
        </w:rPr>
        <w:t>适用202</w:t>
      </w:r>
      <w:r>
        <w:rPr>
          <w:rFonts w:hint="eastAsia" w:ascii="仿宋" w:hAnsi="仿宋" w:eastAsia="仿宋" w:cs="宋体"/>
          <w:b w:val="0"/>
          <w:bCs w:val="0"/>
          <w:kern w:val="0"/>
          <w:sz w:val="28"/>
          <w:szCs w:val="28"/>
          <w:highlight w:val="none"/>
          <w:lang w:val="en-US" w:eastAsia="zh-CN"/>
        </w:rPr>
        <w:t>1</w:t>
      </w:r>
      <w:r>
        <w:rPr>
          <w:rFonts w:hint="eastAsia" w:ascii="仿宋" w:hAnsi="仿宋" w:eastAsia="仿宋" w:cs="宋体"/>
          <w:b w:val="0"/>
          <w:bCs w:val="0"/>
          <w:kern w:val="0"/>
          <w:sz w:val="28"/>
          <w:szCs w:val="28"/>
          <w:highlight w:val="none"/>
        </w:rPr>
        <w:t>级本科生。</w:t>
      </w:r>
    </w:p>
    <w:p w14:paraId="138E72D3">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b w:val="0"/>
          <w:bCs w:val="0"/>
          <w:kern w:val="0"/>
          <w:sz w:val="28"/>
          <w:szCs w:val="28"/>
        </w:rPr>
      </w:pPr>
      <w:r>
        <w:rPr>
          <w:rFonts w:hint="eastAsia" w:ascii="仿宋" w:hAnsi="仿宋" w:eastAsia="仿宋" w:cs="宋体"/>
          <w:b w:val="0"/>
          <w:bCs w:val="0"/>
          <w:kern w:val="0"/>
          <w:sz w:val="28"/>
          <w:szCs w:val="28"/>
          <w:lang w:val="en-US" w:eastAsia="zh-CN"/>
        </w:rPr>
        <w:t>9</w:t>
      </w:r>
      <w:r>
        <w:rPr>
          <w:rFonts w:hint="eastAsia" w:ascii="仿宋" w:hAnsi="仿宋" w:eastAsia="仿宋" w:cs="宋体"/>
          <w:b w:val="0"/>
          <w:bCs w:val="0"/>
          <w:kern w:val="0"/>
          <w:sz w:val="28"/>
          <w:szCs w:val="28"/>
        </w:rPr>
        <w:t>.本细则的解释权归学院推免工作领导小组。</w:t>
      </w:r>
    </w:p>
    <w:p w14:paraId="754571E7">
      <w:pPr>
        <w:keepNext w:val="0"/>
        <w:keepLines w:val="0"/>
        <w:pageBreakBefore w:val="0"/>
        <w:widowControl/>
        <w:kinsoku/>
        <w:wordWrap/>
        <w:overflowPunct/>
        <w:topLinePunct w:val="0"/>
        <w:autoSpaceDE/>
        <w:autoSpaceDN/>
        <w:bidi w:val="0"/>
        <w:adjustRightInd/>
        <w:snapToGrid/>
        <w:spacing w:before="75" w:line="360" w:lineRule="atLeast"/>
        <w:ind w:firstLine="560" w:firstLineChars="200"/>
        <w:jc w:val="left"/>
        <w:textAlignment w:val="auto"/>
        <w:rPr>
          <w:rFonts w:hint="eastAsia" w:ascii="仿宋" w:hAnsi="仿宋" w:eastAsia="仿宋" w:cs="宋体"/>
          <w:b w:val="0"/>
          <w:bCs w:val="0"/>
          <w:kern w:val="0"/>
          <w:sz w:val="28"/>
          <w:szCs w:val="28"/>
          <w:highlight w:val="none"/>
        </w:rPr>
      </w:pPr>
      <w:r>
        <w:rPr>
          <w:rFonts w:hint="eastAsia" w:ascii="仿宋" w:hAnsi="仿宋" w:eastAsia="仿宋" w:cs="宋体"/>
          <w:b w:val="0"/>
          <w:bCs w:val="0"/>
          <w:kern w:val="0"/>
          <w:sz w:val="28"/>
          <w:szCs w:val="28"/>
          <w:highlight w:val="none"/>
          <w:lang w:val="en-US" w:eastAsia="zh-CN"/>
        </w:rPr>
        <w:t>10.监督举报电话：0373-3326337。</w:t>
      </w:r>
    </w:p>
    <w:p w14:paraId="5243907E">
      <w:pPr>
        <w:widowControl/>
        <w:spacing w:before="75" w:line="360" w:lineRule="atLeast"/>
        <w:ind w:firstLine="435"/>
        <w:jc w:val="center"/>
        <w:rPr>
          <w:rFonts w:ascii="宋体" w:hAnsi="宋体" w:eastAsia="宋体" w:cs="宋体"/>
          <w:kern w:val="0"/>
          <w:sz w:val="28"/>
          <w:szCs w:val="28"/>
        </w:rPr>
      </w:pPr>
      <w:r>
        <w:rPr>
          <w:rFonts w:hint="eastAsia" w:ascii="仿宋" w:hAnsi="仿宋" w:eastAsia="仿宋" w:cs="宋体"/>
          <w:kern w:val="0"/>
          <w:sz w:val="28"/>
          <w:szCs w:val="28"/>
          <w:lang w:val="en-US" w:eastAsia="zh-CN"/>
        </w:rPr>
        <w:t xml:space="preserve">                                       </w:t>
      </w:r>
      <w:r>
        <w:rPr>
          <w:rFonts w:hint="eastAsia" w:ascii="仿宋" w:hAnsi="仿宋" w:eastAsia="仿宋" w:cs="宋体"/>
          <w:kern w:val="0"/>
          <w:sz w:val="28"/>
          <w:szCs w:val="28"/>
        </w:rPr>
        <w:t>化学化工学院</w:t>
      </w:r>
    </w:p>
    <w:p w14:paraId="7F70532C">
      <w:pPr>
        <w:widowControl/>
        <w:spacing w:before="75" w:line="360" w:lineRule="atLeast"/>
        <w:ind w:firstLine="435"/>
        <w:jc w:val="right"/>
        <w:rPr>
          <w:rFonts w:hint="eastAsia" w:ascii="仿宋" w:hAnsi="仿宋" w:eastAsia="仿宋" w:cs="宋体"/>
          <w:kern w:val="0"/>
          <w:sz w:val="28"/>
          <w:szCs w:val="28"/>
        </w:rPr>
      </w:pPr>
      <w:r>
        <w:rPr>
          <w:rFonts w:hint="eastAsia" w:ascii="仿宋" w:hAnsi="仿宋" w:eastAsia="仿宋" w:cs="宋体"/>
          <w:kern w:val="0"/>
          <w:sz w:val="28"/>
          <w:szCs w:val="28"/>
        </w:rPr>
        <w:t>202</w:t>
      </w:r>
      <w:r>
        <w:rPr>
          <w:rFonts w:hint="eastAsia" w:ascii="仿宋" w:hAnsi="仿宋" w:eastAsia="仿宋" w:cs="宋体"/>
          <w:kern w:val="0"/>
          <w:sz w:val="28"/>
          <w:szCs w:val="28"/>
          <w:lang w:val="en-US" w:eastAsia="zh-CN"/>
        </w:rPr>
        <w:t>4</w:t>
      </w:r>
      <w:r>
        <w:rPr>
          <w:rFonts w:hint="eastAsia" w:ascii="仿宋" w:hAnsi="仿宋" w:eastAsia="仿宋" w:cs="宋体"/>
          <w:kern w:val="0"/>
          <w:sz w:val="28"/>
          <w:szCs w:val="28"/>
        </w:rPr>
        <w:t>年</w:t>
      </w:r>
      <w:r>
        <w:rPr>
          <w:rFonts w:hint="eastAsia" w:ascii="仿宋" w:hAnsi="仿宋" w:eastAsia="仿宋" w:cs="宋体"/>
          <w:kern w:val="0"/>
          <w:sz w:val="28"/>
          <w:szCs w:val="28"/>
          <w:lang w:val="en-US" w:eastAsia="zh-CN"/>
        </w:rPr>
        <w:t>9</w:t>
      </w:r>
      <w:r>
        <w:rPr>
          <w:rFonts w:hint="eastAsia" w:ascii="仿宋" w:hAnsi="仿宋" w:eastAsia="仿宋" w:cs="宋体"/>
          <w:kern w:val="0"/>
          <w:sz w:val="28"/>
          <w:szCs w:val="28"/>
        </w:rPr>
        <w:t>月</w:t>
      </w:r>
      <w:r>
        <w:rPr>
          <w:rFonts w:hint="eastAsia" w:ascii="仿宋" w:hAnsi="仿宋" w:eastAsia="仿宋" w:cs="宋体"/>
          <w:kern w:val="0"/>
          <w:sz w:val="28"/>
          <w:szCs w:val="28"/>
          <w:lang w:val="en-US" w:eastAsia="zh-CN"/>
        </w:rPr>
        <w:t>10</w:t>
      </w:r>
      <w:r>
        <w:rPr>
          <w:rFonts w:hint="eastAsia" w:ascii="仿宋" w:hAnsi="仿宋" w:eastAsia="仿宋" w:cs="宋体"/>
          <w:kern w:val="0"/>
          <w:sz w:val="28"/>
          <w:szCs w:val="28"/>
        </w:rPr>
        <w:t>日</w:t>
      </w:r>
    </w:p>
    <w:p w14:paraId="3D02DEE5">
      <w:pPr>
        <w:widowControl/>
        <w:spacing w:before="75" w:line="360" w:lineRule="atLeast"/>
        <w:ind w:firstLine="435"/>
        <w:jc w:val="left"/>
        <w:rPr>
          <w:rFonts w:hint="eastAsia" w:ascii="仿宋" w:hAnsi="仿宋" w:eastAsia="仿宋" w:cs="宋体"/>
          <w:kern w:val="0"/>
          <w:sz w:val="28"/>
          <w:szCs w:val="28"/>
          <w:lang w:val="en-US" w:eastAsia="zh-CN"/>
        </w:rPr>
      </w:pPr>
      <w:r>
        <w:rPr>
          <w:rFonts w:hint="default" w:ascii="仿宋" w:hAnsi="仿宋" w:eastAsia="仿宋" w:cs="宋体"/>
          <w:kern w:val="0"/>
          <w:sz w:val="28"/>
          <w:szCs w:val="28"/>
          <w:lang w:val="en-US" w:eastAsia="zh-CN"/>
        </w:rPr>
        <w:t>附件：推免遴选综合评价成绩构成表</w:t>
      </w:r>
      <w:r>
        <w:rPr>
          <w:rFonts w:hint="eastAsia" w:ascii="仿宋" w:hAnsi="仿宋" w:eastAsia="仿宋" w:cs="宋体"/>
          <w:kern w:val="0"/>
          <w:sz w:val="28"/>
          <w:szCs w:val="28"/>
          <w:lang w:val="en-US" w:eastAsia="zh-CN"/>
        </w:rPr>
        <w:t>。</w:t>
      </w:r>
    </w:p>
    <w:p w14:paraId="0BE74241">
      <w:pPr>
        <w:jc w:val="center"/>
        <w:rPr>
          <w:rFonts w:hint="eastAsia" w:ascii="仿宋" w:hAnsi="仿宋" w:eastAsia="仿宋" w:cs="仿宋"/>
          <w:b/>
          <w:bCs/>
          <w:sz w:val="32"/>
          <w:szCs w:val="32"/>
        </w:rPr>
      </w:pPr>
      <w:r>
        <w:rPr>
          <w:rFonts w:hint="eastAsia" w:ascii="仿宋" w:hAnsi="仿宋" w:eastAsia="仿宋" w:cs="仿宋"/>
          <w:b/>
          <w:bCs/>
          <w:sz w:val="32"/>
          <w:szCs w:val="32"/>
        </w:rPr>
        <w:t>推免遴选综合评价成绩构成表</w:t>
      </w:r>
    </w:p>
    <w:p w14:paraId="0D8B38C3">
      <w:pPr>
        <w:jc w:val="center"/>
        <w:rPr>
          <w:rFonts w:hint="eastAsia" w:asciiTheme="minorEastAsia" w:hAnsiTheme="minorEastAsia"/>
          <w:b/>
          <w:bCs/>
          <w:sz w:val="32"/>
          <w:szCs w:val="32"/>
        </w:rPr>
      </w:pPr>
    </w:p>
    <w:tbl>
      <w:tblPr>
        <w:tblStyle w:val="5"/>
        <w:tblW w:w="8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84"/>
        <w:gridCol w:w="1753"/>
        <w:gridCol w:w="1865"/>
        <w:gridCol w:w="776"/>
        <w:gridCol w:w="1260"/>
      </w:tblGrid>
      <w:tr w14:paraId="3EDD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vMerge w:val="restart"/>
            <w:vAlign w:val="center"/>
          </w:tcPr>
          <w:p w14:paraId="1886ABD3">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综合评价成绩</w:t>
            </w:r>
          </w:p>
        </w:tc>
        <w:tc>
          <w:tcPr>
            <w:tcW w:w="5602" w:type="dxa"/>
            <w:gridSpan w:val="3"/>
            <w:vAlign w:val="center"/>
          </w:tcPr>
          <w:p w14:paraId="017A7C5F">
            <w:pPr>
              <w:jc w:val="center"/>
              <w:rPr>
                <w:rFonts w:hint="eastAsia" w:ascii="仿宋" w:hAnsi="仿宋" w:eastAsia="仿宋" w:cs="仿宋"/>
                <w:b/>
                <w:bCs/>
                <w:sz w:val="24"/>
                <w:szCs w:val="24"/>
              </w:rPr>
            </w:pPr>
            <w:r>
              <w:rPr>
                <w:rFonts w:hint="eastAsia" w:ascii="仿宋" w:hAnsi="仿宋" w:eastAsia="仿宋" w:cs="仿宋"/>
                <w:b/>
                <w:bCs/>
                <w:sz w:val="24"/>
                <w:szCs w:val="24"/>
              </w:rPr>
              <w:t>类别</w:t>
            </w:r>
          </w:p>
        </w:tc>
        <w:tc>
          <w:tcPr>
            <w:tcW w:w="776" w:type="dxa"/>
            <w:vAlign w:val="center"/>
          </w:tcPr>
          <w:p w14:paraId="5301FD43">
            <w:pPr>
              <w:jc w:val="center"/>
              <w:rPr>
                <w:rFonts w:hint="eastAsia" w:ascii="仿宋" w:hAnsi="仿宋" w:eastAsia="仿宋" w:cs="仿宋"/>
                <w:b/>
                <w:bCs/>
                <w:sz w:val="24"/>
                <w:szCs w:val="24"/>
              </w:rPr>
            </w:pPr>
            <w:r>
              <w:rPr>
                <w:rFonts w:hint="eastAsia" w:ascii="仿宋" w:hAnsi="仿宋" w:eastAsia="仿宋" w:cs="仿宋"/>
                <w:b/>
                <w:bCs/>
                <w:sz w:val="24"/>
                <w:szCs w:val="24"/>
              </w:rPr>
              <w:t>占比</w:t>
            </w:r>
          </w:p>
        </w:tc>
        <w:tc>
          <w:tcPr>
            <w:tcW w:w="1260" w:type="dxa"/>
            <w:vAlign w:val="center"/>
          </w:tcPr>
          <w:p w14:paraId="0E5DC863">
            <w:pPr>
              <w:jc w:val="center"/>
              <w:rPr>
                <w:rFonts w:hint="eastAsia" w:ascii="仿宋" w:hAnsi="仿宋" w:eastAsia="仿宋" w:cs="仿宋"/>
                <w:b/>
                <w:bCs/>
                <w:sz w:val="24"/>
                <w:szCs w:val="24"/>
              </w:rPr>
            </w:pPr>
            <w:r>
              <w:rPr>
                <w:rFonts w:hint="eastAsia" w:ascii="仿宋" w:hAnsi="仿宋" w:eastAsia="仿宋" w:cs="仿宋"/>
                <w:b/>
                <w:bCs/>
                <w:sz w:val="24"/>
                <w:szCs w:val="24"/>
              </w:rPr>
              <w:t>占比合计</w:t>
            </w:r>
          </w:p>
        </w:tc>
      </w:tr>
      <w:tr w14:paraId="7117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exact"/>
          <w:jc w:val="center"/>
        </w:trPr>
        <w:tc>
          <w:tcPr>
            <w:tcW w:w="851" w:type="dxa"/>
            <w:vMerge w:val="continue"/>
            <w:vAlign w:val="center"/>
          </w:tcPr>
          <w:p w14:paraId="4964EF34">
            <w:pPr>
              <w:jc w:val="center"/>
              <w:rPr>
                <w:rFonts w:hint="eastAsia" w:ascii="仿宋" w:hAnsi="仿宋" w:eastAsia="仿宋" w:cs="仿宋"/>
              </w:rPr>
            </w:pPr>
          </w:p>
        </w:tc>
        <w:tc>
          <w:tcPr>
            <w:tcW w:w="1984" w:type="dxa"/>
            <w:vAlign w:val="center"/>
          </w:tcPr>
          <w:p w14:paraId="759C6AA8">
            <w:pPr>
              <w:jc w:val="center"/>
              <w:rPr>
                <w:rFonts w:hint="eastAsia" w:ascii="仿宋" w:hAnsi="仿宋" w:eastAsia="仿宋" w:cs="仿宋"/>
                <w:sz w:val="21"/>
                <w:szCs w:val="21"/>
              </w:rPr>
            </w:pPr>
            <w:r>
              <w:rPr>
                <w:rFonts w:hint="eastAsia" w:ascii="仿宋" w:hAnsi="仿宋" w:eastAsia="仿宋" w:cs="仿宋"/>
                <w:sz w:val="21"/>
                <w:szCs w:val="21"/>
              </w:rPr>
              <w:t>学业综合成绩</w:t>
            </w:r>
          </w:p>
        </w:tc>
        <w:tc>
          <w:tcPr>
            <w:tcW w:w="1753" w:type="dxa"/>
            <w:vAlign w:val="center"/>
          </w:tcPr>
          <w:p w14:paraId="0CB4AE0A">
            <w:pPr>
              <w:jc w:val="center"/>
              <w:rPr>
                <w:rFonts w:hint="eastAsia" w:ascii="仿宋" w:hAnsi="仿宋" w:eastAsia="仿宋" w:cs="仿宋"/>
                <w:sz w:val="21"/>
                <w:szCs w:val="21"/>
              </w:rPr>
            </w:pPr>
            <w:r>
              <w:rPr>
                <w:rFonts w:hint="eastAsia" w:ascii="仿宋" w:hAnsi="仿宋" w:eastAsia="仿宋" w:cs="仿宋"/>
                <w:sz w:val="21"/>
                <w:szCs w:val="21"/>
              </w:rPr>
              <w:t>---</w:t>
            </w:r>
          </w:p>
        </w:tc>
        <w:tc>
          <w:tcPr>
            <w:tcW w:w="1865" w:type="dxa"/>
            <w:vAlign w:val="center"/>
          </w:tcPr>
          <w:p w14:paraId="0A85649E">
            <w:pPr>
              <w:jc w:val="center"/>
              <w:rPr>
                <w:rFonts w:hint="eastAsia" w:ascii="仿宋" w:hAnsi="仿宋" w:eastAsia="仿宋" w:cs="仿宋"/>
                <w:sz w:val="21"/>
                <w:szCs w:val="21"/>
              </w:rPr>
            </w:pPr>
            <w:r>
              <w:rPr>
                <w:rFonts w:hint="eastAsia" w:ascii="仿宋" w:hAnsi="仿宋" w:eastAsia="仿宋" w:cs="仿宋"/>
                <w:sz w:val="21"/>
                <w:szCs w:val="21"/>
              </w:rPr>
              <w:t>---</w:t>
            </w:r>
          </w:p>
        </w:tc>
        <w:tc>
          <w:tcPr>
            <w:tcW w:w="776" w:type="dxa"/>
            <w:vAlign w:val="center"/>
          </w:tcPr>
          <w:p w14:paraId="3A71B09B">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90%</w:t>
            </w:r>
          </w:p>
        </w:tc>
        <w:tc>
          <w:tcPr>
            <w:tcW w:w="1260" w:type="dxa"/>
            <w:vAlign w:val="center"/>
          </w:tcPr>
          <w:p w14:paraId="3690EE6B">
            <w:pPr>
              <w:jc w:val="center"/>
              <w:rPr>
                <w:rFonts w:hint="default" w:asciiTheme="minorEastAsia" w:hAnsiTheme="minorEastAsia" w:eastAsiaTheme="minorEastAsia"/>
                <w:sz w:val="24"/>
                <w:szCs w:val="24"/>
                <w:lang w:val="en-US" w:eastAsia="zh-CN"/>
              </w:rPr>
            </w:pPr>
            <w:r>
              <w:rPr>
                <w:rFonts w:hint="default" w:ascii="Times New Roman" w:hAnsi="Times New Roman" w:cs="Times New Roman"/>
                <w:sz w:val="24"/>
                <w:szCs w:val="24"/>
                <w:lang w:val="en-US" w:eastAsia="zh-CN"/>
              </w:rPr>
              <w:t>90%</w:t>
            </w:r>
          </w:p>
        </w:tc>
      </w:tr>
      <w:tr w14:paraId="099D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vMerge w:val="continue"/>
            <w:vAlign w:val="center"/>
          </w:tcPr>
          <w:p w14:paraId="2856E86B">
            <w:pPr>
              <w:jc w:val="center"/>
              <w:rPr>
                <w:rFonts w:hint="eastAsia" w:ascii="仿宋" w:hAnsi="仿宋" w:eastAsia="仿宋" w:cs="仿宋"/>
              </w:rPr>
            </w:pPr>
          </w:p>
        </w:tc>
        <w:tc>
          <w:tcPr>
            <w:tcW w:w="1984" w:type="dxa"/>
            <w:vMerge w:val="restart"/>
            <w:vAlign w:val="center"/>
          </w:tcPr>
          <w:p w14:paraId="2AF2E296">
            <w:pPr>
              <w:jc w:val="center"/>
              <w:rPr>
                <w:rFonts w:hint="eastAsia" w:ascii="仿宋" w:hAnsi="仿宋" w:eastAsia="仿宋" w:cs="仿宋"/>
                <w:sz w:val="21"/>
                <w:szCs w:val="21"/>
              </w:rPr>
            </w:pPr>
            <w:r>
              <w:rPr>
                <w:rFonts w:hint="eastAsia" w:ascii="仿宋" w:hAnsi="仿宋" w:eastAsia="仿宋" w:cs="仿宋"/>
                <w:sz w:val="21"/>
                <w:szCs w:val="21"/>
              </w:rPr>
              <w:t>素质类综合成绩</w:t>
            </w:r>
          </w:p>
        </w:tc>
        <w:tc>
          <w:tcPr>
            <w:tcW w:w="1753" w:type="dxa"/>
            <w:vMerge w:val="restart"/>
            <w:vAlign w:val="center"/>
          </w:tcPr>
          <w:p w14:paraId="42EB5335">
            <w:pPr>
              <w:jc w:val="center"/>
              <w:rPr>
                <w:rFonts w:hint="eastAsia" w:ascii="仿宋" w:hAnsi="仿宋" w:eastAsia="仿宋" w:cs="仿宋"/>
                <w:sz w:val="21"/>
                <w:szCs w:val="21"/>
              </w:rPr>
            </w:pPr>
            <w:r>
              <w:rPr>
                <w:rFonts w:hint="eastAsia" w:ascii="仿宋" w:hAnsi="仿宋" w:eastAsia="仿宋" w:cs="仿宋"/>
                <w:sz w:val="21"/>
                <w:szCs w:val="21"/>
              </w:rPr>
              <w:t>参军入伍服兵役、参加志愿服务、到国际组织实习、科研成果、竞赛获奖</w:t>
            </w:r>
          </w:p>
        </w:tc>
        <w:tc>
          <w:tcPr>
            <w:tcW w:w="1865" w:type="dxa"/>
            <w:vAlign w:val="center"/>
          </w:tcPr>
          <w:p w14:paraId="58E3F35E">
            <w:pPr>
              <w:jc w:val="center"/>
              <w:rPr>
                <w:rFonts w:hint="eastAsia" w:ascii="仿宋" w:hAnsi="仿宋" w:eastAsia="仿宋" w:cs="仿宋"/>
                <w:sz w:val="21"/>
                <w:szCs w:val="21"/>
              </w:rPr>
            </w:pPr>
            <w:r>
              <w:rPr>
                <w:rFonts w:hint="eastAsia" w:ascii="仿宋" w:hAnsi="仿宋" w:eastAsia="仿宋" w:cs="仿宋"/>
                <w:sz w:val="21"/>
                <w:szCs w:val="21"/>
              </w:rPr>
              <w:t>参军入伍服兵役</w:t>
            </w:r>
          </w:p>
        </w:tc>
        <w:tc>
          <w:tcPr>
            <w:tcW w:w="776" w:type="dxa"/>
            <w:vAlign w:val="center"/>
          </w:tcPr>
          <w:p w14:paraId="3BFC3231">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2%</w:t>
            </w:r>
          </w:p>
        </w:tc>
        <w:tc>
          <w:tcPr>
            <w:tcW w:w="1260" w:type="dxa"/>
            <w:vMerge w:val="restart"/>
            <w:vAlign w:val="center"/>
          </w:tcPr>
          <w:p w14:paraId="551E61DC">
            <w:pPr>
              <w:jc w:val="center"/>
              <w:rPr>
                <w:rFonts w:hint="default" w:asciiTheme="minorEastAsia" w:hAnsiTheme="minorEastAsia" w:eastAsiaTheme="minorEastAsia"/>
                <w:lang w:val="en-US" w:eastAsia="zh-CN"/>
              </w:rPr>
            </w:pPr>
            <w:r>
              <w:rPr>
                <w:rFonts w:hint="eastAsia" w:asciiTheme="minorEastAsia" w:hAnsiTheme="minorEastAsia"/>
                <w:sz w:val="28"/>
                <w:szCs w:val="28"/>
              </w:rPr>
              <w:t>10%</w:t>
            </w:r>
          </w:p>
        </w:tc>
      </w:tr>
      <w:tr w14:paraId="50CE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vMerge w:val="continue"/>
            <w:vAlign w:val="center"/>
          </w:tcPr>
          <w:p w14:paraId="6882E990">
            <w:pPr>
              <w:jc w:val="center"/>
              <w:rPr>
                <w:rFonts w:hint="eastAsia" w:ascii="仿宋" w:hAnsi="仿宋" w:eastAsia="仿宋" w:cs="仿宋"/>
              </w:rPr>
            </w:pPr>
          </w:p>
        </w:tc>
        <w:tc>
          <w:tcPr>
            <w:tcW w:w="1984" w:type="dxa"/>
            <w:vMerge w:val="continue"/>
            <w:vAlign w:val="center"/>
          </w:tcPr>
          <w:p w14:paraId="014726A3">
            <w:pPr>
              <w:jc w:val="center"/>
              <w:rPr>
                <w:rFonts w:hint="eastAsia" w:ascii="仿宋" w:hAnsi="仿宋" w:eastAsia="仿宋" w:cs="仿宋"/>
                <w:sz w:val="21"/>
                <w:szCs w:val="21"/>
              </w:rPr>
            </w:pPr>
          </w:p>
        </w:tc>
        <w:tc>
          <w:tcPr>
            <w:tcW w:w="1753" w:type="dxa"/>
            <w:vMerge w:val="continue"/>
            <w:vAlign w:val="center"/>
          </w:tcPr>
          <w:p w14:paraId="21A1EF38">
            <w:pPr>
              <w:jc w:val="center"/>
              <w:rPr>
                <w:rFonts w:hint="eastAsia" w:ascii="仿宋" w:hAnsi="仿宋" w:eastAsia="仿宋" w:cs="仿宋"/>
                <w:sz w:val="21"/>
                <w:szCs w:val="21"/>
              </w:rPr>
            </w:pPr>
          </w:p>
        </w:tc>
        <w:tc>
          <w:tcPr>
            <w:tcW w:w="1865" w:type="dxa"/>
            <w:vAlign w:val="center"/>
          </w:tcPr>
          <w:p w14:paraId="5C62ED11">
            <w:pPr>
              <w:jc w:val="center"/>
              <w:rPr>
                <w:rFonts w:hint="eastAsia" w:ascii="仿宋" w:hAnsi="仿宋" w:eastAsia="仿宋" w:cs="仿宋"/>
                <w:sz w:val="21"/>
                <w:szCs w:val="21"/>
              </w:rPr>
            </w:pPr>
            <w:r>
              <w:rPr>
                <w:rFonts w:hint="eastAsia" w:ascii="仿宋" w:hAnsi="仿宋" w:eastAsia="仿宋" w:cs="仿宋"/>
                <w:sz w:val="21"/>
                <w:szCs w:val="21"/>
              </w:rPr>
              <w:t>参加志愿服务</w:t>
            </w:r>
          </w:p>
        </w:tc>
        <w:tc>
          <w:tcPr>
            <w:tcW w:w="776" w:type="dxa"/>
            <w:vAlign w:val="center"/>
          </w:tcPr>
          <w:p w14:paraId="5A2D9395">
            <w:pPr>
              <w:jc w:val="center"/>
              <w:rPr>
                <w:rFonts w:hint="default" w:ascii="Times New Roman" w:hAnsi="Times New Roman" w:cs="Times New Roman"/>
                <w:sz w:val="24"/>
                <w:szCs w:val="24"/>
              </w:rPr>
            </w:pPr>
            <w:r>
              <w:rPr>
                <w:rFonts w:hint="default" w:ascii="Times New Roman" w:hAnsi="Times New Roman" w:cs="Times New Roman"/>
                <w:sz w:val="24"/>
                <w:szCs w:val="24"/>
                <w:lang w:val="en-US" w:eastAsia="zh-CN"/>
              </w:rPr>
              <w:t>1%</w:t>
            </w:r>
          </w:p>
        </w:tc>
        <w:tc>
          <w:tcPr>
            <w:tcW w:w="1260" w:type="dxa"/>
            <w:vMerge w:val="continue"/>
            <w:vAlign w:val="center"/>
          </w:tcPr>
          <w:p w14:paraId="21839A97">
            <w:pPr>
              <w:jc w:val="center"/>
              <w:rPr>
                <w:rFonts w:hint="eastAsia" w:asciiTheme="minorEastAsia" w:hAnsiTheme="minorEastAsia"/>
              </w:rPr>
            </w:pPr>
          </w:p>
        </w:tc>
      </w:tr>
      <w:tr w14:paraId="7CEC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vMerge w:val="continue"/>
            <w:vAlign w:val="center"/>
          </w:tcPr>
          <w:p w14:paraId="16C8A165">
            <w:pPr>
              <w:jc w:val="center"/>
              <w:rPr>
                <w:rFonts w:hint="eastAsia" w:ascii="仿宋" w:hAnsi="仿宋" w:eastAsia="仿宋" w:cs="仿宋"/>
              </w:rPr>
            </w:pPr>
          </w:p>
        </w:tc>
        <w:tc>
          <w:tcPr>
            <w:tcW w:w="1984" w:type="dxa"/>
            <w:vMerge w:val="continue"/>
            <w:vAlign w:val="center"/>
          </w:tcPr>
          <w:p w14:paraId="29E463A7">
            <w:pPr>
              <w:jc w:val="center"/>
              <w:rPr>
                <w:rFonts w:hint="eastAsia" w:ascii="仿宋" w:hAnsi="仿宋" w:eastAsia="仿宋" w:cs="仿宋"/>
                <w:sz w:val="21"/>
                <w:szCs w:val="21"/>
              </w:rPr>
            </w:pPr>
          </w:p>
        </w:tc>
        <w:tc>
          <w:tcPr>
            <w:tcW w:w="1753" w:type="dxa"/>
            <w:vMerge w:val="continue"/>
            <w:vAlign w:val="center"/>
          </w:tcPr>
          <w:p w14:paraId="39CFCDD8">
            <w:pPr>
              <w:jc w:val="center"/>
              <w:rPr>
                <w:rFonts w:hint="eastAsia" w:ascii="仿宋" w:hAnsi="仿宋" w:eastAsia="仿宋" w:cs="仿宋"/>
                <w:sz w:val="21"/>
                <w:szCs w:val="21"/>
              </w:rPr>
            </w:pPr>
          </w:p>
        </w:tc>
        <w:tc>
          <w:tcPr>
            <w:tcW w:w="1865" w:type="dxa"/>
            <w:vAlign w:val="center"/>
          </w:tcPr>
          <w:p w14:paraId="74189894">
            <w:pPr>
              <w:jc w:val="center"/>
              <w:rPr>
                <w:rFonts w:hint="eastAsia" w:ascii="仿宋" w:hAnsi="仿宋" w:eastAsia="仿宋" w:cs="仿宋"/>
                <w:sz w:val="21"/>
                <w:szCs w:val="21"/>
              </w:rPr>
            </w:pPr>
            <w:r>
              <w:rPr>
                <w:rFonts w:hint="eastAsia" w:ascii="仿宋" w:hAnsi="仿宋" w:eastAsia="仿宋" w:cs="仿宋"/>
                <w:sz w:val="21"/>
                <w:szCs w:val="21"/>
              </w:rPr>
              <w:t>到国际组织实习</w:t>
            </w:r>
          </w:p>
        </w:tc>
        <w:tc>
          <w:tcPr>
            <w:tcW w:w="776" w:type="dxa"/>
            <w:vAlign w:val="center"/>
          </w:tcPr>
          <w:p w14:paraId="6EA2600C">
            <w:pPr>
              <w:jc w:val="center"/>
              <w:rPr>
                <w:rFonts w:hint="default" w:ascii="Times New Roman" w:hAnsi="Times New Roman" w:cs="Times New Roman"/>
                <w:sz w:val="24"/>
                <w:szCs w:val="24"/>
              </w:rPr>
            </w:pPr>
            <w:r>
              <w:rPr>
                <w:rFonts w:hint="default" w:ascii="Times New Roman" w:hAnsi="Times New Roman" w:cs="Times New Roman"/>
                <w:sz w:val="24"/>
                <w:szCs w:val="24"/>
                <w:lang w:val="en-US" w:eastAsia="zh-CN"/>
              </w:rPr>
              <w:t>1%</w:t>
            </w:r>
          </w:p>
        </w:tc>
        <w:tc>
          <w:tcPr>
            <w:tcW w:w="1260" w:type="dxa"/>
            <w:vMerge w:val="continue"/>
            <w:vAlign w:val="center"/>
          </w:tcPr>
          <w:p w14:paraId="664B96FB">
            <w:pPr>
              <w:jc w:val="center"/>
              <w:rPr>
                <w:rFonts w:hint="eastAsia" w:asciiTheme="minorEastAsia" w:hAnsiTheme="minorEastAsia"/>
              </w:rPr>
            </w:pPr>
          </w:p>
        </w:tc>
      </w:tr>
      <w:tr w14:paraId="6CEE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vMerge w:val="continue"/>
            <w:vAlign w:val="center"/>
          </w:tcPr>
          <w:p w14:paraId="05E1194D">
            <w:pPr>
              <w:jc w:val="center"/>
              <w:rPr>
                <w:rFonts w:hint="eastAsia" w:ascii="仿宋" w:hAnsi="仿宋" w:eastAsia="仿宋" w:cs="仿宋"/>
              </w:rPr>
            </w:pPr>
          </w:p>
        </w:tc>
        <w:tc>
          <w:tcPr>
            <w:tcW w:w="1984" w:type="dxa"/>
            <w:vMerge w:val="continue"/>
            <w:vAlign w:val="center"/>
          </w:tcPr>
          <w:p w14:paraId="27944A0F">
            <w:pPr>
              <w:jc w:val="center"/>
              <w:rPr>
                <w:rFonts w:hint="eastAsia" w:ascii="仿宋" w:hAnsi="仿宋" w:eastAsia="仿宋" w:cs="仿宋"/>
                <w:sz w:val="21"/>
                <w:szCs w:val="21"/>
              </w:rPr>
            </w:pPr>
          </w:p>
        </w:tc>
        <w:tc>
          <w:tcPr>
            <w:tcW w:w="1753" w:type="dxa"/>
            <w:vMerge w:val="continue"/>
            <w:vAlign w:val="center"/>
          </w:tcPr>
          <w:p w14:paraId="7EE9E5EE">
            <w:pPr>
              <w:jc w:val="center"/>
              <w:rPr>
                <w:rFonts w:hint="eastAsia" w:ascii="仿宋" w:hAnsi="仿宋" w:eastAsia="仿宋" w:cs="仿宋"/>
                <w:sz w:val="21"/>
                <w:szCs w:val="21"/>
              </w:rPr>
            </w:pPr>
          </w:p>
        </w:tc>
        <w:tc>
          <w:tcPr>
            <w:tcW w:w="1865" w:type="dxa"/>
            <w:vAlign w:val="center"/>
          </w:tcPr>
          <w:p w14:paraId="6E26DC69">
            <w:pPr>
              <w:jc w:val="center"/>
              <w:rPr>
                <w:rFonts w:hint="eastAsia" w:ascii="仿宋" w:hAnsi="仿宋" w:eastAsia="仿宋" w:cs="仿宋"/>
                <w:sz w:val="21"/>
                <w:szCs w:val="21"/>
              </w:rPr>
            </w:pPr>
            <w:r>
              <w:rPr>
                <w:rFonts w:hint="eastAsia" w:ascii="仿宋" w:hAnsi="仿宋" w:eastAsia="仿宋" w:cs="仿宋"/>
                <w:sz w:val="21"/>
                <w:szCs w:val="21"/>
              </w:rPr>
              <w:t>科研成果</w:t>
            </w:r>
          </w:p>
        </w:tc>
        <w:tc>
          <w:tcPr>
            <w:tcW w:w="776" w:type="dxa"/>
            <w:vAlign w:val="center"/>
          </w:tcPr>
          <w:p w14:paraId="63E29936">
            <w:pPr>
              <w:jc w:val="center"/>
              <w:rPr>
                <w:rFonts w:hint="default" w:ascii="Times New Roman" w:hAnsi="Times New Roman" w:cs="Times New Roman"/>
                <w:sz w:val="24"/>
                <w:szCs w:val="24"/>
              </w:rPr>
            </w:pPr>
            <w:r>
              <w:rPr>
                <w:rFonts w:hint="default" w:ascii="Times New Roman" w:hAnsi="Times New Roman" w:cs="Times New Roman"/>
                <w:sz w:val="24"/>
                <w:szCs w:val="24"/>
                <w:lang w:val="en-US" w:eastAsia="zh-CN"/>
              </w:rPr>
              <w:t>3%</w:t>
            </w:r>
          </w:p>
        </w:tc>
        <w:tc>
          <w:tcPr>
            <w:tcW w:w="1260" w:type="dxa"/>
            <w:vMerge w:val="continue"/>
            <w:vAlign w:val="center"/>
          </w:tcPr>
          <w:p w14:paraId="071C8A35">
            <w:pPr>
              <w:jc w:val="center"/>
              <w:rPr>
                <w:rFonts w:hint="eastAsia" w:asciiTheme="minorEastAsia" w:hAnsiTheme="minorEastAsia"/>
              </w:rPr>
            </w:pPr>
          </w:p>
        </w:tc>
      </w:tr>
      <w:tr w14:paraId="6CA6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51" w:type="dxa"/>
            <w:vMerge w:val="continue"/>
            <w:vAlign w:val="center"/>
          </w:tcPr>
          <w:p w14:paraId="1E8A2E46">
            <w:pPr>
              <w:jc w:val="center"/>
              <w:rPr>
                <w:rFonts w:hint="eastAsia" w:ascii="仿宋" w:hAnsi="仿宋" w:eastAsia="仿宋" w:cs="仿宋"/>
              </w:rPr>
            </w:pPr>
          </w:p>
        </w:tc>
        <w:tc>
          <w:tcPr>
            <w:tcW w:w="1984" w:type="dxa"/>
            <w:vMerge w:val="continue"/>
            <w:vAlign w:val="center"/>
          </w:tcPr>
          <w:p w14:paraId="361DEE19">
            <w:pPr>
              <w:jc w:val="center"/>
              <w:rPr>
                <w:rFonts w:hint="eastAsia" w:ascii="仿宋" w:hAnsi="仿宋" w:eastAsia="仿宋" w:cs="仿宋"/>
                <w:sz w:val="21"/>
                <w:szCs w:val="21"/>
              </w:rPr>
            </w:pPr>
          </w:p>
        </w:tc>
        <w:tc>
          <w:tcPr>
            <w:tcW w:w="1753" w:type="dxa"/>
            <w:vMerge w:val="continue"/>
            <w:vAlign w:val="center"/>
          </w:tcPr>
          <w:p w14:paraId="3544178A">
            <w:pPr>
              <w:jc w:val="center"/>
              <w:rPr>
                <w:rFonts w:hint="eastAsia" w:ascii="仿宋" w:hAnsi="仿宋" w:eastAsia="仿宋" w:cs="仿宋"/>
                <w:sz w:val="21"/>
                <w:szCs w:val="21"/>
              </w:rPr>
            </w:pPr>
          </w:p>
        </w:tc>
        <w:tc>
          <w:tcPr>
            <w:tcW w:w="1865" w:type="dxa"/>
            <w:vAlign w:val="center"/>
          </w:tcPr>
          <w:p w14:paraId="1047D689">
            <w:pPr>
              <w:jc w:val="center"/>
              <w:rPr>
                <w:rFonts w:hint="eastAsia" w:ascii="仿宋" w:hAnsi="仿宋" w:eastAsia="仿宋" w:cs="仿宋"/>
                <w:sz w:val="21"/>
                <w:szCs w:val="21"/>
              </w:rPr>
            </w:pPr>
            <w:r>
              <w:rPr>
                <w:rFonts w:hint="eastAsia" w:ascii="仿宋" w:hAnsi="仿宋" w:eastAsia="仿宋" w:cs="仿宋"/>
                <w:sz w:val="21"/>
                <w:szCs w:val="21"/>
              </w:rPr>
              <w:t>竞赛获奖</w:t>
            </w:r>
          </w:p>
        </w:tc>
        <w:tc>
          <w:tcPr>
            <w:tcW w:w="776" w:type="dxa"/>
            <w:vAlign w:val="center"/>
          </w:tcPr>
          <w:p w14:paraId="2EFE1199">
            <w:pPr>
              <w:jc w:val="center"/>
              <w:rPr>
                <w:rFonts w:hint="default" w:ascii="Times New Roman" w:hAnsi="Times New Roman" w:cs="Times New Roman"/>
                <w:sz w:val="24"/>
                <w:szCs w:val="24"/>
              </w:rPr>
            </w:pPr>
            <w:r>
              <w:rPr>
                <w:rFonts w:hint="default" w:ascii="Times New Roman" w:hAnsi="Times New Roman" w:cs="Times New Roman"/>
                <w:sz w:val="24"/>
                <w:szCs w:val="24"/>
                <w:lang w:val="en-US" w:eastAsia="zh-CN"/>
              </w:rPr>
              <w:t>3%</w:t>
            </w:r>
          </w:p>
        </w:tc>
        <w:tc>
          <w:tcPr>
            <w:tcW w:w="1260" w:type="dxa"/>
            <w:vMerge w:val="continue"/>
            <w:vAlign w:val="center"/>
          </w:tcPr>
          <w:p w14:paraId="63F5ED87">
            <w:pPr>
              <w:jc w:val="center"/>
              <w:rPr>
                <w:rFonts w:hint="eastAsia" w:asciiTheme="minorEastAsia" w:hAnsiTheme="minorEastAsia"/>
              </w:rPr>
            </w:pPr>
          </w:p>
        </w:tc>
      </w:tr>
      <w:tr w14:paraId="7E7C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6453" w:type="dxa"/>
            <w:gridSpan w:val="4"/>
            <w:vAlign w:val="center"/>
          </w:tcPr>
          <w:p w14:paraId="3EAB23BB">
            <w:pPr>
              <w:jc w:val="center"/>
              <w:rPr>
                <w:rFonts w:hint="eastAsia" w:asciiTheme="minorEastAsia" w:hAnsiTheme="minorEastAsia"/>
                <w:sz w:val="28"/>
                <w:szCs w:val="28"/>
              </w:rPr>
            </w:pPr>
            <w:r>
              <w:rPr>
                <w:rFonts w:hint="eastAsia" w:ascii="仿宋" w:hAnsi="仿宋" w:eastAsia="仿宋" w:cs="仿宋"/>
                <w:b/>
                <w:bCs/>
                <w:sz w:val="24"/>
                <w:szCs w:val="24"/>
              </w:rPr>
              <w:t>合计</w:t>
            </w:r>
          </w:p>
        </w:tc>
        <w:tc>
          <w:tcPr>
            <w:tcW w:w="776" w:type="dxa"/>
            <w:vAlign w:val="center"/>
          </w:tcPr>
          <w:p w14:paraId="46868F21">
            <w:pPr>
              <w:jc w:val="center"/>
              <w:rPr>
                <w:rFonts w:hint="eastAsia" w:asciiTheme="minorEastAsia" w:hAnsiTheme="minorEastAsia"/>
                <w:sz w:val="24"/>
                <w:szCs w:val="24"/>
              </w:rPr>
            </w:pPr>
            <w:r>
              <w:rPr>
                <w:rFonts w:hint="eastAsia" w:asciiTheme="minorEastAsia" w:hAnsiTheme="minorEastAsia"/>
                <w:sz w:val="24"/>
                <w:szCs w:val="24"/>
              </w:rPr>
              <w:t>100%</w:t>
            </w:r>
          </w:p>
        </w:tc>
        <w:tc>
          <w:tcPr>
            <w:tcW w:w="1260" w:type="dxa"/>
            <w:vAlign w:val="center"/>
          </w:tcPr>
          <w:p w14:paraId="332DC8CB">
            <w:pPr>
              <w:jc w:val="center"/>
              <w:rPr>
                <w:rFonts w:hint="eastAsia" w:asciiTheme="minorEastAsia" w:hAnsiTheme="minorEastAsia"/>
                <w:sz w:val="24"/>
                <w:szCs w:val="24"/>
              </w:rPr>
            </w:pPr>
            <w:r>
              <w:rPr>
                <w:rFonts w:hint="eastAsia" w:asciiTheme="minorEastAsia" w:hAnsiTheme="minorEastAsia"/>
                <w:sz w:val="24"/>
                <w:szCs w:val="24"/>
              </w:rPr>
              <w:t>100%</w:t>
            </w:r>
          </w:p>
        </w:tc>
      </w:tr>
    </w:tbl>
    <w:p w14:paraId="1BC67F1B">
      <w:pPr>
        <w:widowControl/>
        <w:spacing w:before="75" w:line="360" w:lineRule="atLeast"/>
        <w:jc w:val="left"/>
        <w:rPr>
          <w:rFonts w:hint="default" w:ascii="仿宋" w:hAnsi="仿宋" w:eastAsia="仿宋" w:cs="宋体"/>
          <w:kern w:val="0"/>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9640"/>
      <w:docPartObj>
        <w:docPartGallery w:val="autotext"/>
      </w:docPartObj>
    </w:sdtPr>
    <w:sdtContent>
      <w:p w14:paraId="67782312">
        <w:pPr>
          <w:pStyle w:val="2"/>
          <w:jc w:val="center"/>
        </w:pPr>
        <w:r>
          <w:fldChar w:fldCharType="begin"/>
        </w:r>
        <w:r>
          <w:instrText xml:space="preserve">PAGE   \* MERGEFORMAT</w:instrText>
        </w:r>
        <w:r>
          <w:fldChar w:fldCharType="separate"/>
        </w:r>
        <w:r>
          <w:rPr>
            <w:lang w:val="zh-CN"/>
          </w:rPr>
          <w:t>4</w:t>
        </w:r>
        <w:r>
          <w:fldChar w:fldCharType="end"/>
        </w:r>
      </w:p>
    </w:sdtContent>
  </w:sdt>
  <w:p w14:paraId="3E5AA8EB">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E600A6"/>
    <w:multiLevelType w:val="singleLevel"/>
    <w:tmpl w:val="75E600A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kMDAzZWFmOTc1ZGMzZDViZTQ0ODE5NTYwYTA1MTQifQ=="/>
  </w:docVars>
  <w:rsids>
    <w:rsidRoot w:val="00CC0765"/>
    <w:rsid w:val="00007084"/>
    <w:rsid w:val="000A1CA1"/>
    <w:rsid w:val="001B52C9"/>
    <w:rsid w:val="001E3057"/>
    <w:rsid w:val="00223CF9"/>
    <w:rsid w:val="002B0FC6"/>
    <w:rsid w:val="003A4DB8"/>
    <w:rsid w:val="003E4773"/>
    <w:rsid w:val="003F4DF2"/>
    <w:rsid w:val="00452CF2"/>
    <w:rsid w:val="00466A05"/>
    <w:rsid w:val="004D64B1"/>
    <w:rsid w:val="005679CB"/>
    <w:rsid w:val="00571228"/>
    <w:rsid w:val="00573BDB"/>
    <w:rsid w:val="006218FB"/>
    <w:rsid w:val="0065289C"/>
    <w:rsid w:val="006A222B"/>
    <w:rsid w:val="007F6110"/>
    <w:rsid w:val="008E441F"/>
    <w:rsid w:val="00947719"/>
    <w:rsid w:val="00AA3EB8"/>
    <w:rsid w:val="00C445A7"/>
    <w:rsid w:val="00C51BAE"/>
    <w:rsid w:val="00C54317"/>
    <w:rsid w:val="00CC0765"/>
    <w:rsid w:val="00DC3D31"/>
    <w:rsid w:val="00DF04B2"/>
    <w:rsid w:val="00DF5DD8"/>
    <w:rsid w:val="00E42260"/>
    <w:rsid w:val="00ED4B9E"/>
    <w:rsid w:val="00F94BE1"/>
    <w:rsid w:val="00FC64F9"/>
    <w:rsid w:val="01763BCE"/>
    <w:rsid w:val="021A6C4F"/>
    <w:rsid w:val="025B2DC4"/>
    <w:rsid w:val="02B9074E"/>
    <w:rsid w:val="02CD5A6F"/>
    <w:rsid w:val="03195159"/>
    <w:rsid w:val="03B409DD"/>
    <w:rsid w:val="03E72B61"/>
    <w:rsid w:val="04B3701E"/>
    <w:rsid w:val="04F01EE9"/>
    <w:rsid w:val="06C86EDF"/>
    <w:rsid w:val="071A324D"/>
    <w:rsid w:val="087A0447"/>
    <w:rsid w:val="08AB6853"/>
    <w:rsid w:val="0932487E"/>
    <w:rsid w:val="09526CCE"/>
    <w:rsid w:val="097F1A8E"/>
    <w:rsid w:val="09DF42DA"/>
    <w:rsid w:val="0B0A5EFB"/>
    <w:rsid w:val="0B1C3A38"/>
    <w:rsid w:val="0B867103"/>
    <w:rsid w:val="0BA033AB"/>
    <w:rsid w:val="0BE9638F"/>
    <w:rsid w:val="0BEF2EFA"/>
    <w:rsid w:val="0C4A0131"/>
    <w:rsid w:val="0C711B61"/>
    <w:rsid w:val="0CFA1B57"/>
    <w:rsid w:val="0D5C45C0"/>
    <w:rsid w:val="0D894C89"/>
    <w:rsid w:val="0DA16476"/>
    <w:rsid w:val="0DC65EDD"/>
    <w:rsid w:val="0E272FC7"/>
    <w:rsid w:val="0E2E03FD"/>
    <w:rsid w:val="0E576B35"/>
    <w:rsid w:val="0EB126E9"/>
    <w:rsid w:val="0ED63EFE"/>
    <w:rsid w:val="0FB26719"/>
    <w:rsid w:val="10264A11"/>
    <w:rsid w:val="103A04BC"/>
    <w:rsid w:val="10E2302E"/>
    <w:rsid w:val="116972AB"/>
    <w:rsid w:val="11830FA3"/>
    <w:rsid w:val="123C2914"/>
    <w:rsid w:val="128123D2"/>
    <w:rsid w:val="136E6DFB"/>
    <w:rsid w:val="137B5074"/>
    <w:rsid w:val="146E5D7A"/>
    <w:rsid w:val="146F2E2A"/>
    <w:rsid w:val="150C68CB"/>
    <w:rsid w:val="152D53E0"/>
    <w:rsid w:val="154222ED"/>
    <w:rsid w:val="161517B0"/>
    <w:rsid w:val="16970417"/>
    <w:rsid w:val="17A4103D"/>
    <w:rsid w:val="17A91AE3"/>
    <w:rsid w:val="17EF7DDE"/>
    <w:rsid w:val="189310B2"/>
    <w:rsid w:val="189C569F"/>
    <w:rsid w:val="18D12062"/>
    <w:rsid w:val="19232435"/>
    <w:rsid w:val="19D11E91"/>
    <w:rsid w:val="1B097409"/>
    <w:rsid w:val="1B7927E1"/>
    <w:rsid w:val="1C2453B2"/>
    <w:rsid w:val="1C300489"/>
    <w:rsid w:val="1C3B5CE8"/>
    <w:rsid w:val="1D6606C7"/>
    <w:rsid w:val="1D894947"/>
    <w:rsid w:val="1E4A5D6E"/>
    <w:rsid w:val="1E641526"/>
    <w:rsid w:val="1E7820B5"/>
    <w:rsid w:val="1EA77665"/>
    <w:rsid w:val="1EB678A8"/>
    <w:rsid w:val="1F1A1BE5"/>
    <w:rsid w:val="1F3802BD"/>
    <w:rsid w:val="1F593F5D"/>
    <w:rsid w:val="1F745799"/>
    <w:rsid w:val="1F7A2328"/>
    <w:rsid w:val="1FAA5F1C"/>
    <w:rsid w:val="1FE3647B"/>
    <w:rsid w:val="20085EE1"/>
    <w:rsid w:val="203D0806"/>
    <w:rsid w:val="218B0B78"/>
    <w:rsid w:val="2230171F"/>
    <w:rsid w:val="224A0A33"/>
    <w:rsid w:val="227906AD"/>
    <w:rsid w:val="22FA4207"/>
    <w:rsid w:val="233F60BE"/>
    <w:rsid w:val="234A01C1"/>
    <w:rsid w:val="23A81EB5"/>
    <w:rsid w:val="242F22E8"/>
    <w:rsid w:val="24575689"/>
    <w:rsid w:val="249B7324"/>
    <w:rsid w:val="249E5066"/>
    <w:rsid w:val="24BB1774"/>
    <w:rsid w:val="24E46F1D"/>
    <w:rsid w:val="25077C17"/>
    <w:rsid w:val="25493224"/>
    <w:rsid w:val="257A162F"/>
    <w:rsid w:val="26655912"/>
    <w:rsid w:val="267E0CAB"/>
    <w:rsid w:val="26D27249"/>
    <w:rsid w:val="26E72CF4"/>
    <w:rsid w:val="27856069"/>
    <w:rsid w:val="28722A91"/>
    <w:rsid w:val="29310257"/>
    <w:rsid w:val="293935AF"/>
    <w:rsid w:val="29763EBB"/>
    <w:rsid w:val="29B93765"/>
    <w:rsid w:val="2B807273"/>
    <w:rsid w:val="2B82123D"/>
    <w:rsid w:val="2C70553A"/>
    <w:rsid w:val="2CF47F19"/>
    <w:rsid w:val="2D0217A7"/>
    <w:rsid w:val="2D960FD0"/>
    <w:rsid w:val="2DC05B9A"/>
    <w:rsid w:val="2E8E1CA7"/>
    <w:rsid w:val="2F650C5A"/>
    <w:rsid w:val="2F6F7D2B"/>
    <w:rsid w:val="303E14AB"/>
    <w:rsid w:val="30B17ECF"/>
    <w:rsid w:val="30D065A7"/>
    <w:rsid w:val="30D942CA"/>
    <w:rsid w:val="31603DCF"/>
    <w:rsid w:val="319E0453"/>
    <w:rsid w:val="326B056D"/>
    <w:rsid w:val="3286491E"/>
    <w:rsid w:val="333B5337"/>
    <w:rsid w:val="340A1DD0"/>
    <w:rsid w:val="344F3C87"/>
    <w:rsid w:val="356B26D9"/>
    <w:rsid w:val="361138EA"/>
    <w:rsid w:val="36575075"/>
    <w:rsid w:val="36767BF1"/>
    <w:rsid w:val="36910587"/>
    <w:rsid w:val="36D703D0"/>
    <w:rsid w:val="371F1706"/>
    <w:rsid w:val="37272C99"/>
    <w:rsid w:val="3733163E"/>
    <w:rsid w:val="37BA3B0D"/>
    <w:rsid w:val="37C4673A"/>
    <w:rsid w:val="37E40B8A"/>
    <w:rsid w:val="384C1F0B"/>
    <w:rsid w:val="387D5266"/>
    <w:rsid w:val="38C2711D"/>
    <w:rsid w:val="38DE382B"/>
    <w:rsid w:val="38E30E42"/>
    <w:rsid w:val="39445D84"/>
    <w:rsid w:val="39673821"/>
    <w:rsid w:val="39DF785B"/>
    <w:rsid w:val="3A8B20B3"/>
    <w:rsid w:val="3B4958D4"/>
    <w:rsid w:val="3B912DD7"/>
    <w:rsid w:val="3BFC3B8F"/>
    <w:rsid w:val="3CD37F23"/>
    <w:rsid w:val="3CFC24D2"/>
    <w:rsid w:val="3D22462E"/>
    <w:rsid w:val="3D3D6F61"/>
    <w:rsid w:val="3E1C2E2C"/>
    <w:rsid w:val="3F1346DB"/>
    <w:rsid w:val="3F4F5483"/>
    <w:rsid w:val="3F7D5B4C"/>
    <w:rsid w:val="3F823162"/>
    <w:rsid w:val="3F852C53"/>
    <w:rsid w:val="3FDB6D16"/>
    <w:rsid w:val="400B2233"/>
    <w:rsid w:val="406C796F"/>
    <w:rsid w:val="40AD06B3"/>
    <w:rsid w:val="40FF07E3"/>
    <w:rsid w:val="41835510"/>
    <w:rsid w:val="43036EC6"/>
    <w:rsid w:val="4392593E"/>
    <w:rsid w:val="43D04452"/>
    <w:rsid w:val="43F32881"/>
    <w:rsid w:val="442A3DC9"/>
    <w:rsid w:val="4464552C"/>
    <w:rsid w:val="44775260"/>
    <w:rsid w:val="45AC718B"/>
    <w:rsid w:val="4609638B"/>
    <w:rsid w:val="46252A99"/>
    <w:rsid w:val="462C5BD6"/>
    <w:rsid w:val="4633351F"/>
    <w:rsid w:val="476475F1"/>
    <w:rsid w:val="4792415F"/>
    <w:rsid w:val="479954ED"/>
    <w:rsid w:val="47A42AA0"/>
    <w:rsid w:val="47A65E5C"/>
    <w:rsid w:val="47BC11DC"/>
    <w:rsid w:val="48645AFB"/>
    <w:rsid w:val="48CB300E"/>
    <w:rsid w:val="48F112D3"/>
    <w:rsid w:val="49374FBE"/>
    <w:rsid w:val="4A0F7CE8"/>
    <w:rsid w:val="4A190B67"/>
    <w:rsid w:val="4A2117CA"/>
    <w:rsid w:val="4A686698"/>
    <w:rsid w:val="4A9973CA"/>
    <w:rsid w:val="4B413ED2"/>
    <w:rsid w:val="4BE13907"/>
    <w:rsid w:val="4C990F8B"/>
    <w:rsid w:val="4CA46E0E"/>
    <w:rsid w:val="4CC44899"/>
    <w:rsid w:val="4E676345"/>
    <w:rsid w:val="4ED4505D"/>
    <w:rsid w:val="4F102A1D"/>
    <w:rsid w:val="500E459E"/>
    <w:rsid w:val="5039786D"/>
    <w:rsid w:val="51312C3A"/>
    <w:rsid w:val="516721B8"/>
    <w:rsid w:val="518D0496"/>
    <w:rsid w:val="51DD691E"/>
    <w:rsid w:val="52043EAB"/>
    <w:rsid w:val="52A42F98"/>
    <w:rsid w:val="52F65EE9"/>
    <w:rsid w:val="54025EAC"/>
    <w:rsid w:val="544B7B6F"/>
    <w:rsid w:val="54C94F38"/>
    <w:rsid w:val="54CA2509"/>
    <w:rsid w:val="5540169E"/>
    <w:rsid w:val="554D7917"/>
    <w:rsid w:val="55A35789"/>
    <w:rsid w:val="56095F34"/>
    <w:rsid w:val="561F5757"/>
    <w:rsid w:val="566B62A7"/>
    <w:rsid w:val="56FC76CC"/>
    <w:rsid w:val="578A6C00"/>
    <w:rsid w:val="58164938"/>
    <w:rsid w:val="583B4522"/>
    <w:rsid w:val="584F4DF7"/>
    <w:rsid w:val="585D60C3"/>
    <w:rsid w:val="58DA3BB7"/>
    <w:rsid w:val="59633BAD"/>
    <w:rsid w:val="597C4169"/>
    <w:rsid w:val="59B5084F"/>
    <w:rsid w:val="5A276988"/>
    <w:rsid w:val="5B4B1D4C"/>
    <w:rsid w:val="5BB26726"/>
    <w:rsid w:val="5C043425"/>
    <w:rsid w:val="5C084598"/>
    <w:rsid w:val="5C1E3DBB"/>
    <w:rsid w:val="5CCA0511"/>
    <w:rsid w:val="5CD01559"/>
    <w:rsid w:val="5D094A6B"/>
    <w:rsid w:val="5D657279"/>
    <w:rsid w:val="5E385608"/>
    <w:rsid w:val="5E8720EC"/>
    <w:rsid w:val="5EA031AD"/>
    <w:rsid w:val="5EAC3900"/>
    <w:rsid w:val="5EC549C2"/>
    <w:rsid w:val="5FEF5043"/>
    <w:rsid w:val="611D2893"/>
    <w:rsid w:val="613F6CAD"/>
    <w:rsid w:val="61504A17"/>
    <w:rsid w:val="61677FB2"/>
    <w:rsid w:val="61B72CE8"/>
    <w:rsid w:val="62057D23"/>
    <w:rsid w:val="62A009D7"/>
    <w:rsid w:val="62FB6C04"/>
    <w:rsid w:val="63AD43A2"/>
    <w:rsid w:val="63BD210C"/>
    <w:rsid w:val="63FC2C34"/>
    <w:rsid w:val="64923598"/>
    <w:rsid w:val="64944BB4"/>
    <w:rsid w:val="656575FA"/>
    <w:rsid w:val="65791E0F"/>
    <w:rsid w:val="65A417D5"/>
    <w:rsid w:val="66067D9A"/>
    <w:rsid w:val="6626043C"/>
    <w:rsid w:val="66C0619B"/>
    <w:rsid w:val="67773C0D"/>
    <w:rsid w:val="67B81568"/>
    <w:rsid w:val="68091DC3"/>
    <w:rsid w:val="686B0388"/>
    <w:rsid w:val="68E77B6B"/>
    <w:rsid w:val="69020CEC"/>
    <w:rsid w:val="692B652D"/>
    <w:rsid w:val="698C2CAC"/>
    <w:rsid w:val="69D427C1"/>
    <w:rsid w:val="6A1F53D1"/>
    <w:rsid w:val="6A3F311A"/>
    <w:rsid w:val="6A4844A8"/>
    <w:rsid w:val="6A5A70C2"/>
    <w:rsid w:val="6AC36259"/>
    <w:rsid w:val="6AE14931"/>
    <w:rsid w:val="6AEF34F2"/>
    <w:rsid w:val="6BFA3EFD"/>
    <w:rsid w:val="6C133210"/>
    <w:rsid w:val="6CE07597"/>
    <w:rsid w:val="6D34352E"/>
    <w:rsid w:val="6DCA5B51"/>
    <w:rsid w:val="6F3C482C"/>
    <w:rsid w:val="6F5222A2"/>
    <w:rsid w:val="6FBB39A3"/>
    <w:rsid w:val="6FF173C5"/>
    <w:rsid w:val="7064228D"/>
    <w:rsid w:val="710B44B6"/>
    <w:rsid w:val="71597917"/>
    <w:rsid w:val="720C6738"/>
    <w:rsid w:val="727E1A1D"/>
    <w:rsid w:val="73EA2AA9"/>
    <w:rsid w:val="744D2866"/>
    <w:rsid w:val="74B03CF2"/>
    <w:rsid w:val="74D15A17"/>
    <w:rsid w:val="74FB2A94"/>
    <w:rsid w:val="753F35B3"/>
    <w:rsid w:val="75BF7CDC"/>
    <w:rsid w:val="75EA6D90"/>
    <w:rsid w:val="765D3A06"/>
    <w:rsid w:val="7670255C"/>
    <w:rsid w:val="768F7938"/>
    <w:rsid w:val="76BB072D"/>
    <w:rsid w:val="76E2215D"/>
    <w:rsid w:val="76F51E90"/>
    <w:rsid w:val="77A90002"/>
    <w:rsid w:val="784F737E"/>
    <w:rsid w:val="792A3948"/>
    <w:rsid w:val="7A0E5017"/>
    <w:rsid w:val="7A5E0584"/>
    <w:rsid w:val="7A6115EB"/>
    <w:rsid w:val="7AD85D51"/>
    <w:rsid w:val="7AFD57B8"/>
    <w:rsid w:val="7B4C5DF7"/>
    <w:rsid w:val="7BA479E1"/>
    <w:rsid w:val="7BD81D81"/>
    <w:rsid w:val="7C296138"/>
    <w:rsid w:val="7C3F3BAE"/>
    <w:rsid w:val="7C3F595C"/>
    <w:rsid w:val="7D433503"/>
    <w:rsid w:val="7D761851"/>
    <w:rsid w:val="7D7B6E68"/>
    <w:rsid w:val="7E094473"/>
    <w:rsid w:val="7E640A0C"/>
    <w:rsid w:val="7EB61B69"/>
    <w:rsid w:val="7F4B2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1"/>
    <w:autoRedefine/>
    <w:unhideWhenUsed/>
    <w:qFormat/>
    <w:uiPriority w:val="99"/>
    <w:pPr>
      <w:tabs>
        <w:tab w:val="center" w:pos="4153"/>
        <w:tab w:val="right" w:pos="8306"/>
      </w:tabs>
      <w:snapToGrid w:val="0"/>
      <w:jc w:val="left"/>
    </w:pPr>
    <w:rPr>
      <w:sz w:val="18"/>
      <w:szCs w:val="18"/>
    </w:rPr>
  </w:style>
  <w:style w:type="paragraph" w:styleId="3">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22"/>
    <w:rPr>
      <w:b/>
      <w:bCs/>
    </w:rPr>
  </w:style>
  <w:style w:type="paragraph" w:customStyle="1" w:styleId="8">
    <w:name w:val="16"/>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15"/>
    <w:basedOn w:val="6"/>
    <w:autoRedefine/>
    <w:qFormat/>
    <w:uiPriority w:val="0"/>
  </w:style>
  <w:style w:type="character" w:customStyle="1" w:styleId="10">
    <w:name w:val="页眉 Char"/>
    <w:basedOn w:val="6"/>
    <w:link w:val="3"/>
    <w:autoRedefine/>
    <w:qFormat/>
    <w:uiPriority w:val="99"/>
    <w:rPr>
      <w:kern w:val="2"/>
      <w:sz w:val="18"/>
      <w:szCs w:val="18"/>
    </w:rPr>
  </w:style>
  <w:style w:type="character" w:customStyle="1" w:styleId="11">
    <w:name w:val="页脚 Char"/>
    <w:basedOn w:val="6"/>
    <w:link w:val="2"/>
    <w:qFormat/>
    <w:uiPriority w:val="99"/>
    <w:rPr>
      <w:kern w:val="2"/>
      <w:sz w:val="18"/>
      <w:szCs w:val="18"/>
    </w:rPr>
  </w:style>
  <w:style w:type="character" w:customStyle="1" w:styleId="12">
    <w:name w:val="font21"/>
    <w:basedOn w:val="6"/>
    <w:qFormat/>
    <w:uiPriority w:val="0"/>
    <w:rPr>
      <w:rFonts w:hint="default" w:ascii="Calibri" w:hAnsi="Calibri" w:cs="Calibri"/>
      <w:color w:val="000000"/>
      <w:sz w:val="32"/>
      <w:szCs w:val="32"/>
      <w:u w:val="none"/>
    </w:rPr>
  </w:style>
  <w:style w:type="character" w:customStyle="1" w:styleId="13">
    <w:name w:val="font41"/>
    <w:basedOn w:val="6"/>
    <w:qFormat/>
    <w:uiPriority w:val="0"/>
    <w:rPr>
      <w:rFonts w:hint="eastAsia" w:ascii="宋体" w:hAnsi="宋体" w:eastAsia="宋体" w:cs="宋体"/>
      <w:color w:val="00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3508</Words>
  <Characters>3682</Characters>
  <Lines>24</Lines>
  <Paragraphs>6</Paragraphs>
  <TotalTime>24</TotalTime>
  <ScaleCrop>false</ScaleCrop>
  <LinksUpToDate>false</LinksUpToDate>
  <CharactersWithSpaces>3721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2023-09-11T08:46:00Z</dcterms:created>
  <dc:creator>王曼曼</dc:creator>
  <cp:lastModifiedBy>曹锟</cp:lastModifiedBy>
  <cp:lastPrinted>2024-09-10T08:40:00Z</cp:lastPrinted>
  <dcterms:modified xsi:type="dcterms:W3CDTF">2025-01-10T01:59:08Z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94062CB3F7924E59B2B9537274DA4D8D_13</vt:lpwstr>
  </property>
  <property fmtid="{D5CDD505-2E9C-101B-9397-08002B2CF9AE}" pid="4" name="KSOTemplateDocerSaveRecord">
    <vt:lpwstr>eyJoZGlkIjoiOTg5NGJhZTY3ZmM5OTI2YjIxMzY0MTgxMTcxYjY1M2IiLCJ1c2VySWQiOiI0MjM4NzEyNjcifQ==</vt:lpwstr>
  </property>
</Properties>
</file>