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360" w:lineRule="auto"/>
        <w:ind w:firstLine="570"/>
        <w:rPr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>附件1</w:t>
      </w:r>
      <w:r>
        <w:rPr>
          <w:color w:val="000000"/>
          <w:sz w:val="28"/>
          <w:szCs w:val="28"/>
        </w:rPr>
        <w:t xml:space="preserve">            </w:t>
      </w:r>
      <w:r>
        <w:rPr>
          <w:rFonts w:hint="eastAsia"/>
          <w:color w:val="000000"/>
          <w:sz w:val="28"/>
          <w:szCs w:val="28"/>
          <w:lang w:val="en-US" w:eastAsia="zh-CN"/>
        </w:rPr>
        <w:t xml:space="preserve">   </w:t>
      </w:r>
      <w:r>
        <w:rPr>
          <w:color w:val="000000"/>
          <w:sz w:val="28"/>
          <w:szCs w:val="28"/>
        </w:rPr>
        <w:t xml:space="preserve"> </w:t>
      </w:r>
      <w:r>
        <w:rPr>
          <w:rFonts w:hint="eastAsia"/>
          <w:color w:val="000000"/>
          <w:sz w:val="28"/>
          <w:szCs w:val="28"/>
        </w:rPr>
        <w:t>必修课课程目录</w:t>
      </w:r>
    </w:p>
    <w:p>
      <w:pPr>
        <w:adjustRightInd w:val="0"/>
        <w:snapToGrid w:val="0"/>
        <w:spacing w:line="360" w:lineRule="auto"/>
        <w:ind w:firstLine="570"/>
        <w:jc w:val="center"/>
        <w:rPr>
          <w:color w:val="000000"/>
          <w:sz w:val="28"/>
        </w:rPr>
      </w:pPr>
      <w:r>
        <w:rPr>
          <w:rFonts w:hint="eastAsia"/>
          <w:color w:val="000000"/>
          <w:sz w:val="28"/>
        </w:rPr>
        <w:t xml:space="preserve">物理学 </w:t>
      </w:r>
    </w:p>
    <w:tbl>
      <w:tblPr>
        <w:tblStyle w:val="1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905"/>
        <w:gridCol w:w="2537"/>
        <w:gridCol w:w="38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黑体" w:eastAsia="黑体"/>
                <w:bCs/>
                <w:color w:val="000000"/>
                <w:sz w:val="24"/>
                <w:highlight w:val="yellow"/>
              </w:rPr>
              <w:t>通识通修课</w:t>
            </w:r>
          </w:p>
        </w:tc>
        <w:tc>
          <w:tcPr>
            <w:tcW w:w="3816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黑体" w:eastAsia="黑体"/>
                <w:bCs/>
                <w:sz w:val="24"/>
                <w:highlight w:val="yellow"/>
              </w:rPr>
              <w:t>学科核心课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snapToGrid w:val="0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思想道德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与法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治</w:t>
            </w:r>
          </w:p>
        </w:tc>
        <w:tc>
          <w:tcPr>
            <w:tcW w:w="3816" w:type="dxa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大学数学C（高等数学Ⅰ-1）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snapToGrid w:val="0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中国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近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现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代史纲要</w:t>
            </w:r>
          </w:p>
        </w:tc>
        <w:tc>
          <w:tcPr>
            <w:tcW w:w="3816" w:type="dxa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大学数学C（高等数学Ⅰ-2）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snapToGrid w:val="0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马克思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主义基本原理</w:t>
            </w:r>
          </w:p>
        </w:tc>
        <w:tc>
          <w:tcPr>
            <w:tcW w:w="3816" w:type="dxa"/>
            <w:vAlign w:val="center"/>
          </w:tcPr>
          <w:p>
            <w:pPr>
              <w:snapToGrid w:val="0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大学数学C（线性代数Ⅱ）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snapToGrid w:val="0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毛泽东思想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和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中国特色社会主义理论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体系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概论</w:t>
            </w:r>
          </w:p>
        </w:tc>
        <w:tc>
          <w:tcPr>
            <w:tcW w:w="3816" w:type="dxa"/>
            <w:vAlign w:val="center"/>
          </w:tcPr>
          <w:p>
            <w:pPr>
              <w:snapToGrid w:val="0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大学数学C（概率统计Ⅱ）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思想政治理论课社会实践</w:t>
            </w:r>
          </w:p>
        </w:tc>
        <w:tc>
          <w:tcPr>
            <w:tcW w:w="3816" w:type="dxa"/>
            <w:vAlign w:val="center"/>
          </w:tcPr>
          <w:p>
            <w:pPr>
              <w:snapToGrid w:val="0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力学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3816" w:type="dxa"/>
            <w:vAlign w:val="center"/>
          </w:tcPr>
          <w:p>
            <w:pPr>
              <w:snapToGrid w:val="0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军事理论</w:t>
            </w:r>
          </w:p>
        </w:tc>
        <w:tc>
          <w:tcPr>
            <w:tcW w:w="3816" w:type="dxa"/>
            <w:vAlign w:val="center"/>
          </w:tcPr>
          <w:p>
            <w:pPr>
              <w:snapToGrid w:val="0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电磁学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军事技能</w:t>
            </w:r>
          </w:p>
        </w:tc>
        <w:tc>
          <w:tcPr>
            <w:tcW w:w="3816" w:type="dxa"/>
            <w:vAlign w:val="center"/>
          </w:tcPr>
          <w:p>
            <w:pPr>
              <w:snapToGrid w:val="0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普通物理实验1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bookmarkStart w:id="0" w:name="OLE_LINK18"/>
            <w:r>
              <w:rPr>
                <w:rFonts w:hint="eastAsia" w:ascii="宋体" w:hAnsi="宋体"/>
                <w:color w:val="000000"/>
                <w:sz w:val="18"/>
                <w:szCs w:val="18"/>
              </w:rPr>
              <w:t>大学体育</w:t>
            </w:r>
            <w:bookmarkEnd w:id="0"/>
            <w:r>
              <w:rPr>
                <w:rFonts w:hint="eastAsia" w:ascii="宋体" w:hAnsi="宋体"/>
                <w:color w:val="000000"/>
                <w:sz w:val="18"/>
                <w:szCs w:val="18"/>
              </w:rPr>
              <w:t>1</w:t>
            </w:r>
          </w:p>
        </w:tc>
        <w:tc>
          <w:tcPr>
            <w:tcW w:w="3816" w:type="dxa"/>
            <w:vAlign w:val="center"/>
          </w:tcPr>
          <w:p>
            <w:pPr>
              <w:snapToGrid w:val="0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普通物理实验2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大学体育2</w:t>
            </w:r>
          </w:p>
        </w:tc>
        <w:tc>
          <w:tcPr>
            <w:tcW w:w="3816" w:type="dxa"/>
            <w:vAlign w:val="center"/>
          </w:tcPr>
          <w:p>
            <w:pPr>
              <w:snapToGrid w:val="0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光学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大学体育3</w:t>
            </w:r>
          </w:p>
        </w:tc>
        <w:tc>
          <w:tcPr>
            <w:tcW w:w="3816" w:type="dxa"/>
            <w:vAlign w:val="center"/>
          </w:tcPr>
          <w:p>
            <w:pPr>
              <w:snapToGrid w:val="0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数学物理方法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大学体育4</w:t>
            </w:r>
          </w:p>
        </w:tc>
        <w:tc>
          <w:tcPr>
            <w:tcW w:w="3816" w:type="dxa"/>
            <w:vAlign w:val="center"/>
          </w:tcPr>
          <w:p>
            <w:pPr>
              <w:snapToGrid w:val="0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原子物理学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大学英语1</w:t>
            </w:r>
          </w:p>
        </w:tc>
        <w:tc>
          <w:tcPr>
            <w:tcW w:w="3816" w:type="dxa"/>
            <w:vAlign w:val="center"/>
          </w:tcPr>
          <w:p>
            <w:pPr>
              <w:snapToGrid w:val="0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计算物理与</w:t>
            </w:r>
            <w:r>
              <w:rPr>
                <w:rFonts w:ascii="宋体" w:hAnsi="宋体"/>
                <w:sz w:val="18"/>
                <w:szCs w:val="18"/>
              </w:rPr>
              <w:t>M</w:t>
            </w:r>
            <w:r>
              <w:rPr>
                <w:rFonts w:hint="eastAsia" w:ascii="宋体" w:hAnsi="宋体"/>
                <w:sz w:val="18"/>
                <w:szCs w:val="18"/>
              </w:rPr>
              <w:t>atLab程序设计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大学英语2</w:t>
            </w:r>
          </w:p>
        </w:tc>
        <w:tc>
          <w:tcPr>
            <w:tcW w:w="3816" w:type="dxa"/>
            <w:vAlign w:val="center"/>
          </w:tcPr>
          <w:p>
            <w:pPr>
              <w:snapToGrid w:val="0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计算物理与</w:t>
            </w:r>
            <w:r>
              <w:rPr>
                <w:rFonts w:ascii="宋体" w:hAnsi="宋体"/>
                <w:sz w:val="18"/>
                <w:szCs w:val="18"/>
              </w:rPr>
              <w:t>M</w:t>
            </w:r>
            <w:r>
              <w:rPr>
                <w:rFonts w:hint="eastAsia" w:ascii="宋体" w:hAnsi="宋体"/>
                <w:sz w:val="18"/>
                <w:szCs w:val="18"/>
              </w:rPr>
              <w:t>atLab程序设计上机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大学英语3</w:t>
            </w:r>
          </w:p>
        </w:tc>
        <w:tc>
          <w:tcPr>
            <w:tcW w:w="3816" w:type="dxa"/>
            <w:vAlign w:val="center"/>
          </w:tcPr>
          <w:p>
            <w:pPr>
              <w:snapToGrid w:val="0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近代物理实验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大学英语4</w:t>
            </w:r>
          </w:p>
        </w:tc>
        <w:tc>
          <w:tcPr>
            <w:tcW w:w="3816" w:type="dxa"/>
            <w:vAlign w:val="center"/>
          </w:tcPr>
          <w:p>
            <w:pPr>
              <w:snapToGrid w:val="0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adjustRightInd w:val="0"/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大学计算机C</w:t>
            </w:r>
          </w:p>
        </w:tc>
        <w:tc>
          <w:tcPr>
            <w:tcW w:w="3816" w:type="dxa"/>
            <w:vAlign w:val="center"/>
          </w:tcPr>
          <w:p>
            <w:pPr>
              <w:autoSpaceDE w:val="0"/>
              <w:autoSpaceDN w:val="0"/>
              <w:rPr>
                <w:rFonts w:asci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adjustRightInd w:val="0"/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C语言程序设计</w:t>
            </w:r>
          </w:p>
        </w:tc>
        <w:tc>
          <w:tcPr>
            <w:tcW w:w="3816" w:type="dxa"/>
            <w:vAlign w:val="center"/>
          </w:tcPr>
          <w:p>
            <w:pPr>
              <w:autoSpaceDE w:val="0"/>
              <w:autoSpaceDN w:val="0"/>
              <w:rPr>
                <w:rFonts w:asci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C语言程序设计实验</w:t>
            </w:r>
          </w:p>
        </w:tc>
        <w:tc>
          <w:tcPr>
            <w:tcW w:w="3816" w:type="dxa"/>
            <w:vAlign w:val="center"/>
          </w:tcPr>
          <w:p>
            <w:pPr>
              <w:autoSpaceDE w:val="0"/>
              <w:autoSpaceDN w:val="0"/>
              <w:rPr>
                <w:rFonts w:asci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大学语文</w:t>
            </w:r>
          </w:p>
        </w:tc>
        <w:tc>
          <w:tcPr>
            <w:tcW w:w="3816" w:type="dxa"/>
            <w:vAlign w:val="center"/>
          </w:tcPr>
          <w:p>
            <w:pPr>
              <w:autoSpaceDE w:val="0"/>
              <w:autoSpaceDN w:val="0"/>
              <w:rPr>
                <w:rFonts w:asci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1905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大学生职业生涯规划</w:t>
            </w:r>
          </w:p>
        </w:tc>
        <w:tc>
          <w:tcPr>
            <w:tcW w:w="2537" w:type="dxa"/>
            <w:vMerge w:val="restart"/>
            <w:vAlign w:val="center"/>
          </w:tcPr>
          <w:p>
            <w:pPr>
              <w:adjustRightInd w:val="0"/>
              <w:snapToGrid w:val="0"/>
              <w:spacing w:line="56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如有不及格，无推免资格。</w:t>
            </w:r>
          </w:p>
          <w:p>
            <w:pPr>
              <w:adjustRightInd w:val="0"/>
              <w:snapToGrid w:val="0"/>
              <w:spacing w:line="56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已修读的学生，其课程成绩纳入平均学分绩点计算，未修读的学生不纳入平均学分绩点计算。</w:t>
            </w:r>
          </w:p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16" w:type="dxa"/>
            <w:vAlign w:val="center"/>
          </w:tcPr>
          <w:p>
            <w:pPr>
              <w:autoSpaceDE w:val="0"/>
              <w:autoSpaceDN w:val="0"/>
              <w:rPr>
                <w:rFonts w:asci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1905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创业基础</w:t>
            </w:r>
          </w:p>
        </w:tc>
        <w:tc>
          <w:tcPr>
            <w:tcW w:w="2537" w:type="dxa"/>
            <w:vMerge w:val="continue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16" w:type="dxa"/>
            <w:vAlign w:val="center"/>
          </w:tcPr>
          <w:p>
            <w:pPr>
              <w:autoSpaceDE w:val="0"/>
              <w:autoSpaceDN w:val="0"/>
              <w:rPr>
                <w:rFonts w:asci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1905" w:type="dxa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艺术导论</w:t>
            </w:r>
          </w:p>
        </w:tc>
        <w:tc>
          <w:tcPr>
            <w:tcW w:w="2537" w:type="dxa"/>
            <w:vMerge w:val="continue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16" w:type="dxa"/>
            <w:vAlign w:val="center"/>
          </w:tcPr>
          <w:p>
            <w:pPr>
              <w:autoSpaceDE w:val="0"/>
              <w:autoSpaceDN w:val="0"/>
              <w:rPr>
                <w:rFonts w:asci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1905" w:type="dxa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美术鉴赏</w:t>
            </w:r>
          </w:p>
        </w:tc>
        <w:tc>
          <w:tcPr>
            <w:tcW w:w="2537" w:type="dxa"/>
            <w:vMerge w:val="continue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16" w:type="dxa"/>
            <w:vAlign w:val="center"/>
          </w:tcPr>
          <w:p>
            <w:pPr>
              <w:autoSpaceDE w:val="0"/>
              <w:autoSpaceDN w:val="0"/>
              <w:rPr>
                <w:rFonts w:asci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1905" w:type="dxa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书法鉴赏</w:t>
            </w:r>
          </w:p>
        </w:tc>
        <w:tc>
          <w:tcPr>
            <w:tcW w:w="2537" w:type="dxa"/>
            <w:vMerge w:val="continue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16" w:type="dxa"/>
            <w:vAlign w:val="center"/>
          </w:tcPr>
          <w:p>
            <w:pPr>
              <w:autoSpaceDE w:val="0"/>
              <w:autoSpaceDN w:val="0"/>
              <w:rPr>
                <w:rFonts w:asci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1905" w:type="dxa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舞蹈鉴赏</w:t>
            </w:r>
          </w:p>
        </w:tc>
        <w:tc>
          <w:tcPr>
            <w:tcW w:w="2537" w:type="dxa"/>
            <w:vMerge w:val="continue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16" w:type="dxa"/>
            <w:vAlign w:val="center"/>
          </w:tcPr>
          <w:p>
            <w:pPr>
              <w:autoSpaceDE w:val="0"/>
              <w:autoSpaceDN w:val="0"/>
              <w:rPr>
                <w:rFonts w:asci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1905" w:type="dxa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戏剧鉴赏</w:t>
            </w:r>
          </w:p>
        </w:tc>
        <w:tc>
          <w:tcPr>
            <w:tcW w:w="2537" w:type="dxa"/>
            <w:vMerge w:val="continue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16" w:type="dxa"/>
            <w:vAlign w:val="center"/>
          </w:tcPr>
          <w:p>
            <w:pPr>
              <w:autoSpaceDE w:val="0"/>
              <w:autoSpaceDN w:val="0"/>
              <w:rPr>
                <w:rFonts w:asci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1905" w:type="dxa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戏曲鉴赏</w:t>
            </w:r>
          </w:p>
        </w:tc>
        <w:tc>
          <w:tcPr>
            <w:tcW w:w="2537" w:type="dxa"/>
            <w:vMerge w:val="continue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16" w:type="dxa"/>
            <w:vAlign w:val="center"/>
          </w:tcPr>
          <w:p>
            <w:pPr>
              <w:autoSpaceDE w:val="0"/>
              <w:autoSpaceDN w:val="0"/>
              <w:rPr>
                <w:rFonts w:asci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1905" w:type="dxa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音乐鉴赏</w:t>
            </w:r>
          </w:p>
        </w:tc>
        <w:tc>
          <w:tcPr>
            <w:tcW w:w="2537" w:type="dxa"/>
            <w:vMerge w:val="continue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16" w:type="dxa"/>
            <w:vAlign w:val="center"/>
          </w:tcPr>
          <w:p>
            <w:pPr>
              <w:autoSpaceDE w:val="0"/>
              <w:autoSpaceDN w:val="0"/>
              <w:rPr>
                <w:rFonts w:asci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1905" w:type="dxa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影视鉴赏</w:t>
            </w:r>
          </w:p>
        </w:tc>
        <w:tc>
          <w:tcPr>
            <w:tcW w:w="2537" w:type="dxa"/>
            <w:vMerge w:val="continue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16" w:type="dxa"/>
            <w:vAlign w:val="center"/>
          </w:tcPr>
          <w:p>
            <w:pPr>
              <w:autoSpaceDE w:val="0"/>
              <w:autoSpaceDN w:val="0"/>
              <w:rPr>
                <w:rFonts w:asci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黑体" w:eastAsia="黑体"/>
                <w:bCs/>
                <w:sz w:val="24"/>
                <w:highlight w:val="yellow"/>
              </w:rPr>
              <w:t>专业核心课</w:t>
            </w:r>
          </w:p>
        </w:tc>
        <w:tc>
          <w:tcPr>
            <w:tcW w:w="3816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理论力学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热力学统计物理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电动力学1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量子力学1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固体物理学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</w:tbl>
    <w:p>
      <w:pPr>
        <w:adjustRightInd w:val="0"/>
        <w:snapToGrid w:val="0"/>
        <w:spacing w:line="360" w:lineRule="auto"/>
        <w:ind w:firstLine="570"/>
        <w:jc w:val="center"/>
        <w:rPr>
          <w:color w:val="000000"/>
          <w:sz w:val="28"/>
        </w:rPr>
      </w:pPr>
    </w:p>
    <w:p>
      <w:pPr>
        <w:adjustRightInd w:val="0"/>
        <w:snapToGrid w:val="0"/>
        <w:spacing w:line="360" w:lineRule="auto"/>
        <w:ind w:firstLine="570"/>
        <w:jc w:val="center"/>
        <w:rPr>
          <w:color w:val="000000"/>
          <w:sz w:val="28"/>
        </w:rPr>
      </w:pPr>
      <w:r>
        <w:rPr>
          <w:rFonts w:hint="eastAsia"/>
          <w:color w:val="000000"/>
          <w:sz w:val="28"/>
        </w:rPr>
        <w:t>应用物理学</w:t>
      </w:r>
    </w:p>
    <w:tbl>
      <w:tblPr>
        <w:tblStyle w:val="1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905"/>
        <w:gridCol w:w="2537"/>
        <w:gridCol w:w="38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黑体" w:eastAsia="黑体"/>
                <w:bCs/>
                <w:color w:val="000000"/>
                <w:sz w:val="24"/>
                <w:highlight w:val="yellow"/>
              </w:rPr>
              <w:t>通识通修课</w:t>
            </w:r>
          </w:p>
        </w:tc>
        <w:tc>
          <w:tcPr>
            <w:tcW w:w="3816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黑体" w:eastAsia="黑体"/>
                <w:bCs/>
                <w:sz w:val="24"/>
                <w:highlight w:val="yellow"/>
              </w:rPr>
              <w:t>学科核心课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snapToGrid w:val="0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思想道德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与法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治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大学数学C（高等数学Ⅰ-1）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snapToGrid w:val="0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中国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近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现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代史纲要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大学数学C（高等数学Ⅰ-2）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snapToGrid w:val="0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马克思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主义基本原理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大学数学C（线性代数Ⅱ）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snapToGrid w:val="0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毛泽东思想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和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中国特色社会主义理论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体系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概论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大学数学C（概率统计Ⅱ）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思想政治理论课社会实践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力学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军事理论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电磁学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军事技能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普通物理实验1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大学体育1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普通物理实验2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大学体育2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光学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大学体育3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数学物理方法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大学体育4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原子物理学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大学英语1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计算物理与MatLab程序设计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大学英语2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计算物理与MatLab程序设计上机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大学英语3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近代物理实验(应物专业)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大学英语4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adjustRightInd w:val="0"/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大学计算机C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adjustRightInd w:val="0"/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C语言程序设计</w:t>
            </w:r>
          </w:p>
        </w:tc>
        <w:tc>
          <w:tcPr>
            <w:tcW w:w="3816" w:type="dxa"/>
            <w:vAlign w:val="center"/>
          </w:tcPr>
          <w:p>
            <w:pPr>
              <w:autoSpaceDE w:val="0"/>
              <w:autoSpaceDN w:val="0"/>
              <w:rPr>
                <w:rFonts w:asci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C语言程序设计实验</w:t>
            </w:r>
          </w:p>
        </w:tc>
        <w:tc>
          <w:tcPr>
            <w:tcW w:w="3816" w:type="dxa"/>
            <w:vAlign w:val="center"/>
          </w:tcPr>
          <w:p>
            <w:pPr>
              <w:autoSpaceDE w:val="0"/>
              <w:autoSpaceDN w:val="0"/>
              <w:rPr>
                <w:rFonts w:asci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大学语文</w:t>
            </w:r>
          </w:p>
        </w:tc>
        <w:tc>
          <w:tcPr>
            <w:tcW w:w="3816" w:type="dxa"/>
            <w:vAlign w:val="center"/>
          </w:tcPr>
          <w:p>
            <w:pPr>
              <w:autoSpaceDE w:val="0"/>
              <w:autoSpaceDN w:val="0"/>
              <w:rPr>
                <w:rFonts w:asci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1905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大学生职业生涯规划</w:t>
            </w:r>
          </w:p>
        </w:tc>
        <w:tc>
          <w:tcPr>
            <w:tcW w:w="2537" w:type="dxa"/>
            <w:vMerge w:val="restart"/>
            <w:vAlign w:val="center"/>
          </w:tcPr>
          <w:p>
            <w:pPr>
              <w:adjustRightInd w:val="0"/>
              <w:snapToGrid w:val="0"/>
              <w:spacing w:line="56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如有不及格，无推免资格。</w:t>
            </w:r>
          </w:p>
          <w:p>
            <w:pPr>
              <w:adjustRightInd w:val="0"/>
              <w:snapToGrid w:val="0"/>
              <w:spacing w:line="56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已修读的学生，其课程成绩纳入平均学分绩点计算，未修读的学生不纳入平均学分绩点计算。</w:t>
            </w:r>
          </w:p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16" w:type="dxa"/>
            <w:vAlign w:val="center"/>
          </w:tcPr>
          <w:p>
            <w:pPr>
              <w:autoSpaceDE w:val="0"/>
              <w:autoSpaceDN w:val="0"/>
              <w:rPr>
                <w:rFonts w:asci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1905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创业基础</w:t>
            </w:r>
          </w:p>
        </w:tc>
        <w:tc>
          <w:tcPr>
            <w:tcW w:w="2537" w:type="dxa"/>
            <w:vMerge w:val="continue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16" w:type="dxa"/>
            <w:vAlign w:val="center"/>
          </w:tcPr>
          <w:p>
            <w:pPr>
              <w:autoSpaceDE w:val="0"/>
              <w:autoSpaceDN w:val="0"/>
              <w:rPr>
                <w:rFonts w:asci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1905" w:type="dxa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艺术导论</w:t>
            </w:r>
          </w:p>
        </w:tc>
        <w:tc>
          <w:tcPr>
            <w:tcW w:w="2537" w:type="dxa"/>
            <w:vMerge w:val="continue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16" w:type="dxa"/>
            <w:vAlign w:val="center"/>
          </w:tcPr>
          <w:p>
            <w:pPr>
              <w:autoSpaceDE w:val="0"/>
              <w:autoSpaceDN w:val="0"/>
              <w:rPr>
                <w:rFonts w:asci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1905" w:type="dxa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美术鉴赏</w:t>
            </w:r>
          </w:p>
        </w:tc>
        <w:tc>
          <w:tcPr>
            <w:tcW w:w="2537" w:type="dxa"/>
            <w:vMerge w:val="continue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16" w:type="dxa"/>
            <w:vAlign w:val="center"/>
          </w:tcPr>
          <w:p>
            <w:pPr>
              <w:autoSpaceDE w:val="0"/>
              <w:autoSpaceDN w:val="0"/>
              <w:rPr>
                <w:rFonts w:asci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1905" w:type="dxa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书法鉴赏</w:t>
            </w:r>
          </w:p>
        </w:tc>
        <w:tc>
          <w:tcPr>
            <w:tcW w:w="2537" w:type="dxa"/>
            <w:vMerge w:val="continue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16" w:type="dxa"/>
            <w:vAlign w:val="center"/>
          </w:tcPr>
          <w:p>
            <w:pPr>
              <w:autoSpaceDE w:val="0"/>
              <w:autoSpaceDN w:val="0"/>
              <w:rPr>
                <w:rFonts w:asci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1905" w:type="dxa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舞蹈鉴赏</w:t>
            </w:r>
          </w:p>
        </w:tc>
        <w:tc>
          <w:tcPr>
            <w:tcW w:w="2537" w:type="dxa"/>
            <w:vMerge w:val="continue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16" w:type="dxa"/>
            <w:vAlign w:val="center"/>
          </w:tcPr>
          <w:p>
            <w:pPr>
              <w:autoSpaceDE w:val="0"/>
              <w:autoSpaceDN w:val="0"/>
              <w:rPr>
                <w:rFonts w:asci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1905" w:type="dxa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戏剧鉴赏</w:t>
            </w:r>
          </w:p>
        </w:tc>
        <w:tc>
          <w:tcPr>
            <w:tcW w:w="2537" w:type="dxa"/>
            <w:vMerge w:val="continue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16" w:type="dxa"/>
            <w:vAlign w:val="center"/>
          </w:tcPr>
          <w:p>
            <w:pPr>
              <w:autoSpaceDE w:val="0"/>
              <w:autoSpaceDN w:val="0"/>
              <w:rPr>
                <w:rFonts w:asci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1905" w:type="dxa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戏曲鉴赏</w:t>
            </w:r>
          </w:p>
        </w:tc>
        <w:tc>
          <w:tcPr>
            <w:tcW w:w="2537" w:type="dxa"/>
            <w:vMerge w:val="continue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16" w:type="dxa"/>
            <w:vAlign w:val="center"/>
          </w:tcPr>
          <w:p>
            <w:pPr>
              <w:autoSpaceDE w:val="0"/>
              <w:autoSpaceDN w:val="0"/>
              <w:rPr>
                <w:rFonts w:asci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1905" w:type="dxa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音乐鉴赏</w:t>
            </w:r>
          </w:p>
        </w:tc>
        <w:tc>
          <w:tcPr>
            <w:tcW w:w="2537" w:type="dxa"/>
            <w:vMerge w:val="continue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16" w:type="dxa"/>
            <w:vAlign w:val="center"/>
          </w:tcPr>
          <w:p>
            <w:pPr>
              <w:autoSpaceDE w:val="0"/>
              <w:autoSpaceDN w:val="0"/>
              <w:rPr>
                <w:rFonts w:asci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1905" w:type="dxa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影视鉴赏</w:t>
            </w:r>
          </w:p>
        </w:tc>
        <w:tc>
          <w:tcPr>
            <w:tcW w:w="2537" w:type="dxa"/>
            <w:vMerge w:val="continue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16" w:type="dxa"/>
            <w:vAlign w:val="center"/>
          </w:tcPr>
          <w:p>
            <w:pPr>
              <w:autoSpaceDE w:val="0"/>
              <w:autoSpaceDN w:val="0"/>
              <w:rPr>
                <w:rFonts w:asci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8258" w:type="dxa"/>
            <w:gridSpan w:val="3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黑体" w:eastAsia="黑体"/>
                <w:bCs/>
                <w:sz w:val="24"/>
                <w:highlight w:val="yellow"/>
              </w:rPr>
              <w:t>专业核心课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理论物理导论1（量子、理论部分）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应用物理专业实验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理论物理导论2（电动、热统部分）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发光物理基础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发光物理基础实验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应用物理专业基础实验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材料物理导论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材料物理导论实验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红外物理与技术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红外物理与技术实验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</w:tbl>
    <w:p>
      <w:pPr>
        <w:adjustRightInd w:val="0"/>
        <w:snapToGrid w:val="0"/>
        <w:spacing w:line="360" w:lineRule="auto"/>
        <w:ind w:firstLine="570"/>
        <w:jc w:val="center"/>
        <w:rPr>
          <w:color w:val="000000"/>
          <w:sz w:val="28"/>
        </w:rPr>
      </w:pPr>
      <w:r>
        <w:rPr>
          <w:rFonts w:hint="eastAsia"/>
          <w:color w:val="000000"/>
          <w:sz w:val="28"/>
        </w:rPr>
        <w:t>光电信息科学与工程</w:t>
      </w:r>
    </w:p>
    <w:tbl>
      <w:tblPr>
        <w:tblStyle w:val="1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905"/>
        <w:gridCol w:w="2537"/>
        <w:gridCol w:w="38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黑体" w:eastAsia="黑体"/>
                <w:bCs/>
                <w:color w:val="000000"/>
                <w:sz w:val="24"/>
                <w:highlight w:val="yellow"/>
              </w:rPr>
              <w:t>通识通修课</w:t>
            </w:r>
          </w:p>
        </w:tc>
        <w:tc>
          <w:tcPr>
            <w:tcW w:w="3816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黑体" w:eastAsia="黑体"/>
                <w:bCs/>
                <w:sz w:val="24"/>
                <w:highlight w:val="yellow"/>
              </w:rPr>
              <w:t>学科核心课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snapToGrid w:val="0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思想道德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与法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治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大学数学</w:t>
            </w:r>
            <w:r>
              <w:rPr>
                <w:color w:val="000000"/>
                <w:sz w:val="18"/>
                <w:szCs w:val="18"/>
              </w:rPr>
              <w:t>C</w:t>
            </w:r>
            <w:r>
              <w:rPr>
                <w:rFonts w:hint="eastAsia"/>
                <w:color w:val="000000"/>
                <w:sz w:val="18"/>
                <w:szCs w:val="18"/>
              </w:rPr>
              <w:t>（高等数学Ⅰ</w:t>
            </w:r>
            <w:r>
              <w:rPr>
                <w:color w:val="000000"/>
                <w:sz w:val="18"/>
                <w:szCs w:val="18"/>
              </w:rPr>
              <w:t>-1</w:t>
            </w:r>
            <w:r>
              <w:rPr>
                <w:rFonts w:hint="eastAsia"/>
                <w:color w:val="000000"/>
                <w:sz w:val="18"/>
                <w:szCs w:val="18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snapToGrid w:val="0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中国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近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现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代史纲要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大学数学</w:t>
            </w:r>
            <w:r>
              <w:rPr>
                <w:color w:val="000000"/>
                <w:sz w:val="18"/>
                <w:szCs w:val="18"/>
              </w:rPr>
              <w:t>C</w:t>
            </w:r>
            <w:r>
              <w:rPr>
                <w:rFonts w:hint="eastAsia"/>
                <w:color w:val="000000"/>
                <w:sz w:val="18"/>
                <w:szCs w:val="18"/>
              </w:rPr>
              <w:t>（高等数学Ⅰ</w:t>
            </w:r>
            <w:r>
              <w:rPr>
                <w:color w:val="000000"/>
                <w:sz w:val="18"/>
                <w:szCs w:val="18"/>
              </w:rPr>
              <w:t>-2</w:t>
            </w:r>
            <w:r>
              <w:rPr>
                <w:rFonts w:hint="eastAsia"/>
                <w:color w:val="000000"/>
                <w:sz w:val="18"/>
                <w:szCs w:val="18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snapToGrid w:val="0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马克思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主义基本原理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大学数学</w:t>
            </w:r>
            <w:r>
              <w:rPr>
                <w:color w:val="000000"/>
                <w:sz w:val="18"/>
                <w:szCs w:val="18"/>
              </w:rPr>
              <w:t>C</w:t>
            </w:r>
            <w:r>
              <w:rPr>
                <w:rFonts w:hint="eastAsia"/>
                <w:color w:val="000000"/>
                <w:sz w:val="18"/>
                <w:szCs w:val="18"/>
              </w:rPr>
              <w:t>（线性代数Ⅱ）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snapToGrid w:val="0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毛泽东思想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和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中国特色社会主义理论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体系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概论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大学数学</w:t>
            </w:r>
            <w:r>
              <w:rPr>
                <w:color w:val="000000"/>
                <w:sz w:val="18"/>
                <w:szCs w:val="18"/>
              </w:rPr>
              <w:t>C</w:t>
            </w:r>
            <w:r>
              <w:rPr>
                <w:rFonts w:hint="eastAsia"/>
                <w:color w:val="000000"/>
                <w:sz w:val="18"/>
                <w:szCs w:val="18"/>
              </w:rPr>
              <w:t>（概率统计Ⅱ）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思想政治理论课社会实践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普通物理（力、热部分）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电磁学基础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军事理论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普通物理实验</w:t>
            </w:r>
            <w:r>
              <w:rPr>
                <w:color w:val="000000"/>
                <w:sz w:val="18"/>
                <w:szCs w:val="18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军事技能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普通物理实验</w:t>
            </w:r>
            <w:r>
              <w:rPr>
                <w:color w:val="000000"/>
                <w:sz w:val="18"/>
                <w:szCs w:val="18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大学体育1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数学物理方法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大学体育2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物理光学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大学体育3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数字电路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大学体育4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数字电路实验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大学英语1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应用光学原理与设计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大学英语2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理论物理导论</w:t>
            </w:r>
            <w:r>
              <w:rPr>
                <w:color w:val="000000"/>
                <w:sz w:val="18"/>
                <w:szCs w:val="18"/>
              </w:rPr>
              <w:t>1</w:t>
            </w:r>
            <w:r>
              <w:rPr>
                <w:rFonts w:hint="eastAsia"/>
                <w:color w:val="000000"/>
                <w:sz w:val="18"/>
                <w:szCs w:val="18"/>
              </w:rPr>
              <w:t>（理论、电动部分）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大学英语3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理论物理导论</w:t>
            </w:r>
            <w:r>
              <w:rPr>
                <w:color w:val="000000"/>
                <w:sz w:val="18"/>
                <w:szCs w:val="18"/>
              </w:rPr>
              <w:t>2</w:t>
            </w:r>
            <w:r>
              <w:rPr>
                <w:rFonts w:hint="eastAsia"/>
                <w:color w:val="000000"/>
                <w:sz w:val="18"/>
                <w:szCs w:val="18"/>
              </w:rPr>
              <w:t>（量子部分）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大学英语4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adjustRightInd w:val="0"/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大学计算机C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adjustRightInd w:val="0"/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C语言程序设计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C语言程序设计实验</w:t>
            </w:r>
          </w:p>
        </w:tc>
        <w:tc>
          <w:tcPr>
            <w:tcW w:w="3816" w:type="dxa"/>
            <w:vAlign w:val="center"/>
          </w:tcPr>
          <w:p>
            <w:pPr>
              <w:autoSpaceDE w:val="0"/>
              <w:autoSpaceDN w:val="0"/>
              <w:rPr>
                <w:rFonts w:asci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大学语文</w:t>
            </w:r>
          </w:p>
        </w:tc>
        <w:tc>
          <w:tcPr>
            <w:tcW w:w="3816" w:type="dxa"/>
            <w:vAlign w:val="center"/>
          </w:tcPr>
          <w:p>
            <w:pPr>
              <w:autoSpaceDE w:val="0"/>
              <w:autoSpaceDN w:val="0"/>
              <w:rPr>
                <w:rFonts w:asci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1905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大学生职业生涯规划</w:t>
            </w:r>
          </w:p>
        </w:tc>
        <w:tc>
          <w:tcPr>
            <w:tcW w:w="2537" w:type="dxa"/>
            <w:vMerge w:val="restart"/>
            <w:vAlign w:val="center"/>
          </w:tcPr>
          <w:p>
            <w:pPr>
              <w:adjustRightInd w:val="0"/>
              <w:snapToGrid w:val="0"/>
              <w:spacing w:line="56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如有不及格，无推免资格。</w:t>
            </w:r>
          </w:p>
          <w:p>
            <w:pPr>
              <w:adjustRightInd w:val="0"/>
              <w:snapToGrid w:val="0"/>
              <w:spacing w:line="56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已修读的学生，其课程成绩纳入平均学分绩点计算，未修读的学生不纳入平均学分绩点计算。</w:t>
            </w:r>
          </w:p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16" w:type="dxa"/>
            <w:vAlign w:val="center"/>
          </w:tcPr>
          <w:p>
            <w:pPr>
              <w:autoSpaceDE w:val="0"/>
              <w:autoSpaceDN w:val="0"/>
              <w:rPr>
                <w:rFonts w:asci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1905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创业基础</w:t>
            </w:r>
          </w:p>
        </w:tc>
        <w:tc>
          <w:tcPr>
            <w:tcW w:w="2537" w:type="dxa"/>
            <w:vMerge w:val="continue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16" w:type="dxa"/>
            <w:vAlign w:val="center"/>
          </w:tcPr>
          <w:p>
            <w:pPr>
              <w:autoSpaceDE w:val="0"/>
              <w:autoSpaceDN w:val="0"/>
              <w:rPr>
                <w:rFonts w:asci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1905" w:type="dxa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艺术导论</w:t>
            </w:r>
          </w:p>
        </w:tc>
        <w:tc>
          <w:tcPr>
            <w:tcW w:w="2537" w:type="dxa"/>
            <w:vMerge w:val="continue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16" w:type="dxa"/>
            <w:vAlign w:val="center"/>
          </w:tcPr>
          <w:p>
            <w:pPr>
              <w:autoSpaceDE w:val="0"/>
              <w:autoSpaceDN w:val="0"/>
              <w:rPr>
                <w:rFonts w:asci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1905" w:type="dxa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美术鉴赏</w:t>
            </w:r>
          </w:p>
        </w:tc>
        <w:tc>
          <w:tcPr>
            <w:tcW w:w="2537" w:type="dxa"/>
            <w:vMerge w:val="continue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16" w:type="dxa"/>
            <w:vAlign w:val="center"/>
          </w:tcPr>
          <w:p>
            <w:pPr>
              <w:autoSpaceDE w:val="0"/>
              <w:autoSpaceDN w:val="0"/>
              <w:rPr>
                <w:rFonts w:asci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1905" w:type="dxa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书法鉴赏</w:t>
            </w:r>
          </w:p>
        </w:tc>
        <w:tc>
          <w:tcPr>
            <w:tcW w:w="2537" w:type="dxa"/>
            <w:vMerge w:val="continue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16" w:type="dxa"/>
            <w:vAlign w:val="center"/>
          </w:tcPr>
          <w:p>
            <w:pPr>
              <w:autoSpaceDE w:val="0"/>
              <w:autoSpaceDN w:val="0"/>
              <w:rPr>
                <w:rFonts w:asci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1905" w:type="dxa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舞蹈鉴赏</w:t>
            </w:r>
          </w:p>
        </w:tc>
        <w:tc>
          <w:tcPr>
            <w:tcW w:w="2537" w:type="dxa"/>
            <w:vMerge w:val="continue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16" w:type="dxa"/>
            <w:vAlign w:val="center"/>
          </w:tcPr>
          <w:p>
            <w:pPr>
              <w:autoSpaceDE w:val="0"/>
              <w:autoSpaceDN w:val="0"/>
              <w:rPr>
                <w:rFonts w:asci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1905" w:type="dxa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戏剧鉴赏</w:t>
            </w:r>
          </w:p>
        </w:tc>
        <w:tc>
          <w:tcPr>
            <w:tcW w:w="2537" w:type="dxa"/>
            <w:vMerge w:val="continue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16" w:type="dxa"/>
            <w:vAlign w:val="center"/>
          </w:tcPr>
          <w:p>
            <w:pPr>
              <w:autoSpaceDE w:val="0"/>
              <w:autoSpaceDN w:val="0"/>
              <w:rPr>
                <w:rFonts w:asci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1905" w:type="dxa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戏曲鉴赏</w:t>
            </w:r>
          </w:p>
        </w:tc>
        <w:tc>
          <w:tcPr>
            <w:tcW w:w="2537" w:type="dxa"/>
            <w:vMerge w:val="continue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16" w:type="dxa"/>
            <w:vAlign w:val="center"/>
          </w:tcPr>
          <w:p>
            <w:pPr>
              <w:autoSpaceDE w:val="0"/>
              <w:autoSpaceDN w:val="0"/>
              <w:rPr>
                <w:rFonts w:asci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1905" w:type="dxa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音乐鉴赏</w:t>
            </w:r>
          </w:p>
        </w:tc>
        <w:tc>
          <w:tcPr>
            <w:tcW w:w="2537" w:type="dxa"/>
            <w:vMerge w:val="continue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16" w:type="dxa"/>
            <w:vAlign w:val="center"/>
          </w:tcPr>
          <w:p>
            <w:pPr>
              <w:autoSpaceDE w:val="0"/>
              <w:autoSpaceDN w:val="0"/>
              <w:rPr>
                <w:rFonts w:asci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1905" w:type="dxa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影视鉴赏</w:t>
            </w:r>
          </w:p>
        </w:tc>
        <w:tc>
          <w:tcPr>
            <w:tcW w:w="2537" w:type="dxa"/>
            <w:vMerge w:val="continue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16" w:type="dxa"/>
            <w:vAlign w:val="center"/>
          </w:tcPr>
          <w:p>
            <w:pPr>
              <w:autoSpaceDE w:val="0"/>
              <w:autoSpaceDN w:val="0"/>
              <w:rPr>
                <w:rFonts w:asci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8258" w:type="dxa"/>
            <w:gridSpan w:val="3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黑体" w:eastAsia="黑体"/>
                <w:bCs/>
                <w:sz w:val="24"/>
                <w:highlight w:val="yellow"/>
              </w:rPr>
              <w:t>专业核心课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光谱学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激光原理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光电子学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信息光学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光电信息科学与工程专业基础实验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</w:tbl>
    <w:p>
      <w:pPr>
        <w:adjustRightInd w:val="0"/>
        <w:snapToGrid w:val="0"/>
        <w:spacing w:line="360" w:lineRule="auto"/>
        <w:ind w:firstLine="570"/>
        <w:jc w:val="center"/>
        <w:rPr>
          <w:color w:val="000000"/>
          <w:sz w:val="28"/>
        </w:rPr>
      </w:pPr>
    </w:p>
    <w:p>
      <w:pPr>
        <w:adjustRightInd w:val="0"/>
        <w:snapToGrid w:val="0"/>
        <w:spacing w:line="360" w:lineRule="auto"/>
        <w:ind w:firstLine="570"/>
        <w:jc w:val="center"/>
        <w:rPr>
          <w:color w:val="000000"/>
          <w:sz w:val="28"/>
        </w:rPr>
      </w:pPr>
    </w:p>
    <w:p>
      <w:pPr>
        <w:adjustRightInd w:val="0"/>
        <w:snapToGrid w:val="0"/>
        <w:spacing w:line="360" w:lineRule="auto"/>
        <w:ind w:firstLine="570"/>
        <w:jc w:val="center"/>
        <w:rPr>
          <w:color w:val="000000"/>
          <w:sz w:val="28"/>
        </w:rPr>
      </w:pPr>
      <w:r>
        <w:rPr>
          <w:rFonts w:hint="eastAsia"/>
          <w:color w:val="000000"/>
          <w:sz w:val="28"/>
        </w:rPr>
        <w:t>电子信息科学与技术</w:t>
      </w:r>
    </w:p>
    <w:tbl>
      <w:tblPr>
        <w:tblStyle w:val="1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905"/>
        <w:gridCol w:w="2537"/>
        <w:gridCol w:w="38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黑体" w:eastAsia="黑体"/>
                <w:bCs/>
                <w:color w:val="000000"/>
                <w:sz w:val="24"/>
                <w:highlight w:val="yellow"/>
              </w:rPr>
              <w:t>通识通修课</w:t>
            </w:r>
          </w:p>
        </w:tc>
        <w:tc>
          <w:tcPr>
            <w:tcW w:w="3816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黑体" w:eastAsia="黑体"/>
                <w:bCs/>
                <w:sz w:val="24"/>
                <w:highlight w:val="yellow"/>
              </w:rPr>
              <w:t>学科核心课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snapToGrid w:val="0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思想道德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与法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治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大学数学C（高等数学Ⅰ-1）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snapToGrid w:val="0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中国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近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现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代史纲要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大学数学C（高等数学Ⅰ-2）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snapToGrid w:val="0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马克思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主义基本原理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大学数学C（线性代数Ⅱ）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snapToGrid w:val="0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毛泽东思想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和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中国特色社会主义理论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体系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概论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普通物理1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思想政治理论课社会实践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普通物理2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电路分析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军事理论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普通物理实验1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军事技能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普通物理实验2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大学体育1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bookmarkStart w:id="1" w:name="RANGE!E308"/>
            <w:r>
              <w:rPr>
                <w:rFonts w:hint="eastAsia"/>
                <w:color w:val="000000"/>
                <w:sz w:val="18"/>
                <w:szCs w:val="18"/>
              </w:rPr>
              <w:t>数字电路</w:t>
            </w:r>
            <w:bookmarkEnd w:id="1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大学体育2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数字电路实验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大学体育3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信号与系统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大学体育4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bookmarkStart w:id="2" w:name="RANGE!E311"/>
            <w:r>
              <w:rPr>
                <w:rFonts w:hint="eastAsia"/>
                <w:color w:val="000000"/>
                <w:sz w:val="18"/>
                <w:szCs w:val="18"/>
              </w:rPr>
              <w:t>模拟电路</w:t>
            </w:r>
            <w:bookmarkEnd w:id="2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大学英语1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模拟电路实验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大学英语2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单片机原理与应用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大学英语3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单片机原理与应用实验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大学英语4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接口技术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adjustRightInd w:val="0"/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大学计算机C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接口技术实验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adjustRightInd w:val="0"/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C语言程序设计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C语言程序设计实验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大学语文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1905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大学生职业生涯规划</w:t>
            </w:r>
          </w:p>
        </w:tc>
        <w:tc>
          <w:tcPr>
            <w:tcW w:w="2537" w:type="dxa"/>
            <w:vMerge w:val="restart"/>
            <w:vAlign w:val="center"/>
          </w:tcPr>
          <w:p>
            <w:pPr>
              <w:adjustRightInd w:val="0"/>
              <w:snapToGrid w:val="0"/>
              <w:spacing w:line="56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如有不及格，无推免资格。</w:t>
            </w:r>
          </w:p>
          <w:p>
            <w:pPr>
              <w:adjustRightInd w:val="0"/>
              <w:snapToGrid w:val="0"/>
              <w:spacing w:line="56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已修读的学生，其课程成绩纳入平均学分绩点计算，未修读的学生不纳入平均学分绩点计算。</w:t>
            </w:r>
          </w:p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16" w:type="dxa"/>
            <w:vAlign w:val="center"/>
          </w:tcPr>
          <w:p>
            <w:pPr>
              <w:autoSpaceDE w:val="0"/>
              <w:autoSpaceDN w:val="0"/>
              <w:rPr>
                <w:rFonts w:asci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1905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创业基础</w:t>
            </w:r>
          </w:p>
        </w:tc>
        <w:tc>
          <w:tcPr>
            <w:tcW w:w="2537" w:type="dxa"/>
            <w:vMerge w:val="continue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16" w:type="dxa"/>
            <w:vAlign w:val="center"/>
          </w:tcPr>
          <w:p>
            <w:pPr>
              <w:autoSpaceDE w:val="0"/>
              <w:autoSpaceDN w:val="0"/>
              <w:rPr>
                <w:rFonts w:asci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1905" w:type="dxa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艺术导论</w:t>
            </w:r>
          </w:p>
        </w:tc>
        <w:tc>
          <w:tcPr>
            <w:tcW w:w="2537" w:type="dxa"/>
            <w:vMerge w:val="continue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16" w:type="dxa"/>
            <w:vAlign w:val="center"/>
          </w:tcPr>
          <w:p>
            <w:pPr>
              <w:autoSpaceDE w:val="0"/>
              <w:autoSpaceDN w:val="0"/>
              <w:rPr>
                <w:rFonts w:asci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1905" w:type="dxa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美术鉴赏</w:t>
            </w:r>
          </w:p>
        </w:tc>
        <w:tc>
          <w:tcPr>
            <w:tcW w:w="2537" w:type="dxa"/>
            <w:vMerge w:val="continue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16" w:type="dxa"/>
            <w:vAlign w:val="center"/>
          </w:tcPr>
          <w:p>
            <w:pPr>
              <w:autoSpaceDE w:val="0"/>
              <w:autoSpaceDN w:val="0"/>
              <w:rPr>
                <w:rFonts w:asci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1905" w:type="dxa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书法鉴赏</w:t>
            </w:r>
          </w:p>
        </w:tc>
        <w:tc>
          <w:tcPr>
            <w:tcW w:w="2537" w:type="dxa"/>
            <w:vMerge w:val="continue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16" w:type="dxa"/>
            <w:vAlign w:val="center"/>
          </w:tcPr>
          <w:p>
            <w:pPr>
              <w:autoSpaceDE w:val="0"/>
              <w:autoSpaceDN w:val="0"/>
              <w:rPr>
                <w:rFonts w:asci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1905" w:type="dxa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舞蹈鉴赏</w:t>
            </w:r>
          </w:p>
        </w:tc>
        <w:tc>
          <w:tcPr>
            <w:tcW w:w="2537" w:type="dxa"/>
            <w:vMerge w:val="continue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16" w:type="dxa"/>
            <w:vAlign w:val="center"/>
          </w:tcPr>
          <w:p>
            <w:pPr>
              <w:autoSpaceDE w:val="0"/>
              <w:autoSpaceDN w:val="0"/>
              <w:rPr>
                <w:rFonts w:asci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1905" w:type="dxa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戏剧鉴赏</w:t>
            </w:r>
          </w:p>
        </w:tc>
        <w:tc>
          <w:tcPr>
            <w:tcW w:w="2537" w:type="dxa"/>
            <w:vMerge w:val="continue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16" w:type="dxa"/>
            <w:vAlign w:val="center"/>
          </w:tcPr>
          <w:p>
            <w:pPr>
              <w:autoSpaceDE w:val="0"/>
              <w:autoSpaceDN w:val="0"/>
              <w:rPr>
                <w:rFonts w:asci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1905" w:type="dxa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戏曲鉴赏</w:t>
            </w:r>
          </w:p>
        </w:tc>
        <w:tc>
          <w:tcPr>
            <w:tcW w:w="2537" w:type="dxa"/>
            <w:vMerge w:val="continue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16" w:type="dxa"/>
            <w:vAlign w:val="center"/>
          </w:tcPr>
          <w:p>
            <w:pPr>
              <w:autoSpaceDE w:val="0"/>
              <w:autoSpaceDN w:val="0"/>
              <w:rPr>
                <w:rFonts w:asci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1905" w:type="dxa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音乐鉴赏</w:t>
            </w:r>
          </w:p>
        </w:tc>
        <w:tc>
          <w:tcPr>
            <w:tcW w:w="2537" w:type="dxa"/>
            <w:vMerge w:val="continue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16" w:type="dxa"/>
            <w:vAlign w:val="center"/>
          </w:tcPr>
          <w:p>
            <w:pPr>
              <w:autoSpaceDE w:val="0"/>
              <w:autoSpaceDN w:val="0"/>
              <w:rPr>
                <w:rFonts w:asci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1905" w:type="dxa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影视鉴赏</w:t>
            </w:r>
          </w:p>
        </w:tc>
        <w:tc>
          <w:tcPr>
            <w:tcW w:w="2537" w:type="dxa"/>
            <w:vMerge w:val="continue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16" w:type="dxa"/>
            <w:vAlign w:val="center"/>
          </w:tcPr>
          <w:p>
            <w:pPr>
              <w:autoSpaceDE w:val="0"/>
              <w:autoSpaceDN w:val="0"/>
              <w:rPr>
                <w:rFonts w:asci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8258" w:type="dxa"/>
            <w:gridSpan w:val="3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黑体" w:eastAsia="黑体"/>
                <w:bCs/>
                <w:sz w:val="24"/>
                <w:highlight w:val="yellow"/>
              </w:rPr>
              <w:t>专业核心课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微弱信号检测技术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电子测量技术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电子信息专业基础实验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电子信息专业实验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智能仪器设计与企业项目开发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光电检测技术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</w:tbl>
    <w:p>
      <w:pPr>
        <w:adjustRightInd w:val="0"/>
        <w:snapToGrid w:val="0"/>
        <w:spacing w:line="360" w:lineRule="auto"/>
        <w:ind w:firstLine="570"/>
        <w:jc w:val="center"/>
        <w:rPr>
          <w:color w:val="000000"/>
          <w:sz w:val="28"/>
        </w:rPr>
      </w:pPr>
      <w:bookmarkStart w:id="3" w:name="_GoBack"/>
      <w:bookmarkEnd w:id="3"/>
    </w:p>
    <w:p>
      <w:pPr>
        <w:adjustRightInd w:val="0"/>
        <w:snapToGrid w:val="0"/>
        <w:spacing w:line="360" w:lineRule="auto"/>
        <w:ind w:firstLine="570"/>
        <w:jc w:val="center"/>
        <w:rPr>
          <w:color w:val="000000"/>
          <w:sz w:val="28"/>
        </w:rPr>
      </w:pPr>
      <w:r>
        <w:rPr>
          <w:rFonts w:hint="eastAsia"/>
          <w:color w:val="000000"/>
          <w:sz w:val="28"/>
        </w:rPr>
        <w:t>新能源材料与器件</w:t>
      </w:r>
    </w:p>
    <w:tbl>
      <w:tblPr>
        <w:tblStyle w:val="1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905"/>
        <w:gridCol w:w="2537"/>
        <w:gridCol w:w="38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黑体" w:eastAsia="黑体"/>
                <w:bCs/>
                <w:color w:val="000000"/>
                <w:sz w:val="24"/>
                <w:highlight w:val="yellow"/>
              </w:rPr>
              <w:t>通识通修课</w:t>
            </w:r>
          </w:p>
        </w:tc>
        <w:tc>
          <w:tcPr>
            <w:tcW w:w="3816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黑体" w:eastAsia="黑体"/>
                <w:bCs/>
                <w:sz w:val="24"/>
                <w:highlight w:val="yellow"/>
              </w:rPr>
              <w:t>学科核心课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snapToGrid w:val="0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思想道德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与法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治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大学数学</w:t>
            </w:r>
            <w:r>
              <w:rPr>
                <w:color w:val="000000"/>
                <w:sz w:val="18"/>
                <w:szCs w:val="18"/>
              </w:rPr>
              <w:t>C</w:t>
            </w:r>
            <w:r>
              <w:rPr>
                <w:rFonts w:hint="eastAsia"/>
                <w:color w:val="000000"/>
                <w:sz w:val="18"/>
                <w:szCs w:val="18"/>
              </w:rPr>
              <w:t>（高等数学Ⅰ</w:t>
            </w:r>
            <w:r>
              <w:rPr>
                <w:color w:val="000000"/>
                <w:sz w:val="18"/>
                <w:szCs w:val="18"/>
              </w:rPr>
              <w:t>-1</w:t>
            </w:r>
            <w:r>
              <w:rPr>
                <w:rFonts w:hint="eastAsia"/>
                <w:color w:val="000000"/>
                <w:sz w:val="18"/>
                <w:szCs w:val="18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snapToGrid w:val="0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中国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近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现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代史纲要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大学数学</w:t>
            </w:r>
            <w:r>
              <w:rPr>
                <w:color w:val="000000"/>
                <w:sz w:val="18"/>
                <w:szCs w:val="18"/>
              </w:rPr>
              <w:t>C</w:t>
            </w:r>
            <w:r>
              <w:rPr>
                <w:rFonts w:hint="eastAsia"/>
                <w:color w:val="000000"/>
                <w:sz w:val="18"/>
                <w:szCs w:val="18"/>
              </w:rPr>
              <w:t>（高等数学Ⅰ</w:t>
            </w:r>
            <w:r>
              <w:rPr>
                <w:color w:val="000000"/>
                <w:sz w:val="18"/>
                <w:szCs w:val="18"/>
              </w:rPr>
              <w:t>-2</w:t>
            </w:r>
            <w:r>
              <w:rPr>
                <w:rFonts w:hint="eastAsia"/>
                <w:color w:val="000000"/>
                <w:sz w:val="18"/>
                <w:szCs w:val="18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snapToGrid w:val="0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马克思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主义基本原理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大学数学</w:t>
            </w:r>
            <w:r>
              <w:rPr>
                <w:color w:val="000000"/>
                <w:sz w:val="18"/>
                <w:szCs w:val="18"/>
              </w:rPr>
              <w:t>C</w:t>
            </w:r>
            <w:r>
              <w:rPr>
                <w:rFonts w:hint="eastAsia"/>
                <w:color w:val="000000"/>
                <w:sz w:val="18"/>
                <w:szCs w:val="18"/>
              </w:rPr>
              <w:t>（线性代数Ⅱ）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snapToGrid w:val="0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毛泽东思想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和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中国特色社会主义理论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体系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概论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大学数学</w:t>
            </w:r>
            <w:r>
              <w:rPr>
                <w:color w:val="000000"/>
                <w:sz w:val="18"/>
                <w:szCs w:val="18"/>
              </w:rPr>
              <w:t>C</w:t>
            </w:r>
            <w:r>
              <w:rPr>
                <w:rFonts w:hint="eastAsia"/>
                <w:color w:val="000000"/>
                <w:sz w:val="18"/>
                <w:szCs w:val="18"/>
              </w:rPr>
              <w:t>（概率统计Ⅱ）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思想政治理论课社会实践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普通物理1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普通物理2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军事理论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认识实习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军事技能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普通物理实验</w:t>
            </w:r>
            <w:r>
              <w:rPr>
                <w:color w:val="000000"/>
                <w:sz w:val="18"/>
                <w:szCs w:val="18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大学体育1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普通物理实验</w:t>
            </w:r>
            <w:r>
              <w:rPr>
                <w:color w:val="000000"/>
                <w:sz w:val="18"/>
                <w:szCs w:val="18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大学体育2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现代化学基础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大学体育3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电工电子学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大学体育4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电工电子学实验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大学英语1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物理化学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大学英语2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物理化学实验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大学英语3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新能源材料与器件专业基础实验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大学英语4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adjustRightInd w:val="0"/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大学计算机C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adjustRightInd w:val="0"/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C语言程序设计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C语言程序设计实验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大学语文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1905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大学生职业生涯规划</w:t>
            </w:r>
          </w:p>
        </w:tc>
        <w:tc>
          <w:tcPr>
            <w:tcW w:w="2537" w:type="dxa"/>
            <w:vMerge w:val="restart"/>
            <w:vAlign w:val="center"/>
          </w:tcPr>
          <w:p>
            <w:pPr>
              <w:adjustRightInd w:val="0"/>
              <w:snapToGrid w:val="0"/>
              <w:spacing w:line="56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如有不及格，无推免资格。</w:t>
            </w:r>
          </w:p>
          <w:p>
            <w:pPr>
              <w:adjustRightInd w:val="0"/>
              <w:snapToGrid w:val="0"/>
              <w:spacing w:line="56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已修读的学生，其课程成绩纳入平均学分绩点计算，未修读的学生不纳入平均学分绩点计算。</w:t>
            </w:r>
          </w:p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16" w:type="dxa"/>
            <w:vAlign w:val="center"/>
          </w:tcPr>
          <w:p>
            <w:pPr>
              <w:autoSpaceDE w:val="0"/>
              <w:autoSpaceDN w:val="0"/>
              <w:rPr>
                <w:rFonts w:asci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1905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创业基础</w:t>
            </w:r>
          </w:p>
        </w:tc>
        <w:tc>
          <w:tcPr>
            <w:tcW w:w="2537" w:type="dxa"/>
            <w:vMerge w:val="continue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16" w:type="dxa"/>
            <w:vAlign w:val="center"/>
          </w:tcPr>
          <w:p>
            <w:pPr>
              <w:autoSpaceDE w:val="0"/>
              <w:autoSpaceDN w:val="0"/>
              <w:rPr>
                <w:rFonts w:asci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1905" w:type="dxa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艺术导论</w:t>
            </w:r>
          </w:p>
        </w:tc>
        <w:tc>
          <w:tcPr>
            <w:tcW w:w="2537" w:type="dxa"/>
            <w:vMerge w:val="continue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16" w:type="dxa"/>
            <w:vAlign w:val="center"/>
          </w:tcPr>
          <w:p>
            <w:pPr>
              <w:autoSpaceDE w:val="0"/>
              <w:autoSpaceDN w:val="0"/>
              <w:rPr>
                <w:rFonts w:asci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1905" w:type="dxa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美术鉴赏</w:t>
            </w:r>
          </w:p>
        </w:tc>
        <w:tc>
          <w:tcPr>
            <w:tcW w:w="2537" w:type="dxa"/>
            <w:vMerge w:val="continue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16" w:type="dxa"/>
            <w:vAlign w:val="center"/>
          </w:tcPr>
          <w:p>
            <w:pPr>
              <w:autoSpaceDE w:val="0"/>
              <w:autoSpaceDN w:val="0"/>
              <w:rPr>
                <w:rFonts w:asci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1905" w:type="dxa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书法鉴赏</w:t>
            </w:r>
          </w:p>
        </w:tc>
        <w:tc>
          <w:tcPr>
            <w:tcW w:w="2537" w:type="dxa"/>
            <w:vMerge w:val="continue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16" w:type="dxa"/>
            <w:vAlign w:val="center"/>
          </w:tcPr>
          <w:p>
            <w:pPr>
              <w:autoSpaceDE w:val="0"/>
              <w:autoSpaceDN w:val="0"/>
              <w:rPr>
                <w:rFonts w:asci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1905" w:type="dxa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舞蹈鉴赏</w:t>
            </w:r>
          </w:p>
        </w:tc>
        <w:tc>
          <w:tcPr>
            <w:tcW w:w="2537" w:type="dxa"/>
            <w:vMerge w:val="continue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16" w:type="dxa"/>
            <w:vAlign w:val="center"/>
          </w:tcPr>
          <w:p>
            <w:pPr>
              <w:autoSpaceDE w:val="0"/>
              <w:autoSpaceDN w:val="0"/>
              <w:rPr>
                <w:rFonts w:asci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1905" w:type="dxa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戏剧鉴赏</w:t>
            </w:r>
          </w:p>
        </w:tc>
        <w:tc>
          <w:tcPr>
            <w:tcW w:w="2537" w:type="dxa"/>
            <w:vMerge w:val="continue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16" w:type="dxa"/>
            <w:vAlign w:val="center"/>
          </w:tcPr>
          <w:p>
            <w:pPr>
              <w:autoSpaceDE w:val="0"/>
              <w:autoSpaceDN w:val="0"/>
              <w:rPr>
                <w:rFonts w:asci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1905" w:type="dxa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戏曲鉴赏</w:t>
            </w:r>
          </w:p>
        </w:tc>
        <w:tc>
          <w:tcPr>
            <w:tcW w:w="2537" w:type="dxa"/>
            <w:vMerge w:val="continue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16" w:type="dxa"/>
            <w:vAlign w:val="center"/>
          </w:tcPr>
          <w:p>
            <w:pPr>
              <w:autoSpaceDE w:val="0"/>
              <w:autoSpaceDN w:val="0"/>
              <w:rPr>
                <w:rFonts w:asci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1905" w:type="dxa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音乐鉴赏</w:t>
            </w:r>
          </w:p>
        </w:tc>
        <w:tc>
          <w:tcPr>
            <w:tcW w:w="2537" w:type="dxa"/>
            <w:vMerge w:val="continue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16" w:type="dxa"/>
            <w:vAlign w:val="center"/>
          </w:tcPr>
          <w:p>
            <w:pPr>
              <w:autoSpaceDE w:val="0"/>
              <w:autoSpaceDN w:val="0"/>
              <w:rPr>
                <w:rFonts w:asci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1905" w:type="dxa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影视鉴赏</w:t>
            </w:r>
          </w:p>
        </w:tc>
        <w:tc>
          <w:tcPr>
            <w:tcW w:w="2537" w:type="dxa"/>
            <w:vMerge w:val="continue"/>
            <w:vAlign w:val="center"/>
          </w:tcPr>
          <w:p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16" w:type="dxa"/>
            <w:vAlign w:val="center"/>
          </w:tcPr>
          <w:p>
            <w:pPr>
              <w:autoSpaceDE w:val="0"/>
              <w:autoSpaceDN w:val="0"/>
              <w:rPr>
                <w:rFonts w:asci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8258" w:type="dxa"/>
            <w:gridSpan w:val="3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黑体" w:eastAsia="黑体"/>
                <w:bCs/>
                <w:sz w:val="24"/>
                <w:highlight w:val="yellow"/>
              </w:rPr>
              <w:t>专业核心课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新能源技术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材料科学基础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固体物理学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材料综合实验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半导体物理与器件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材料合成与制备技术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4442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新能源材料与器件专业实验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</w:tbl>
    <w:p>
      <w:pPr>
        <w:spacing w:line="360" w:lineRule="auto"/>
        <w:ind w:firstLine="600" w:firstLineChars="200"/>
        <w:jc w:val="left"/>
        <w:rPr>
          <w:rFonts w:ascii="方正小标宋简体" w:hAnsi="宋体" w:eastAsia="方正小标宋简体" w:cs="宋体"/>
          <w:color w:val="000000"/>
          <w:kern w:val="0"/>
          <w:sz w:val="30"/>
          <w:szCs w:val="30"/>
        </w:rPr>
      </w:pPr>
      <w:r>
        <w:rPr>
          <w:rFonts w:hint="eastAsia" w:ascii="方正小标宋简体" w:hAnsi="宋体" w:eastAsia="方正小标宋简体" w:cs="宋体"/>
          <w:color w:val="000000"/>
          <w:kern w:val="0"/>
          <w:sz w:val="30"/>
          <w:szCs w:val="30"/>
        </w:rPr>
        <w:t>注：如所学必修外语课为英语之外的，按所学课程计算成绩。</w:t>
      </w:r>
    </w:p>
    <w:sectPr>
      <w:footerReference r:id="rId3" w:type="default"/>
      <w:footerReference r:id="rId4" w:type="even"/>
      <w:pgSz w:w="11906" w:h="16838"/>
      <w:pgMar w:top="907" w:right="1588" w:bottom="907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方正小标宋简体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w:rPr>
        <w:lang w:val="zh-CN"/>
      </w:rPr>
      <w:t xml:space="preserve">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lang w:val="zh-CN"/>
      </w:rPr>
      <w:t xml:space="preserve"> / </w:t>
    </w:r>
    <w:r>
      <w:fldChar w:fldCharType="begin"/>
    </w:r>
    <w:r>
      <w:instrText xml:space="preserve"> NUMPAGES  </w:instrText>
    </w:r>
    <w:r>
      <w:fldChar w:fldCharType="separate"/>
    </w:r>
    <w:r>
      <w:t>6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framePr w:wrap="around" w:vAnchor="text" w:hAnchor="margin" w:xAlign="center" w:y="1"/>
      <w:rPr>
        <w:rStyle w:val="13"/>
      </w:rPr>
    </w:pPr>
    <w:r>
      <w:fldChar w:fldCharType="begin"/>
    </w:r>
    <w:r>
      <w:rPr>
        <w:rStyle w:val="13"/>
      </w:rPr>
      <w:instrText xml:space="preserve">PAGE  </w:instrText>
    </w:r>
    <w:r>
      <w:fldChar w:fldCharType="end"/>
    </w:r>
  </w:p>
  <w:p>
    <w:pPr>
      <w:pStyle w:val="8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DY1NjA0NGE4NjQyNWVhMmUyYmRhNmYwNzNmZTIyNTAifQ=="/>
    <w:docVar w:name="KSO_WPS_MARK_KEY" w:val="f741d793-0428-452b-ad0a-114bc4d0f163"/>
  </w:docVars>
  <w:rsids>
    <w:rsidRoot w:val="00155DE7"/>
    <w:rsid w:val="00005BDE"/>
    <w:rsid w:val="0001777C"/>
    <w:rsid w:val="000309AA"/>
    <w:rsid w:val="00043085"/>
    <w:rsid w:val="0007370C"/>
    <w:rsid w:val="00075249"/>
    <w:rsid w:val="00094477"/>
    <w:rsid w:val="00096035"/>
    <w:rsid w:val="000A4AF0"/>
    <w:rsid w:val="000C5952"/>
    <w:rsid w:val="000E30EA"/>
    <w:rsid w:val="000F55B7"/>
    <w:rsid w:val="00105F57"/>
    <w:rsid w:val="001101FF"/>
    <w:rsid w:val="00121A29"/>
    <w:rsid w:val="00153794"/>
    <w:rsid w:val="00155DE7"/>
    <w:rsid w:val="001579F8"/>
    <w:rsid w:val="001676EA"/>
    <w:rsid w:val="001718CA"/>
    <w:rsid w:val="00173542"/>
    <w:rsid w:val="00195FC9"/>
    <w:rsid w:val="001C6B3E"/>
    <w:rsid w:val="001D2314"/>
    <w:rsid w:val="001E2BA5"/>
    <w:rsid w:val="001E5C63"/>
    <w:rsid w:val="00201BDF"/>
    <w:rsid w:val="00211C8E"/>
    <w:rsid w:val="0022387A"/>
    <w:rsid w:val="00245AA7"/>
    <w:rsid w:val="002727F8"/>
    <w:rsid w:val="00280248"/>
    <w:rsid w:val="00293E4E"/>
    <w:rsid w:val="002943AE"/>
    <w:rsid w:val="00296A9F"/>
    <w:rsid w:val="002B2342"/>
    <w:rsid w:val="002C4986"/>
    <w:rsid w:val="002D7493"/>
    <w:rsid w:val="00321EEA"/>
    <w:rsid w:val="0033440B"/>
    <w:rsid w:val="00354B13"/>
    <w:rsid w:val="00371FF2"/>
    <w:rsid w:val="003734B3"/>
    <w:rsid w:val="00385143"/>
    <w:rsid w:val="003D61DF"/>
    <w:rsid w:val="00410BAD"/>
    <w:rsid w:val="00434CAF"/>
    <w:rsid w:val="004664A2"/>
    <w:rsid w:val="00476872"/>
    <w:rsid w:val="004A13AA"/>
    <w:rsid w:val="004E3790"/>
    <w:rsid w:val="004E7E91"/>
    <w:rsid w:val="004F4A7D"/>
    <w:rsid w:val="00552456"/>
    <w:rsid w:val="00573F6C"/>
    <w:rsid w:val="005B1BA8"/>
    <w:rsid w:val="005B27CE"/>
    <w:rsid w:val="005B52CD"/>
    <w:rsid w:val="005C5429"/>
    <w:rsid w:val="005E2369"/>
    <w:rsid w:val="005F3516"/>
    <w:rsid w:val="00615CD6"/>
    <w:rsid w:val="00627E03"/>
    <w:rsid w:val="00637BBB"/>
    <w:rsid w:val="00693896"/>
    <w:rsid w:val="00693AF3"/>
    <w:rsid w:val="00695637"/>
    <w:rsid w:val="006B0E4E"/>
    <w:rsid w:val="006B5FD5"/>
    <w:rsid w:val="006C2AC5"/>
    <w:rsid w:val="006C3B92"/>
    <w:rsid w:val="006C4069"/>
    <w:rsid w:val="006D3948"/>
    <w:rsid w:val="006D4F0F"/>
    <w:rsid w:val="006D5D2C"/>
    <w:rsid w:val="006E4F3D"/>
    <w:rsid w:val="00704489"/>
    <w:rsid w:val="007130D4"/>
    <w:rsid w:val="00731746"/>
    <w:rsid w:val="00736E84"/>
    <w:rsid w:val="007438EE"/>
    <w:rsid w:val="0076563F"/>
    <w:rsid w:val="007765A6"/>
    <w:rsid w:val="00780758"/>
    <w:rsid w:val="00797FEC"/>
    <w:rsid w:val="007C11B8"/>
    <w:rsid w:val="007D7928"/>
    <w:rsid w:val="007E65BD"/>
    <w:rsid w:val="007F0560"/>
    <w:rsid w:val="0084457D"/>
    <w:rsid w:val="00845A96"/>
    <w:rsid w:val="00854ED9"/>
    <w:rsid w:val="008A3CA4"/>
    <w:rsid w:val="008B0D67"/>
    <w:rsid w:val="008B7D22"/>
    <w:rsid w:val="008C37A5"/>
    <w:rsid w:val="008C711D"/>
    <w:rsid w:val="008D59F8"/>
    <w:rsid w:val="008D7722"/>
    <w:rsid w:val="008F106E"/>
    <w:rsid w:val="00900F9A"/>
    <w:rsid w:val="00902213"/>
    <w:rsid w:val="00906570"/>
    <w:rsid w:val="009153F3"/>
    <w:rsid w:val="009175A8"/>
    <w:rsid w:val="00931DE3"/>
    <w:rsid w:val="009344A1"/>
    <w:rsid w:val="00957FCD"/>
    <w:rsid w:val="009623FB"/>
    <w:rsid w:val="0098205D"/>
    <w:rsid w:val="00982751"/>
    <w:rsid w:val="00987000"/>
    <w:rsid w:val="009A782D"/>
    <w:rsid w:val="009C4413"/>
    <w:rsid w:val="009C5501"/>
    <w:rsid w:val="00A05548"/>
    <w:rsid w:val="00A10F94"/>
    <w:rsid w:val="00A172D9"/>
    <w:rsid w:val="00A22226"/>
    <w:rsid w:val="00A30CE9"/>
    <w:rsid w:val="00A6014A"/>
    <w:rsid w:val="00A67E39"/>
    <w:rsid w:val="00A738EF"/>
    <w:rsid w:val="00AB4F06"/>
    <w:rsid w:val="00AF6029"/>
    <w:rsid w:val="00B01CB4"/>
    <w:rsid w:val="00B122A5"/>
    <w:rsid w:val="00B228DF"/>
    <w:rsid w:val="00B22EC2"/>
    <w:rsid w:val="00B23C74"/>
    <w:rsid w:val="00B36E38"/>
    <w:rsid w:val="00B6378D"/>
    <w:rsid w:val="00B6667C"/>
    <w:rsid w:val="00B96314"/>
    <w:rsid w:val="00B97A89"/>
    <w:rsid w:val="00BA312D"/>
    <w:rsid w:val="00BB32AC"/>
    <w:rsid w:val="00BE1767"/>
    <w:rsid w:val="00BE56A2"/>
    <w:rsid w:val="00C043CE"/>
    <w:rsid w:val="00C066BC"/>
    <w:rsid w:val="00C17272"/>
    <w:rsid w:val="00C30C9B"/>
    <w:rsid w:val="00C53F69"/>
    <w:rsid w:val="00CB6014"/>
    <w:rsid w:val="00CD69D4"/>
    <w:rsid w:val="00CD7BBB"/>
    <w:rsid w:val="00D15CE2"/>
    <w:rsid w:val="00D31385"/>
    <w:rsid w:val="00D3206D"/>
    <w:rsid w:val="00D505E8"/>
    <w:rsid w:val="00D56F58"/>
    <w:rsid w:val="00D6737E"/>
    <w:rsid w:val="00D81C7B"/>
    <w:rsid w:val="00D83BE6"/>
    <w:rsid w:val="00D90B0A"/>
    <w:rsid w:val="00DA4A1D"/>
    <w:rsid w:val="00DB4B8A"/>
    <w:rsid w:val="00DD2FA4"/>
    <w:rsid w:val="00DF518D"/>
    <w:rsid w:val="00DF666A"/>
    <w:rsid w:val="00E0696D"/>
    <w:rsid w:val="00E32E86"/>
    <w:rsid w:val="00E42B94"/>
    <w:rsid w:val="00EB2B8C"/>
    <w:rsid w:val="00EB3F25"/>
    <w:rsid w:val="00ED09FC"/>
    <w:rsid w:val="00ED593E"/>
    <w:rsid w:val="00EE779D"/>
    <w:rsid w:val="00EF624F"/>
    <w:rsid w:val="00F006E0"/>
    <w:rsid w:val="00F06979"/>
    <w:rsid w:val="00F2062F"/>
    <w:rsid w:val="00F642E4"/>
    <w:rsid w:val="00F94458"/>
    <w:rsid w:val="00FA1493"/>
    <w:rsid w:val="00FA3612"/>
    <w:rsid w:val="00FC2842"/>
    <w:rsid w:val="00FE1A26"/>
    <w:rsid w:val="01916216"/>
    <w:rsid w:val="044C6E68"/>
    <w:rsid w:val="05283431"/>
    <w:rsid w:val="053242B0"/>
    <w:rsid w:val="08AC093C"/>
    <w:rsid w:val="0A0F7531"/>
    <w:rsid w:val="0B5C5BE2"/>
    <w:rsid w:val="0D9D24E2"/>
    <w:rsid w:val="17C3523B"/>
    <w:rsid w:val="210B0010"/>
    <w:rsid w:val="22B91715"/>
    <w:rsid w:val="29A22F02"/>
    <w:rsid w:val="2CBC252D"/>
    <w:rsid w:val="31E3230A"/>
    <w:rsid w:val="32171FB4"/>
    <w:rsid w:val="341449FD"/>
    <w:rsid w:val="3491604D"/>
    <w:rsid w:val="364D41F6"/>
    <w:rsid w:val="3A9A2FE2"/>
    <w:rsid w:val="471072A6"/>
    <w:rsid w:val="4C431ECB"/>
    <w:rsid w:val="4EBA2629"/>
    <w:rsid w:val="516A1CA8"/>
    <w:rsid w:val="53654E1D"/>
    <w:rsid w:val="57437223"/>
    <w:rsid w:val="58D2260D"/>
    <w:rsid w:val="5F2B2A77"/>
    <w:rsid w:val="6EE917A0"/>
    <w:rsid w:val="770A79A4"/>
    <w:rsid w:val="7FCA1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unhideWhenUsed="0" w:uiPriority="5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link w:val="21"/>
    <w:qFormat/>
    <w:uiPriority w:val="0"/>
    <w:pPr>
      <w:ind w:firstLine="600"/>
    </w:pPr>
    <w:rPr>
      <w:sz w:val="24"/>
    </w:rPr>
  </w:style>
  <w:style w:type="paragraph" w:styleId="4">
    <w:name w:val="Plain Text"/>
    <w:basedOn w:val="1"/>
    <w:link w:val="24"/>
    <w:qFormat/>
    <w:uiPriority w:val="0"/>
    <w:rPr>
      <w:rFonts w:ascii="宋体" w:hAnsi="Courier New"/>
      <w:szCs w:val="20"/>
    </w:rPr>
  </w:style>
  <w:style w:type="paragraph" w:styleId="5">
    <w:name w:val="Date"/>
    <w:basedOn w:val="1"/>
    <w:next w:val="1"/>
    <w:link w:val="17"/>
    <w:uiPriority w:val="0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kern w:val="0"/>
      <w:sz w:val="18"/>
      <w:szCs w:val="18"/>
    </w:rPr>
  </w:style>
  <w:style w:type="paragraph" w:styleId="6">
    <w:name w:val="Body Text Indent 2"/>
    <w:basedOn w:val="1"/>
    <w:link w:val="22"/>
    <w:qFormat/>
    <w:uiPriority w:val="0"/>
    <w:pPr>
      <w:spacing w:afterLines="50"/>
      <w:ind w:firstLine="480" w:firstLineChars="200"/>
    </w:pPr>
    <w:rPr>
      <w:sz w:val="24"/>
    </w:rPr>
  </w:style>
  <w:style w:type="paragraph" w:styleId="7">
    <w:name w:val="Balloon Text"/>
    <w:basedOn w:val="1"/>
    <w:link w:val="18"/>
    <w:semiHidden/>
    <w:qFormat/>
    <w:uiPriority w:val="0"/>
    <w:rPr>
      <w:sz w:val="18"/>
      <w:szCs w:val="18"/>
    </w:rPr>
  </w:style>
  <w:style w:type="paragraph" w:styleId="8">
    <w:name w:val="footer"/>
    <w:basedOn w:val="1"/>
    <w:link w:val="2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13">
    <w:name w:val="page number"/>
    <w:basedOn w:val="12"/>
    <w:qFormat/>
    <w:uiPriority w:val="0"/>
  </w:style>
  <w:style w:type="character" w:styleId="14">
    <w:name w:val="Hyperlink"/>
    <w:qFormat/>
    <w:uiPriority w:val="0"/>
    <w:rPr>
      <w:color w:val="000000"/>
      <w:u w:val="single"/>
    </w:rPr>
  </w:style>
  <w:style w:type="character" w:customStyle="1" w:styleId="15">
    <w:name w:val="标题 1 字符"/>
    <w:basedOn w:val="12"/>
    <w:link w:val="2"/>
    <w:uiPriority w:val="0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customStyle="1" w:styleId="16">
    <w:name w:val="样式1"/>
    <w:basedOn w:val="9"/>
    <w:qFormat/>
    <w:uiPriority w:val="0"/>
  </w:style>
  <w:style w:type="character" w:customStyle="1" w:styleId="17">
    <w:name w:val="日期 字符"/>
    <w:basedOn w:val="12"/>
    <w:link w:val="5"/>
    <w:qFormat/>
    <w:uiPriority w:val="0"/>
    <w:rPr>
      <w:rFonts w:ascii="Arial Unicode MS" w:hAnsi="Arial Unicode MS" w:eastAsia="Arial Unicode MS" w:cs="Arial Unicode MS"/>
      <w:kern w:val="0"/>
      <w:sz w:val="18"/>
      <w:szCs w:val="18"/>
    </w:rPr>
  </w:style>
  <w:style w:type="character" w:customStyle="1" w:styleId="18">
    <w:name w:val="批注框文本 字符"/>
    <w:basedOn w:val="12"/>
    <w:link w:val="7"/>
    <w:semiHidden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9">
    <w:name w:val="页眉 字符"/>
    <w:basedOn w:val="12"/>
    <w:link w:val="9"/>
    <w:qFormat/>
    <w:uiPriority w:val="0"/>
    <w:rPr>
      <w:rFonts w:ascii="Times New Roman" w:hAnsi="Times New Roman" w:eastAsia="宋体" w:cs="Times New Roman"/>
      <w:sz w:val="18"/>
      <w:szCs w:val="18"/>
    </w:rPr>
  </w:style>
  <w:style w:type="paragraph" w:customStyle="1" w:styleId="20">
    <w:name w:val="列出段落1"/>
    <w:basedOn w:val="1"/>
    <w:qFormat/>
    <w:uiPriority w:val="34"/>
    <w:pPr>
      <w:ind w:firstLine="420" w:firstLineChars="200"/>
    </w:pPr>
  </w:style>
  <w:style w:type="character" w:customStyle="1" w:styleId="21">
    <w:name w:val="正文文本缩进 字符"/>
    <w:basedOn w:val="12"/>
    <w:link w:val="3"/>
    <w:qFormat/>
    <w:uiPriority w:val="0"/>
    <w:rPr>
      <w:rFonts w:ascii="Times New Roman" w:hAnsi="Times New Roman" w:eastAsia="宋体" w:cs="Times New Roman"/>
      <w:sz w:val="24"/>
      <w:szCs w:val="24"/>
    </w:rPr>
  </w:style>
  <w:style w:type="character" w:customStyle="1" w:styleId="22">
    <w:name w:val="正文文本缩进 2 字符"/>
    <w:basedOn w:val="12"/>
    <w:link w:val="6"/>
    <w:qFormat/>
    <w:uiPriority w:val="0"/>
    <w:rPr>
      <w:rFonts w:ascii="Times New Roman" w:hAnsi="Times New Roman" w:eastAsia="宋体" w:cs="Times New Roman"/>
      <w:sz w:val="24"/>
      <w:szCs w:val="24"/>
    </w:rPr>
  </w:style>
  <w:style w:type="character" w:customStyle="1" w:styleId="23">
    <w:name w:val="页脚 字符"/>
    <w:basedOn w:val="12"/>
    <w:link w:val="8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4">
    <w:name w:val="纯文本 字符"/>
    <w:basedOn w:val="12"/>
    <w:link w:val="4"/>
    <w:qFormat/>
    <w:uiPriority w:val="0"/>
    <w:rPr>
      <w:rFonts w:ascii="宋体" w:hAnsi="Courier New" w:eastAsia="宋体" w:cs="Times New Roman"/>
      <w:szCs w:val="20"/>
    </w:rPr>
  </w:style>
  <w:style w:type="paragraph" w:customStyle="1" w:styleId="25">
    <w:name w:val="List Paragraph1"/>
    <w:basedOn w:val="1"/>
    <w:qFormat/>
    <w:uiPriority w:val="99"/>
    <w:pPr>
      <w:ind w:firstLine="420" w:firstLineChars="200"/>
    </w:pPr>
    <w:rPr>
      <w:rFonts w:ascii="Calibri" w:hAnsi="Calibri"/>
      <w:szCs w:val="22"/>
    </w:rPr>
  </w:style>
  <w:style w:type="character" w:styleId="26">
    <w:name w:val="Placeholder Text"/>
    <w:basedOn w:val="12"/>
    <w:semiHidden/>
    <w:qFormat/>
    <w:uiPriority w:val="99"/>
    <w:rPr>
      <w:color w:val="808080"/>
    </w:rPr>
  </w:style>
  <w:style w:type="paragraph" w:styleId="27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436</Words>
  <Characters>2491</Characters>
  <Lines>20</Lines>
  <Paragraphs>5</Paragraphs>
  <TotalTime>0</TotalTime>
  <ScaleCrop>false</ScaleCrop>
  <LinksUpToDate>false</LinksUpToDate>
  <CharactersWithSpaces>2922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2018-04-23T02:38:00Z</dcterms:created>
  <dc:creator>Administrator</dc:creator>
  <cp:lastModifiedBy>HP</cp:lastModifiedBy>
  <cp:lastPrinted>2022-06-17T03:10:00Z</cp:lastPrinted>
  <dcterms:modified xsi:type="dcterms:W3CDTF">2024-04-26T00:20:58Z</dcterms:modified>
  <cp:revision>115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DDA61864F6A34EF58AA6FEA8F9906FB9</vt:lpwstr>
  </property>
</Properties>
</file>