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40C01">
      <w:pPr>
        <w:jc w:val="center"/>
        <w:outlineLvl w:val="0"/>
        <w:rPr>
          <w:rFonts w:ascii="方正小标宋简体" w:hAnsi="华文中宋" w:eastAsia="方正小标宋简体" w:cs="Times New Roman"/>
          <w:sz w:val="44"/>
          <w:szCs w:val="44"/>
        </w:rPr>
      </w:pPr>
      <w:bookmarkStart w:id="0" w:name="OLE_LINK1"/>
      <w:bookmarkStart w:id="1" w:name="OLE_LINK4"/>
      <w:r>
        <w:rPr>
          <w:rFonts w:hint="eastAsia" w:ascii="方正小标宋简体" w:hAnsi="华文中宋" w:eastAsia="方正小标宋简体" w:cs="Times New Roman"/>
          <w:sz w:val="44"/>
          <w:szCs w:val="44"/>
        </w:rPr>
        <w:t>东北大学悉尼智能科技学院关于推荐优秀应届本科毕业生免试攻读研究生工作实施细则</w:t>
      </w:r>
      <w:bookmarkEnd w:id="0"/>
    </w:p>
    <w:bookmarkEnd w:id="1"/>
    <w:p w14:paraId="4DBD5037">
      <w:pPr>
        <w:jc w:val="center"/>
        <w:rPr>
          <w:rFonts w:ascii="仿宋" w:hAnsi="仿宋" w:eastAsia="仿宋" w:cs="Times New Roman"/>
          <w:sz w:val="32"/>
          <w:szCs w:val="36"/>
        </w:rPr>
      </w:pPr>
    </w:p>
    <w:p w14:paraId="72BB1D40">
      <w:pPr>
        <w:ind w:firstLine="640" w:firstLineChars="200"/>
        <w:rPr>
          <w:rFonts w:ascii="仿宋" w:hAnsi="仿宋" w:eastAsia="仿宋" w:cs="Times New Roman"/>
          <w:sz w:val="32"/>
          <w:szCs w:val="36"/>
        </w:rPr>
      </w:pPr>
      <w:r>
        <w:rPr>
          <w:rFonts w:ascii="仿宋" w:hAnsi="仿宋" w:eastAsia="仿宋" w:cs="Times New Roman"/>
          <w:sz w:val="32"/>
          <w:szCs w:val="36"/>
        </w:rPr>
        <w:t>为深入贯彻落实中共中央办公厅国务院办公厅《关于做好新时期教育对外开放工作的若干意见》、教育部等八部门《关于加快和扩大新时代教育对外开放的意见》有关精神，根据《东北大学关于推荐优秀应届本科毕业生免试攻读研究生工作办法》（东大教字〔2018〕41号）、《东北大学秦皇岛分校关于推荐优秀应届本科毕业生免试攻读研究生工作办法》（东秦教〔2023〕22号）文件要求，结合学院“培养具有坚实理论基础、实践能力、全球视野与深造潜力的国际化交叉复合型拔尖创新人才”的办学目标与发展实际，针对学院推荐免试硕士研究生工作（“推免工作”），特制定本</w:t>
      </w:r>
      <w:r>
        <w:rPr>
          <w:rFonts w:hint="eastAsia" w:ascii="仿宋" w:hAnsi="仿宋" w:eastAsia="仿宋" w:cs="Times New Roman"/>
          <w:sz w:val="32"/>
          <w:szCs w:val="36"/>
        </w:rPr>
        <w:t>实施细则</w:t>
      </w:r>
      <w:r>
        <w:rPr>
          <w:rFonts w:ascii="仿宋" w:hAnsi="仿宋" w:eastAsia="仿宋" w:cs="Times New Roman"/>
          <w:sz w:val="32"/>
          <w:szCs w:val="36"/>
        </w:rPr>
        <w:t>。</w:t>
      </w:r>
    </w:p>
    <w:p w14:paraId="0F5E2733">
      <w:pPr>
        <w:pStyle w:val="2"/>
        <w:rPr>
          <w:sz w:val="32"/>
          <w:szCs w:val="32"/>
        </w:rPr>
      </w:pPr>
      <w:bookmarkStart w:id="2" w:name="_Toc165036125"/>
      <w:r>
        <w:rPr>
          <w:sz w:val="32"/>
          <w:szCs w:val="32"/>
        </w:rPr>
        <w:t>一、工作小组</w:t>
      </w:r>
      <w:bookmarkEnd w:id="2"/>
    </w:p>
    <w:p w14:paraId="2A128840">
      <w:pPr>
        <w:pStyle w:val="3"/>
      </w:pPr>
      <w:bookmarkStart w:id="3" w:name="_Toc165036126"/>
      <w:r>
        <w:t>（一）学院成立遴选工作小组</w:t>
      </w:r>
      <w:bookmarkEnd w:id="3"/>
    </w:p>
    <w:p w14:paraId="2401C5FC">
      <w:pPr>
        <w:ind w:firstLine="640" w:firstLineChars="200"/>
        <w:rPr>
          <w:rFonts w:ascii="仿宋" w:hAnsi="仿宋" w:eastAsia="仿宋" w:cs="Times New Roman"/>
          <w:sz w:val="32"/>
          <w:szCs w:val="36"/>
        </w:rPr>
      </w:pPr>
      <w:r>
        <w:rPr>
          <w:rFonts w:ascii="仿宋" w:hAnsi="仿宋" w:eastAsia="仿宋" w:cs="Times New Roman"/>
          <w:sz w:val="32"/>
          <w:szCs w:val="36"/>
        </w:rPr>
        <w:t>以院长为组长，相关党委副书记、副院长、办公室教工代表为成员，负责本实施细则的制定（修订）与实施，以及相关细则的解读与反馈。</w:t>
      </w:r>
    </w:p>
    <w:p w14:paraId="73151A01">
      <w:pPr>
        <w:pStyle w:val="3"/>
      </w:pPr>
      <w:bookmarkStart w:id="4" w:name="_Toc165036127"/>
      <w:r>
        <w:t>（二）学院成立监督小组</w:t>
      </w:r>
      <w:bookmarkEnd w:id="4"/>
    </w:p>
    <w:p w14:paraId="0B9380D1">
      <w:pPr>
        <w:ind w:firstLine="640" w:firstLineChars="200"/>
        <w:rPr>
          <w:rFonts w:ascii="仿宋" w:hAnsi="仿宋" w:eastAsia="仿宋" w:cs="Times New Roman"/>
          <w:sz w:val="32"/>
          <w:szCs w:val="36"/>
        </w:rPr>
      </w:pPr>
      <w:r>
        <w:rPr>
          <w:rFonts w:ascii="仿宋" w:hAnsi="仿宋" w:eastAsia="仿宋" w:cs="Times New Roman"/>
          <w:sz w:val="32"/>
          <w:szCs w:val="36"/>
        </w:rPr>
        <w:t>以学院党委书记为组长，学院党委纪检委员、学院教学指导委员会委员代表为成员，负责本实施细则制定（修订）与实施过程的监督，保障规范、公正。</w:t>
      </w:r>
    </w:p>
    <w:p w14:paraId="34C18D7F">
      <w:pPr>
        <w:pStyle w:val="2"/>
        <w:rPr>
          <w:sz w:val="32"/>
          <w:szCs w:val="32"/>
        </w:rPr>
      </w:pPr>
      <w:bookmarkStart w:id="5" w:name="_Toc165036128"/>
      <w:r>
        <w:rPr>
          <w:sz w:val="32"/>
          <w:szCs w:val="32"/>
        </w:rPr>
        <w:t>二、工作原则</w:t>
      </w:r>
      <w:bookmarkEnd w:id="5"/>
    </w:p>
    <w:p w14:paraId="005E0420">
      <w:pPr>
        <w:ind w:firstLine="640" w:firstLineChars="200"/>
        <w:rPr>
          <w:rFonts w:ascii="仿宋" w:hAnsi="仿宋" w:eastAsia="仿宋" w:cs="Times New Roman"/>
          <w:sz w:val="32"/>
          <w:szCs w:val="36"/>
        </w:rPr>
      </w:pPr>
      <w:r>
        <w:rPr>
          <w:rFonts w:ascii="仿宋" w:hAnsi="仿宋" w:eastAsia="仿宋" w:cs="Times New Roman"/>
          <w:sz w:val="32"/>
          <w:szCs w:val="36"/>
        </w:rPr>
        <w:t>以国际化人才培养目标为引领、以提高选拔质量为核心，坚持“公平、公正、公开”的基本原则，实行“自愿报名、全面考查、综合评价、择优选拔”的工作机制，体现中外合作办学特色，突出对学生国际化发展能力与深造潜力的考核。</w:t>
      </w:r>
    </w:p>
    <w:p w14:paraId="31D101F0">
      <w:pPr>
        <w:pStyle w:val="2"/>
        <w:rPr>
          <w:sz w:val="32"/>
          <w:szCs w:val="32"/>
        </w:rPr>
      </w:pPr>
      <w:bookmarkStart w:id="6" w:name="_Toc165036129"/>
      <w:r>
        <w:rPr>
          <w:sz w:val="32"/>
          <w:szCs w:val="32"/>
        </w:rPr>
        <w:t>三、分配名额及报名条件</w:t>
      </w:r>
      <w:bookmarkEnd w:id="6"/>
    </w:p>
    <w:p w14:paraId="3A442483">
      <w:pPr>
        <w:pStyle w:val="3"/>
      </w:pPr>
      <w:bookmarkStart w:id="7" w:name="_Toc165036130"/>
      <w:r>
        <w:t>（一）分配名额</w:t>
      </w:r>
      <w:bookmarkEnd w:id="7"/>
    </w:p>
    <w:p w14:paraId="63399306">
      <w:pPr>
        <w:ind w:firstLine="640" w:firstLineChars="200"/>
        <w:rPr>
          <w:rFonts w:ascii="仿宋" w:hAnsi="仿宋" w:eastAsia="仿宋" w:cs="Times New Roman"/>
          <w:sz w:val="32"/>
          <w:szCs w:val="36"/>
        </w:rPr>
      </w:pPr>
      <w:r>
        <w:rPr>
          <w:rFonts w:ascii="仿宋" w:hAnsi="仿宋" w:eastAsia="仿宋" w:cs="Times New Roman"/>
          <w:sz w:val="32"/>
          <w:szCs w:val="36"/>
        </w:rPr>
        <w:t>学院根据学校当年下达的推免生名额，由遴选工作小组综合考虑各专业学生数量、赴合作伙伴悉尼科技大学（UTS）学生规模、人才培养模式及质量等情况进行各专业的名额分配，分配结果经学院党政联席会批准后公布。</w:t>
      </w:r>
    </w:p>
    <w:p w14:paraId="32CA3A6D">
      <w:pPr>
        <w:ind w:firstLine="640" w:firstLineChars="200"/>
        <w:rPr>
          <w:rFonts w:ascii="仿宋" w:hAnsi="仿宋" w:eastAsia="仿宋" w:cs="Times New Roman"/>
          <w:sz w:val="32"/>
          <w:szCs w:val="36"/>
        </w:rPr>
      </w:pPr>
      <w:r>
        <w:rPr>
          <w:rFonts w:ascii="仿宋" w:hAnsi="仿宋" w:eastAsia="仿宋" w:cs="Times New Roman"/>
          <w:sz w:val="32"/>
          <w:szCs w:val="36"/>
        </w:rPr>
        <w:t>学院充分考虑</w:t>
      </w:r>
      <w:r>
        <w:rPr>
          <w:rFonts w:hint="eastAsia" w:ascii="仿宋" w:hAnsi="仿宋" w:eastAsia="仿宋" w:cs="Times New Roman"/>
          <w:sz w:val="32"/>
          <w:szCs w:val="36"/>
        </w:rPr>
        <w:t>中外合作办学特色与学校及UTS相关</w:t>
      </w:r>
      <w:r>
        <w:rPr>
          <w:rFonts w:ascii="仿宋" w:hAnsi="仿宋" w:eastAsia="仿宋" w:cs="Times New Roman"/>
          <w:sz w:val="32"/>
          <w:szCs w:val="36"/>
        </w:rPr>
        <w:t>专业联系，科学设置报名条件及综合</w:t>
      </w:r>
      <w:r>
        <w:rPr>
          <w:rFonts w:hint="eastAsia" w:ascii="仿宋" w:hAnsi="仿宋" w:eastAsia="仿宋" w:cs="Times New Roman"/>
          <w:sz w:val="32"/>
          <w:szCs w:val="36"/>
        </w:rPr>
        <w:t>排名办法</w:t>
      </w:r>
      <w:r>
        <w:rPr>
          <w:rFonts w:ascii="仿宋" w:hAnsi="仿宋" w:eastAsia="仿宋" w:cs="Times New Roman"/>
          <w:sz w:val="32"/>
          <w:szCs w:val="36"/>
        </w:rPr>
        <w:t>。“2+2”赴UTS学生按其留学前所在专业参与名额分配、报名、排名</w:t>
      </w:r>
      <w:r>
        <w:rPr>
          <w:rFonts w:hint="eastAsia" w:ascii="仿宋" w:hAnsi="仿宋" w:eastAsia="仿宋" w:cs="Times New Roman"/>
          <w:sz w:val="32"/>
          <w:szCs w:val="36"/>
        </w:rPr>
        <w:t>及推荐</w:t>
      </w:r>
      <w:r>
        <w:rPr>
          <w:rFonts w:ascii="仿宋" w:hAnsi="仿宋" w:eastAsia="仿宋" w:cs="Times New Roman"/>
          <w:sz w:val="32"/>
          <w:szCs w:val="36"/>
        </w:rPr>
        <w:t>。</w:t>
      </w:r>
    </w:p>
    <w:p w14:paraId="13303AFF">
      <w:pPr>
        <w:pStyle w:val="3"/>
      </w:pPr>
      <w:bookmarkStart w:id="8" w:name="_Toc165036131"/>
      <w:r>
        <w:t>（二）报名条件</w:t>
      </w:r>
      <w:bookmarkEnd w:id="8"/>
    </w:p>
    <w:p w14:paraId="3C54027B">
      <w:pPr>
        <w:ind w:firstLine="640" w:firstLineChars="200"/>
        <w:rPr>
          <w:rFonts w:ascii="仿宋" w:hAnsi="仿宋" w:eastAsia="仿宋" w:cs="Times New Roman"/>
          <w:sz w:val="32"/>
          <w:szCs w:val="36"/>
        </w:rPr>
      </w:pPr>
      <w:r>
        <w:rPr>
          <w:rFonts w:ascii="仿宋" w:hAnsi="仿宋" w:eastAsia="仿宋" w:cs="Times New Roman"/>
          <w:sz w:val="32"/>
          <w:szCs w:val="36"/>
        </w:rPr>
        <w:t>1、基本条件：学生须满足以下全部条件。</w:t>
      </w:r>
    </w:p>
    <w:p w14:paraId="7DF00B36">
      <w:pPr>
        <w:ind w:firstLine="640" w:firstLineChars="200"/>
        <w:rPr>
          <w:rFonts w:ascii="仿宋" w:hAnsi="仿宋" w:eastAsia="仿宋" w:cs="Times New Roman"/>
          <w:sz w:val="32"/>
          <w:szCs w:val="36"/>
        </w:rPr>
      </w:pPr>
      <w:r>
        <w:rPr>
          <w:rFonts w:ascii="仿宋" w:hAnsi="仿宋" w:eastAsia="仿宋" w:cs="Times New Roman"/>
          <w:sz w:val="32"/>
          <w:szCs w:val="36"/>
        </w:rPr>
        <w:t>（1）具有良好的思想政治素质，身体健康、诚实守信、有攻读硕士研究生的强烈意愿；</w:t>
      </w:r>
    </w:p>
    <w:p w14:paraId="7CEB1159">
      <w:pPr>
        <w:ind w:firstLine="640" w:firstLineChars="200"/>
        <w:rPr>
          <w:rFonts w:ascii="仿宋" w:hAnsi="仿宋" w:eastAsia="仿宋" w:cs="Times New Roman"/>
          <w:sz w:val="32"/>
          <w:szCs w:val="36"/>
        </w:rPr>
      </w:pPr>
      <w:r>
        <w:rPr>
          <w:rFonts w:ascii="仿宋" w:hAnsi="仿宋" w:eastAsia="仿宋" w:cs="Times New Roman"/>
          <w:sz w:val="32"/>
          <w:szCs w:val="36"/>
        </w:rPr>
        <w:t>（2）满足《东北大学秦皇岛分校关于推荐优秀应届本科毕业生免试攻读研究生工作办法》（东秦教〔2023〕22号）规定的推荐基本条件。</w:t>
      </w:r>
    </w:p>
    <w:p w14:paraId="6105718D">
      <w:pPr>
        <w:ind w:firstLine="640" w:firstLineChars="200"/>
        <w:rPr>
          <w:rFonts w:ascii="仿宋" w:hAnsi="仿宋" w:eastAsia="仿宋" w:cs="Times New Roman"/>
          <w:sz w:val="32"/>
          <w:szCs w:val="36"/>
        </w:rPr>
      </w:pPr>
      <w:r>
        <w:rPr>
          <w:rFonts w:ascii="仿宋" w:hAnsi="仿宋" w:eastAsia="仿宋" w:cs="Times New Roman"/>
          <w:sz w:val="32"/>
          <w:szCs w:val="36"/>
        </w:rPr>
        <w:t>2、学术条件：学生前三年总平均学分绩点（GPA）</w:t>
      </w:r>
      <w:r>
        <w:rPr>
          <w:rFonts w:hint="eastAsia" w:ascii="仿宋" w:hAnsi="仿宋" w:eastAsia="仿宋" w:cs="Times New Roman"/>
          <w:sz w:val="32"/>
          <w:szCs w:val="36"/>
        </w:rPr>
        <w:t>须</w:t>
      </w:r>
      <w:r>
        <w:rPr>
          <w:rFonts w:ascii="仿宋" w:hAnsi="仿宋" w:eastAsia="仿宋" w:cs="Times New Roman"/>
          <w:sz w:val="32"/>
          <w:szCs w:val="36"/>
        </w:rPr>
        <w:t>排名同专业前30%。</w:t>
      </w:r>
      <w:r>
        <w:rPr>
          <w:rFonts w:hint="eastAsia" w:ascii="仿宋" w:hAnsi="仿宋" w:eastAsia="仿宋" w:cs="Times New Roman"/>
          <w:sz w:val="32"/>
          <w:szCs w:val="36"/>
        </w:rPr>
        <w:t>其中，“2+2”赴UTS学生的GPA按学生前二年在学校的GPA计算，其排名同期同专业前30%的，视为符合条件。</w:t>
      </w:r>
    </w:p>
    <w:p w14:paraId="28E20F8E">
      <w:pPr>
        <w:pStyle w:val="2"/>
        <w:rPr>
          <w:sz w:val="32"/>
          <w:szCs w:val="32"/>
        </w:rPr>
      </w:pPr>
      <w:bookmarkStart w:id="9" w:name="_Toc165036132"/>
      <w:r>
        <w:rPr>
          <w:sz w:val="32"/>
          <w:szCs w:val="32"/>
        </w:rPr>
        <w:t>四、</w:t>
      </w:r>
      <w:r>
        <w:rPr>
          <w:rFonts w:hint="eastAsia"/>
          <w:sz w:val="32"/>
          <w:szCs w:val="32"/>
        </w:rPr>
        <w:t>专业</w:t>
      </w:r>
      <w:r>
        <w:rPr>
          <w:sz w:val="32"/>
          <w:szCs w:val="32"/>
        </w:rPr>
        <w:t>综合</w:t>
      </w:r>
      <w:r>
        <w:rPr>
          <w:rFonts w:hint="eastAsia"/>
          <w:sz w:val="32"/>
          <w:szCs w:val="32"/>
        </w:rPr>
        <w:t>排名办法</w:t>
      </w:r>
      <w:bookmarkEnd w:id="9"/>
    </w:p>
    <w:p w14:paraId="037B928E">
      <w:pPr>
        <w:ind w:firstLine="640" w:firstLineChars="200"/>
        <w:rPr>
          <w:rFonts w:ascii="仿宋" w:hAnsi="仿宋" w:eastAsia="仿宋" w:cs="Times New Roman"/>
          <w:sz w:val="32"/>
          <w:szCs w:val="36"/>
        </w:rPr>
      </w:pPr>
      <w:r>
        <w:rPr>
          <w:rFonts w:hint="eastAsia" w:ascii="仿宋" w:hAnsi="仿宋" w:eastAsia="仿宋" w:cs="Times New Roman"/>
          <w:sz w:val="32"/>
          <w:szCs w:val="36"/>
        </w:rPr>
        <w:t>专业综合排名成绩</w:t>
      </w:r>
      <w:r>
        <w:rPr>
          <w:rFonts w:ascii="仿宋" w:hAnsi="仿宋" w:eastAsia="仿宋" w:cs="Times New Roman"/>
          <w:sz w:val="32"/>
          <w:szCs w:val="36"/>
        </w:rPr>
        <w:t>=加权平均学分绩×</w:t>
      </w:r>
      <w:r>
        <w:rPr>
          <w:rFonts w:hint="eastAsia" w:ascii="仿宋" w:hAnsi="仿宋" w:eastAsia="仿宋" w:cs="Times New Roman"/>
          <w:sz w:val="32"/>
          <w:szCs w:val="36"/>
        </w:rPr>
        <w:t>W1</w:t>
      </w:r>
      <w:r>
        <w:rPr>
          <w:rFonts w:ascii="仿宋" w:hAnsi="仿宋" w:eastAsia="仿宋" w:cs="Times New Roman"/>
          <w:sz w:val="32"/>
          <w:szCs w:val="36"/>
        </w:rPr>
        <w:t>+综合考核成绩×</w:t>
      </w:r>
      <w:r>
        <w:rPr>
          <w:rFonts w:hint="eastAsia" w:ascii="仿宋" w:hAnsi="仿宋" w:eastAsia="仿宋" w:cs="Times New Roman"/>
          <w:sz w:val="32"/>
          <w:szCs w:val="36"/>
        </w:rPr>
        <w:t>W2</w:t>
      </w:r>
      <w:r>
        <w:rPr>
          <w:rFonts w:ascii="仿宋" w:hAnsi="仿宋" w:eastAsia="仿宋" w:cs="Times New Roman"/>
          <w:sz w:val="32"/>
          <w:szCs w:val="36"/>
        </w:rPr>
        <w:t>，四舍五入后保留四位小数。</w:t>
      </w:r>
      <w:r>
        <w:rPr>
          <w:rFonts w:hint="eastAsia" w:ascii="仿宋" w:hAnsi="仿宋" w:eastAsia="仿宋" w:cs="Times New Roman"/>
          <w:sz w:val="32"/>
          <w:szCs w:val="36"/>
        </w:rPr>
        <w:t>加权平均学分绩和综合考核成绩满分均为100分。其中W1=80%，W2=20%。</w:t>
      </w:r>
    </w:p>
    <w:p w14:paraId="36B20E81">
      <w:pPr>
        <w:pStyle w:val="3"/>
      </w:pPr>
      <w:bookmarkStart w:id="10" w:name="_Toc165036133"/>
      <w:r>
        <w:rPr>
          <w:rFonts w:hint="eastAsia"/>
        </w:rPr>
        <w:t>（一）加权平均学分绩计算办法</w:t>
      </w:r>
      <w:bookmarkEnd w:id="10"/>
    </w:p>
    <w:p w14:paraId="67E33830">
      <w:pPr>
        <w:ind w:firstLine="640" w:firstLineChars="200"/>
        <w:rPr>
          <w:rFonts w:ascii="仿宋" w:hAnsi="仿宋" w:eastAsia="仿宋" w:cs="Times New Roman"/>
          <w:sz w:val="32"/>
          <w:szCs w:val="36"/>
        </w:rPr>
      </w:pPr>
      <w:r>
        <w:rPr>
          <w:rFonts w:hint="eastAsia" w:ascii="仿宋" w:hAnsi="仿宋" w:eastAsia="仿宋" w:cs="Times New Roman"/>
          <w:sz w:val="32"/>
          <w:szCs w:val="36"/>
        </w:rPr>
        <w:t>1、学生的加权平均学分绩（WAM）由学生GPA按以下公式计算得到：</w:t>
      </w:r>
    </w:p>
    <w:p w14:paraId="12EF74AA">
      <w:pPr>
        <w:ind w:firstLine="640" w:firstLineChars="200"/>
        <w:rPr>
          <w:rFonts w:ascii="仿宋" w:hAnsi="仿宋" w:eastAsia="仿宋" w:cs="Times New Roman"/>
          <w:sz w:val="32"/>
          <w:szCs w:val="36"/>
        </w:rPr>
      </w:pPr>
      <w:r>
        <w:rPr>
          <w:rFonts w:hint="eastAsia" w:ascii="仿宋" w:hAnsi="仿宋" w:eastAsia="仿宋" w:cs="Times New Roman"/>
          <w:sz w:val="32"/>
          <w:szCs w:val="36"/>
        </w:rPr>
        <w:t>加权平均学分绩=(GPA+5)×10。</w:t>
      </w:r>
    </w:p>
    <w:p w14:paraId="075B4E77">
      <w:pPr>
        <w:pStyle w:val="3"/>
      </w:pPr>
      <w:bookmarkStart w:id="11" w:name="_Toc165036134"/>
      <w:r>
        <w:t>（</w:t>
      </w:r>
      <w:r>
        <w:rPr>
          <w:rFonts w:hint="eastAsia"/>
        </w:rPr>
        <w:t>二</w:t>
      </w:r>
      <w:r>
        <w:t>）</w:t>
      </w:r>
      <w:r>
        <w:rPr>
          <w:rFonts w:hint="eastAsia"/>
        </w:rPr>
        <w:t>综合考核组织及成绩计算办法</w:t>
      </w:r>
      <w:bookmarkEnd w:id="11"/>
    </w:p>
    <w:p w14:paraId="54DDE141">
      <w:pPr>
        <w:ind w:firstLine="640" w:firstLineChars="200"/>
        <w:rPr>
          <w:rFonts w:ascii="仿宋" w:hAnsi="仿宋" w:eastAsia="仿宋" w:cs="Times New Roman"/>
          <w:sz w:val="32"/>
          <w:szCs w:val="36"/>
        </w:rPr>
      </w:pPr>
      <w:r>
        <w:rPr>
          <w:rFonts w:hint="eastAsia" w:ascii="仿宋" w:hAnsi="仿宋" w:eastAsia="仿宋" w:cs="Times New Roman"/>
          <w:sz w:val="32"/>
          <w:szCs w:val="36"/>
        </w:rPr>
        <w:t>1、综合考核由学院负责组织。</w:t>
      </w:r>
    </w:p>
    <w:p w14:paraId="5F175307">
      <w:pPr>
        <w:ind w:firstLine="640" w:firstLineChars="200"/>
        <w:rPr>
          <w:rFonts w:ascii="仿宋" w:hAnsi="仿宋" w:eastAsia="仿宋" w:cs="Times New Roman"/>
          <w:sz w:val="32"/>
          <w:szCs w:val="36"/>
        </w:rPr>
      </w:pPr>
      <w:r>
        <w:rPr>
          <w:rFonts w:hint="eastAsia" w:ascii="仿宋" w:hAnsi="仿宋" w:eastAsia="仿宋" w:cs="Times New Roman"/>
          <w:sz w:val="32"/>
          <w:szCs w:val="36"/>
        </w:rPr>
        <w:t>2、有资格参加综合考核的人数为专业推免生名额的200%，按照</w:t>
      </w:r>
      <w:r>
        <w:rPr>
          <w:rFonts w:ascii="仿宋" w:hAnsi="仿宋" w:eastAsia="仿宋" w:cs="Times New Roman"/>
          <w:sz w:val="32"/>
          <w:szCs w:val="36"/>
        </w:rPr>
        <w:t>GPA</w:t>
      </w:r>
      <w:r>
        <w:rPr>
          <w:rFonts w:hint="eastAsia" w:ascii="仿宋" w:hAnsi="仿宋" w:eastAsia="仿宋" w:cs="Times New Roman"/>
          <w:sz w:val="32"/>
          <w:szCs w:val="36"/>
        </w:rPr>
        <w:t>在专业内由高到低依次确定，若有人放弃，名额可以顺延，但必须符合报名条件。</w:t>
      </w:r>
    </w:p>
    <w:p w14:paraId="1CD91A46">
      <w:pPr>
        <w:ind w:firstLine="640" w:firstLineChars="200"/>
        <w:rPr>
          <w:rFonts w:ascii="仿宋" w:hAnsi="仿宋" w:eastAsia="仿宋" w:cs="Times New Roman"/>
          <w:sz w:val="32"/>
          <w:szCs w:val="36"/>
        </w:rPr>
      </w:pPr>
      <w:r>
        <w:rPr>
          <w:rFonts w:hint="eastAsia" w:ascii="仿宋" w:hAnsi="仿宋" w:eastAsia="仿宋" w:cs="Times New Roman"/>
          <w:sz w:val="32"/>
          <w:szCs w:val="36"/>
        </w:rPr>
        <w:t>3、综合考核内容为：知识掌握和学术研究能力（M1），系数0.4；创新能力（M2），系数0.3；综合素质测评（M3），系数0.3。三部分系数之和为1.0。</w:t>
      </w:r>
    </w:p>
    <w:p w14:paraId="4FD1A407">
      <w:pPr>
        <w:ind w:firstLine="640" w:firstLineChars="200"/>
        <w:rPr>
          <w:rFonts w:ascii="仿宋" w:hAnsi="仿宋" w:eastAsia="仿宋" w:cs="Times New Roman"/>
          <w:sz w:val="32"/>
          <w:szCs w:val="36"/>
        </w:rPr>
      </w:pPr>
      <w:r>
        <w:rPr>
          <w:rFonts w:hint="eastAsia" w:ascii="仿宋" w:hAnsi="仿宋" w:eastAsia="仿宋" w:cs="Times New Roman"/>
          <w:sz w:val="32"/>
          <w:szCs w:val="36"/>
        </w:rPr>
        <w:t>即综合考核成绩=M1×0.4+M2×0.3+M3×0.3。</w:t>
      </w:r>
    </w:p>
    <w:p w14:paraId="388E8E04">
      <w:pPr>
        <w:ind w:firstLine="640" w:firstLineChars="200"/>
        <w:rPr>
          <w:rFonts w:ascii="仿宋" w:hAnsi="仿宋" w:eastAsia="仿宋" w:cs="Times New Roman"/>
          <w:sz w:val="32"/>
          <w:szCs w:val="36"/>
        </w:rPr>
      </w:pPr>
      <w:r>
        <w:rPr>
          <w:rFonts w:hint="eastAsia" w:ascii="仿宋" w:hAnsi="仿宋" w:eastAsia="仿宋" w:cs="Times New Roman"/>
          <w:sz w:val="32"/>
          <w:szCs w:val="36"/>
        </w:rPr>
        <w:t>（1）学生的知识掌握和学术研究能力考核成绩（M1）</w:t>
      </w:r>
    </w:p>
    <w:p w14:paraId="4FEAF164">
      <w:pPr>
        <w:ind w:firstLine="640" w:firstLineChars="200"/>
        <w:rPr>
          <w:rFonts w:ascii="仿宋" w:hAnsi="仿宋" w:eastAsia="仿宋" w:cs="Times New Roman"/>
          <w:sz w:val="32"/>
          <w:szCs w:val="36"/>
        </w:rPr>
      </w:pPr>
      <w:r>
        <w:rPr>
          <w:rFonts w:hint="eastAsia" w:ascii="仿宋" w:hAnsi="仿宋" w:eastAsia="仿宋" w:cs="Times New Roman"/>
          <w:sz w:val="32"/>
          <w:szCs w:val="36"/>
        </w:rPr>
        <w:t>考核方式为现场答辩，其中“2+2”赴UTS学生可通过学院指定平台在线参加。学院组织成立专家组进行考核（专家要求副教授及以上职称，人数不少于7人，且为单数）。主要考查学生的知识掌握及应用能力、国际化视野与深造潜力。计分类别及项目</w:t>
      </w:r>
      <w:r>
        <w:rPr>
          <w:rFonts w:ascii="仿宋" w:hAnsi="仿宋" w:eastAsia="仿宋" w:cs="Times New Roman"/>
          <w:sz w:val="32"/>
          <w:szCs w:val="36"/>
        </w:rPr>
        <w:t>如表1所示。如多次参加同一类别的项目，仅计入最高得分项目。</w:t>
      </w:r>
    </w:p>
    <w:p w14:paraId="033B5D2D">
      <w:pPr>
        <w:jc w:val="center"/>
        <w:rPr>
          <w:rFonts w:ascii="仿宋" w:hAnsi="仿宋" w:eastAsia="仿宋" w:cs="Times New Roman"/>
          <w:sz w:val="28"/>
          <w:szCs w:val="32"/>
        </w:rPr>
      </w:pPr>
      <w:r>
        <w:rPr>
          <w:rFonts w:hint="eastAsia" w:ascii="仿宋" w:hAnsi="仿宋" w:eastAsia="仿宋" w:cs="Times New Roman"/>
          <w:sz w:val="28"/>
          <w:szCs w:val="32"/>
        </w:rPr>
        <w:t>表1. M1得分明细表</w:t>
      </w:r>
    </w:p>
    <w:tbl>
      <w:tblPr>
        <w:tblStyle w:val="5"/>
        <w:tblW w:w="81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3402"/>
        <w:gridCol w:w="1177"/>
        <w:gridCol w:w="2740"/>
      </w:tblGrid>
      <w:tr w14:paraId="68E0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Align w:val="center"/>
          </w:tcPr>
          <w:p w14:paraId="177244A4">
            <w:pPr>
              <w:jc w:val="center"/>
              <w:rPr>
                <w:rFonts w:ascii="仿宋" w:hAnsi="仿宋" w:eastAsia="仿宋" w:cs="Times New Roman"/>
                <w:sz w:val="24"/>
                <w:szCs w:val="28"/>
              </w:rPr>
            </w:pPr>
            <w:r>
              <w:rPr>
                <w:rFonts w:ascii="仿宋" w:hAnsi="仿宋" w:eastAsia="仿宋" w:cs="Times New Roman"/>
                <w:sz w:val="24"/>
                <w:szCs w:val="28"/>
              </w:rPr>
              <w:t>类别</w:t>
            </w:r>
          </w:p>
        </w:tc>
        <w:tc>
          <w:tcPr>
            <w:tcW w:w="3402" w:type="dxa"/>
            <w:vAlign w:val="center"/>
          </w:tcPr>
          <w:p w14:paraId="15C01163">
            <w:pPr>
              <w:jc w:val="center"/>
              <w:rPr>
                <w:rFonts w:ascii="仿宋" w:hAnsi="仿宋" w:eastAsia="仿宋" w:cs="Times New Roman"/>
                <w:sz w:val="24"/>
                <w:szCs w:val="28"/>
              </w:rPr>
            </w:pPr>
            <w:r>
              <w:rPr>
                <w:rFonts w:ascii="仿宋" w:hAnsi="仿宋" w:eastAsia="仿宋" w:cs="Times New Roman"/>
                <w:sz w:val="24"/>
                <w:szCs w:val="28"/>
              </w:rPr>
              <w:t>项目</w:t>
            </w:r>
          </w:p>
        </w:tc>
        <w:tc>
          <w:tcPr>
            <w:tcW w:w="1177" w:type="dxa"/>
            <w:vAlign w:val="center"/>
          </w:tcPr>
          <w:p w14:paraId="0467CA3A">
            <w:pPr>
              <w:jc w:val="center"/>
              <w:rPr>
                <w:rFonts w:ascii="仿宋" w:hAnsi="仿宋" w:eastAsia="仿宋" w:cs="Times New Roman"/>
                <w:sz w:val="24"/>
                <w:szCs w:val="28"/>
              </w:rPr>
            </w:pPr>
            <w:r>
              <w:rPr>
                <w:rFonts w:ascii="仿宋" w:hAnsi="仿宋" w:eastAsia="仿宋" w:cs="Times New Roman"/>
                <w:sz w:val="24"/>
                <w:szCs w:val="28"/>
              </w:rPr>
              <w:t>得分</w:t>
            </w:r>
          </w:p>
        </w:tc>
        <w:tc>
          <w:tcPr>
            <w:tcW w:w="2740" w:type="dxa"/>
            <w:vAlign w:val="center"/>
          </w:tcPr>
          <w:p w14:paraId="1CC5BC95">
            <w:pPr>
              <w:jc w:val="center"/>
              <w:rPr>
                <w:rFonts w:ascii="仿宋" w:hAnsi="仿宋" w:eastAsia="仿宋" w:cs="Times New Roman"/>
                <w:sz w:val="24"/>
                <w:szCs w:val="28"/>
              </w:rPr>
            </w:pPr>
            <w:r>
              <w:rPr>
                <w:rFonts w:ascii="仿宋" w:hAnsi="仿宋" w:eastAsia="仿宋" w:cs="Times New Roman"/>
                <w:sz w:val="24"/>
                <w:szCs w:val="28"/>
              </w:rPr>
              <w:t>说明</w:t>
            </w:r>
          </w:p>
        </w:tc>
      </w:tr>
      <w:tr w14:paraId="054F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restart"/>
            <w:vAlign w:val="center"/>
          </w:tcPr>
          <w:p w14:paraId="0491C957">
            <w:pPr>
              <w:jc w:val="center"/>
              <w:rPr>
                <w:rFonts w:ascii="仿宋" w:hAnsi="仿宋" w:eastAsia="仿宋" w:cs="Times New Roman"/>
                <w:sz w:val="24"/>
                <w:szCs w:val="28"/>
              </w:rPr>
            </w:pPr>
            <w:r>
              <w:rPr>
                <w:rFonts w:hint="eastAsia" w:ascii="仿宋" w:hAnsi="仿宋" w:eastAsia="仿宋" w:cs="Times New Roman"/>
                <w:sz w:val="24"/>
                <w:szCs w:val="28"/>
              </w:rPr>
              <w:t>学术英语掌握程度</w:t>
            </w:r>
          </w:p>
          <w:p w14:paraId="67E5D15D">
            <w:pPr>
              <w:jc w:val="center"/>
              <w:rPr>
                <w:rFonts w:ascii="仿宋" w:hAnsi="仿宋" w:eastAsia="仿宋" w:cs="Times New Roman"/>
                <w:sz w:val="24"/>
                <w:szCs w:val="28"/>
              </w:rPr>
            </w:pPr>
          </w:p>
          <w:p w14:paraId="769DD6EA">
            <w:pPr>
              <w:jc w:val="center"/>
              <w:rPr>
                <w:rFonts w:ascii="仿宋" w:hAnsi="仿宋" w:eastAsia="仿宋" w:cs="Times New Roman"/>
                <w:sz w:val="24"/>
                <w:szCs w:val="28"/>
              </w:rPr>
            </w:pPr>
            <w:r>
              <w:rPr>
                <w:rFonts w:ascii="仿宋" w:hAnsi="仿宋" w:eastAsia="仿宋" w:cs="Times New Roman"/>
                <w:sz w:val="24"/>
                <w:szCs w:val="28"/>
              </w:rPr>
              <w:t>最高</w:t>
            </w:r>
            <w:r>
              <w:rPr>
                <w:rFonts w:hint="eastAsia" w:ascii="仿宋" w:hAnsi="仿宋" w:eastAsia="仿宋" w:cs="Times New Roman"/>
                <w:sz w:val="24"/>
                <w:szCs w:val="28"/>
                <w:lang w:val="en-US" w:eastAsia="zh-CN"/>
              </w:rPr>
              <w:t>3</w:t>
            </w:r>
            <w:r>
              <w:rPr>
                <w:rFonts w:hint="eastAsia" w:ascii="仿宋" w:hAnsi="仿宋" w:eastAsia="仿宋" w:cs="Times New Roman"/>
                <w:sz w:val="24"/>
                <w:szCs w:val="28"/>
              </w:rPr>
              <w:t>0</w:t>
            </w:r>
          </w:p>
        </w:tc>
        <w:tc>
          <w:tcPr>
            <w:tcW w:w="3402" w:type="dxa"/>
            <w:vAlign w:val="center"/>
          </w:tcPr>
          <w:p w14:paraId="204AD20F">
            <w:pPr>
              <w:rPr>
                <w:rFonts w:ascii="仿宋" w:hAnsi="仿宋" w:eastAsia="仿宋" w:cs="Times New Roman"/>
                <w:sz w:val="24"/>
                <w:szCs w:val="28"/>
              </w:rPr>
            </w:pPr>
            <w:r>
              <w:rPr>
                <w:rFonts w:hint="eastAsia" w:ascii="仿宋" w:hAnsi="仿宋" w:eastAsia="仿宋" w:cs="Times New Roman"/>
                <w:sz w:val="24"/>
                <w:szCs w:val="28"/>
              </w:rPr>
              <w:t>参加“2+2”赴UTS项目，且在赴UTS前已取得有效学术英语成绩</w:t>
            </w:r>
          </w:p>
        </w:tc>
        <w:tc>
          <w:tcPr>
            <w:tcW w:w="1177" w:type="dxa"/>
            <w:vAlign w:val="center"/>
          </w:tcPr>
          <w:p w14:paraId="71695772">
            <w:pPr>
              <w:jc w:val="center"/>
              <w:rPr>
                <w:rFonts w:ascii="仿宋" w:hAnsi="仿宋" w:eastAsia="仿宋" w:cs="Times New Roman"/>
              </w:rPr>
            </w:pPr>
            <w:r>
              <w:rPr>
                <w:rFonts w:hint="eastAsia" w:ascii="仿宋" w:hAnsi="仿宋" w:eastAsia="仿宋" w:cs="Times New Roman"/>
              </w:rPr>
              <w:t>30</w:t>
            </w:r>
          </w:p>
        </w:tc>
        <w:tc>
          <w:tcPr>
            <w:tcW w:w="2740" w:type="dxa"/>
            <w:vMerge w:val="restart"/>
            <w:vAlign w:val="center"/>
          </w:tcPr>
          <w:p w14:paraId="714CB3FC">
            <w:pPr>
              <w:rPr>
                <w:rFonts w:ascii="仿宋" w:hAnsi="仿宋" w:eastAsia="仿宋" w:cs="Times New Roman"/>
                <w:sz w:val="20"/>
                <w:szCs w:val="21"/>
              </w:rPr>
            </w:pPr>
            <w:r>
              <w:rPr>
                <w:rFonts w:hint="eastAsia" w:ascii="仿宋" w:hAnsi="仿宋" w:eastAsia="仿宋" w:cs="Times New Roman"/>
                <w:sz w:val="20"/>
                <w:szCs w:val="21"/>
              </w:rPr>
              <w:t>须提成绩单原件（纸质证书或带有数字认证的PDF文件）及其复印件。</w:t>
            </w:r>
          </w:p>
          <w:p w14:paraId="26A1C941">
            <w:pPr>
              <w:rPr>
                <w:rFonts w:ascii="仿宋" w:hAnsi="仿宋" w:eastAsia="仿宋" w:cs="Times New Roman"/>
                <w:sz w:val="20"/>
                <w:szCs w:val="21"/>
              </w:rPr>
            </w:pPr>
          </w:p>
          <w:p w14:paraId="27B27C16">
            <w:pPr>
              <w:rPr>
                <w:rFonts w:ascii="仿宋" w:hAnsi="仿宋" w:eastAsia="仿宋" w:cs="Times New Roman"/>
                <w:sz w:val="20"/>
                <w:szCs w:val="21"/>
              </w:rPr>
            </w:pPr>
            <w:r>
              <w:rPr>
                <w:rFonts w:hint="eastAsia" w:ascii="仿宋" w:hAnsi="仿宋" w:eastAsia="仿宋" w:cs="Times New Roman"/>
                <w:sz w:val="20"/>
                <w:szCs w:val="21"/>
              </w:rPr>
              <w:t>成绩为在校期间取得。</w:t>
            </w:r>
          </w:p>
        </w:tc>
      </w:tr>
      <w:tr w14:paraId="30A52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464C572F">
            <w:pPr>
              <w:jc w:val="center"/>
              <w:rPr>
                <w:rFonts w:ascii="仿宋" w:hAnsi="仿宋" w:eastAsia="仿宋" w:cs="Times New Roman"/>
                <w:sz w:val="24"/>
                <w:szCs w:val="28"/>
              </w:rPr>
            </w:pPr>
          </w:p>
        </w:tc>
        <w:tc>
          <w:tcPr>
            <w:tcW w:w="3402" w:type="dxa"/>
            <w:vAlign w:val="center"/>
          </w:tcPr>
          <w:p w14:paraId="79B99244">
            <w:pPr>
              <w:rPr>
                <w:rFonts w:ascii="仿宋" w:hAnsi="仿宋" w:eastAsia="仿宋" w:cs="Times New Roman"/>
                <w:sz w:val="24"/>
                <w:szCs w:val="28"/>
              </w:rPr>
            </w:pPr>
            <w:r>
              <w:rPr>
                <w:rFonts w:hint="eastAsia" w:ascii="仿宋" w:hAnsi="仿宋" w:eastAsia="仿宋" w:cs="Times New Roman"/>
                <w:sz w:val="24"/>
                <w:szCs w:val="28"/>
              </w:rPr>
              <w:t>IELTS（学术）总分不低于6.5，且写作不低于6.0</w:t>
            </w:r>
          </w:p>
        </w:tc>
        <w:tc>
          <w:tcPr>
            <w:tcW w:w="1177" w:type="dxa"/>
            <w:vAlign w:val="center"/>
          </w:tcPr>
          <w:p w14:paraId="5F2D45FE">
            <w:pPr>
              <w:jc w:val="center"/>
              <w:rPr>
                <w:rFonts w:ascii="仿宋" w:hAnsi="仿宋" w:eastAsia="仿宋" w:cs="Times New Roman"/>
              </w:rPr>
            </w:pPr>
            <w:r>
              <w:rPr>
                <w:rFonts w:hint="eastAsia" w:ascii="仿宋" w:hAnsi="仿宋" w:eastAsia="仿宋" w:cs="Times New Roman"/>
              </w:rPr>
              <w:t>30</w:t>
            </w:r>
          </w:p>
        </w:tc>
        <w:tc>
          <w:tcPr>
            <w:tcW w:w="2740" w:type="dxa"/>
            <w:vMerge w:val="continue"/>
            <w:vAlign w:val="center"/>
          </w:tcPr>
          <w:p w14:paraId="66E314E3">
            <w:pPr>
              <w:rPr>
                <w:rFonts w:ascii="仿宋" w:hAnsi="仿宋" w:eastAsia="仿宋" w:cs="Times New Roman"/>
                <w:sz w:val="20"/>
                <w:szCs w:val="21"/>
              </w:rPr>
            </w:pPr>
          </w:p>
        </w:tc>
      </w:tr>
      <w:tr w14:paraId="19FB3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4BB16A08">
            <w:pPr>
              <w:jc w:val="center"/>
              <w:rPr>
                <w:rFonts w:ascii="仿宋" w:hAnsi="仿宋" w:eastAsia="仿宋" w:cs="Times New Roman"/>
                <w:sz w:val="24"/>
                <w:szCs w:val="28"/>
              </w:rPr>
            </w:pPr>
          </w:p>
        </w:tc>
        <w:tc>
          <w:tcPr>
            <w:tcW w:w="3402" w:type="dxa"/>
            <w:vAlign w:val="center"/>
          </w:tcPr>
          <w:p w14:paraId="703D90EA">
            <w:pPr>
              <w:rPr>
                <w:rFonts w:ascii="仿宋" w:hAnsi="仿宋" w:eastAsia="仿宋" w:cs="Times New Roman"/>
                <w:sz w:val="24"/>
                <w:szCs w:val="28"/>
              </w:rPr>
            </w:pPr>
            <w:r>
              <w:rPr>
                <w:rFonts w:hint="eastAsia" w:ascii="仿宋" w:hAnsi="仿宋" w:eastAsia="仿宋" w:cs="Times New Roman"/>
                <w:sz w:val="24"/>
                <w:szCs w:val="28"/>
              </w:rPr>
              <w:t>TOEFL（iBT）总分不低于79，且写作不低于21</w:t>
            </w:r>
          </w:p>
        </w:tc>
        <w:tc>
          <w:tcPr>
            <w:tcW w:w="1177" w:type="dxa"/>
            <w:vAlign w:val="center"/>
          </w:tcPr>
          <w:p w14:paraId="04ED6350">
            <w:pPr>
              <w:jc w:val="center"/>
              <w:rPr>
                <w:rFonts w:ascii="仿宋" w:hAnsi="仿宋" w:eastAsia="仿宋" w:cs="Times New Roman"/>
              </w:rPr>
            </w:pPr>
            <w:r>
              <w:rPr>
                <w:rFonts w:hint="eastAsia" w:ascii="仿宋" w:hAnsi="仿宋" w:eastAsia="仿宋" w:cs="Times New Roman"/>
              </w:rPr>
              <w:t>30</w:t>
            </w:r>
          </w:p>
        </w:tc>
        <w:tc>
          <w:tcPr>
            <w:tcW w:w="2740" w:type="dxa"/>
            <w:vMerge w:val="continue"/>
            <w:vAlign w:val="center"/>
          </w:tcPr>
          <w:p w14:paraId="2207A2BF">
            <w:pPr>
              <w:rPr>
                <w:rFonts w:ascii="仿宋" w:hAnsi="仿宋" w:eastAsia="仿宋" w:cs="Times New Roman"/>
                <w:sz w:val="20"/>
                <w:szCs w:val="21"/>
              </w:rPr>
            </w:pPr>
          </w:p>
        </w:tc>
      </w:tr>
      <w:tr w14:paraId="74347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54E38139">
            <w:pPr>
              <w:jc w:val="center"/>
              <w:rPr>
                <w:rFonts w:ascii="仿宋" w:hAnsi="仿宋" w:eastAsia="仿宋" w:cs="Times New Roman"/>
                <w:sz w:val="24"/>
                <w:szCs w:val="28"/>
              </w:rPr>
            </w:pPr>
          </w:p>
        </w:tc>
        <w:tc>
          <w:tcPr>
            <w:tcW w:w="3402" w:type="dxa"/>
            <w:vAlign w:val="center"/>
          </w:tcPr>
          <w:p w14:paraId="36E14452">
            <w:pPr>
              <w:rPr>
                <w:rFonts w:ascii="仿宋" w:hAnsi="仿宋" w:eastAsia="仿宋" w:cs="Times New Roman"/>
                <w:sz w:val="24"/>
                <w:szCs w:val="28"/>
              </w:rPr>
            </w:pPr>
            <w:r>
              <w:rPr>
                <w:rFonts w:hint="eastAsia" w:ascii="仿宋" w:hAnsi="仿宋" w:eastAsia="仿宋" w:cs="Times New Roman"/>
                <w:sz w:val="24"/>
                <w:szCs w:val="28"/>
              </w:rPr>
              <w:t>大学英语六级考试总分不低于530分</w:t>
            </w:r>
          </w:p>
        </w:tc>
        <w:tc>
          <w:tcPr>
            <w:tcW w:w="1177" w:type="dxa"/>
            <w:vAlign w:val="center"/>
          </w:tcPr>
          <w:p w14:paraId="7B06C4BE">
            <w:pPr>
              <w:jc w:val="center"/>
              <w:rPr>
                <w:rFonts w:ascii="仿宋" w:hAnsi="仿宋" w:eastAsia="仿宋" w:cs="Times New Roman"/>
              </w:rPr>
            </w:pPr>
            <w:r>
              <w:rPr>
                <w:rFonts w:hint="eastAsia" w:ascii="仿宋" w:hAnsi="仿宋" w:eastAsia="仿宋" w:cs="Times New Roman"/>
              </w:rPr>
              <w:t>10</w:t>
            </w:r>
          </w:p>
        </w:tc>
        <w:tc>
          <w:tcPr>
            <w:tcW w:w="2740" w:type="dxa"/>
            <w:vMerge w:val="continue"/>
            <w:vAlign w:val="center"/>
          </w:tcPr>
          <w:p w14:paraId="4DB6ADC0">
            <w:pPr>
              <w:rPr>
                <w:rFonts w:ascii="仿宋" w:hAnsi="仿宋" w:eastAsia="仿宋" w:cs="Times New Roman"/>
                <w:sz w:val="20"/>
                <w:szCs w:val="21"/>
              </w:rPr>
            </w:pPr>
          </w:p>
        </w:tc>
      </w:tr>
      <w:tr w14:paraId="2DF0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restart"/>
            <w:vAlign w:val="center"/>
          </w:tcPr>
          <w:p w14:paraId="1C5F0664">
            <w:pPr>
              <w:jc w:val="center"/>
              <w:rPr>
                <w:rFonts w:ascii="仿宋" w:hAnsi="仿宋" w:eastAsia="仿宋" w:cs="Times New Roman"/>
                <w:sz w:val="24"/>
                <w:szCs w:val="28"/>
              </w:rPr>
            </w:pPr>
            <w:r>
              <w:rPr>
                <w:rFonts w:hint="eastAsia" w:ascii="仿宋" w:hAnsi="仿宋" w:eastAsia="仿宋" w:cs="Times New Roman"/>
                <w:sz w:val="24"/>
                <w:szCs w:val="28"/>
              </w:rPr>
              <w:t>参加</w:t>
            </w:r>
          </w:p>
          <w:p w14:paraId="0484F316">
            <w:pPr>
              <w:jc w:val="center"/>
              <w:rPr>
                <w:rFonts w:ascii="仿宋" w:hAnsi="仿宋" w:eastAsia="仿宋" w:cs="Times New Roman"/>
                <w:sz w:val="24"/>
                <w:szCs w:val="28"/>
              </w:rPr>
            </w:pPr>
            <w:r>
              <w:rPr>
                <w:rFonts w:ascii="仿宋" w:hAnsi="仿宋" w:eastAsia="仿宋" w:cs="Times New Roman"/>
                <w:sz w:val="24"/>
                <w:szCs w:val="28"/>
              </w:rPr>
              <w:t>境外</w:t>
            </w:r>
          </w:p>
          <w:p w14:paraId="7B6E54C7">
            <w:pPr>
              <w:jc w:val="center"/>
              <w:rPr>
                <w:rFonts w:ascii="仿宋" w:hAnsi="仿宋" w:eastAsia="仿宋" w:cs="Times New Roman"/>
                <w:sz w:val="24"/>
                <w:szCs w:val="28"/>
              </w:rPr>
            </w:pPr>
            <w:r>
              <w:rPr>
                <w:rFonts w:ascii="仿宋" w:hAnsi="仿宋" w:eastAsia="仿宋" w:cs="Times New Roman"/>
                <w:sz w:val="24"/>
                <w:szCs w:val="28"/>
              </w:rPr>
              <w:t>学习</w:t>
            </w:r>
          </w:p>
          <w:p w14:paraId="52B74290">
            <w:pPr>
              <w:jc w:val="center"/>
              <w:rPr>
                <w:rFonts w:ascii="仿宋" w:hAnsi="仿宋" w:eastAsia="仿宋" w:cs="Times New Roman"/>
                <w:sz w:val="24"/>
                <w:szCs w:val="28"/>
              </w:rPr>
            </w:pPr>
            <w:r>
              <w:rPr>
                <w:rFonts w:ascii="仿宋" w:hAnsi="仿宋" w:eastAsia="仿宋" w:cs="Times New Roman"/>
                <w:sz w:val="24"/>
                <w:szCs w:val="28"/>
              </w:rPr>
              <w:t>交流</w:t>
            </w:r>
          </w:p>
          <w:p w14:paraId="5B817A48">
            <w:pPr>
              <w:jc w:val="center"/>
              <w:rPr>
                <w:rFonts w:ascii="仿宋" w:hAnsi="仿宋" w:eastAsia="仿宋" w:cs="Times New Roman"/>
                <w:sz w:val="24"/>
                <w:szCs w:val="28"/>
              </w:rPr>
            </w:pPr>
            <w:r>
              <w:rPr>
                <w:rFonts w:hint="eastAsia" w:ascii="仿宋" w:hAnsi="仿宋" w:eastAsia="仿宋" w:cs="Times New Roman"/>
                <w:sz w:val="24"/>
                <w:szCs w:val="28"/>
              </w:rPr>
              <w:t>项目</w:t>
            </w:r>
          </w:p>
          <w:p w14:paraId="113D128C">
            <w:pPr>
              <w:jc w:val="center"/>
              <w:rPr>
                <w:rFonts w:ascii="仿宋" w:hAnsi="仿宋" w:eastAsia="仿宋" w:cs="Times New Roman"/>
                <w:sz w:val="24"/>
                <w:szCs w:val="28"/>
              </w:rPr>
            </w:pPr>
          </w:p>
          <w:p w14:paraId="6EFD3808">
            <w:pPr>
              <w:jc w:val="center"/>
              <w:rPr>
                <w:rFonts w:ascii="仿宋" w:hAnsi="仿宋" w:eastAsia="仿宋" w:cs="Times New Roman"/>
                <w:sz w:val="24"/>
                <w:szCs w:val="28"/>
              </w:rPr>
            </w:pPr>
            <w:r>
              <w:rPr>
                <w:rFonts w:hint="eastAsia" w:ascii="仿宋" w:hAnsi="仿宋" w:eastAsia="仿宋" w:cs="Times New Roman"/>
                <w:sz w:val="24"/>
                <w:szCs w:val="28"/>
              </w:rPr>
              <w:t>最高</w:t>
            </w:r>
            <w:r>
              <w:rPr>
                <w:rFonts w:hint="eastAsia" w:ascii="仿宋" w:hAnsi="仿宋" w:eastAsia="仿宋" w:cs="Times New Roman"/>
                <w:sz w:val="24"/>
                <w:szCs w:val="28"/>
                <w:lang w:val="en-US" w:eastAsia="zh-CN"/>
              </w:rPr>
              <w:t>7</w:t>
            </w:r>
            <w:bookmarkStart w:id="17" w:name="_GoBack"/>
            <w:bookmarkEnd w:id="17"/>
            <w:r>
              <w:rPr>
                <w:rFonts w:hint="eastAsia" w:ascii="仿宋" w:hAnsi="仿宋" w:eastAsia="仿宋" w:cs="Times New Roman"/>
                <w:sz w:val="24"/>
                <w:szCs w:val="28"/>
              </w:rPr>
              <w:t>0</w:t>
            </w:r>
          </w:p>
        </w:tc>
        <w:tc>
          <w:tcPr>
            <w:tcW w:w="3402" w:type="dxa"/>
            <w:vAlign w:val="center"/>
          </w:tcPr>
          <w:p w14:paraId="035B8D6F">
            <w:pPr>
              <w:rPr>
                <w:rFonts w:ascii="仿宋" w:hAnsi="仿宋" w:eastAsia="仿宋" w:cs="Times New Roman"/>
                <w:sz w:val="24"/>
                <w:szCs w:val="28"/>
              </w:rPr>
            </w:pPr>
            <w:r>
              <w:rPr>
                <w:rFonts w:hint="eastAsia" w:ascii="仿宋" w:hAnsi="仿宋" w:eastAsia="仿宋" w:cs="Times New Roman"/>
                <w:sz w:val="24"/>
                <w:szCs w:val="28"/>
              </w:rPr>
              <w:t>参加“2+2”赴UTS项目，已获得第三年应修的全部学分，且WAM不低于85分</w:t>
            </w:r>
          </w:p>
        </w:tc>
        <w:tc>
          <w:tcPr>
            <w:tcW w:w="1177" w:type="dxa"/>
            <w:vAlign w:val="center"/>
          </w:tcPr>
          <w:p w14:paraId="6A4D9EFB">
            <w:pPr>
              <w:jc w:val="center"/>
              <w:rPr>
                <w:rFonts w:ascii="仿宋" w:hAnsi="仿宋" w:eastAsia="仿宋" w:cs="Times New Roman"/>
              </w:rPr>
            </w:pPr>
            <w:r>
              <w:rPr>
                <w:rFonts w:hint="eastAsia" w:ascii="仿宋" w:hAnsi="仿宋" w:eastAsia="仿宋" w:cs="Times New Roman"/>
              </w:rPr>
              <w:t>70</w:t>
            </w:r>
          </w:p>
        </w:tc>
        <w:tc>
          <w:tcPr>
            <w:tcW w:w="2740" w:type="dxa"/>
            <w:vMerge w:val="restart"/>
            <w:vAlign w:val="center"/>
          </w:tcPr>
          <w:p w14:paraId="3ED90436">
            <w:pPr>
              <w:rPr>
                <w:rFonts w:ascii="仿宋" w:hAnsi="仿宋" w:eastAsia="仿宋" w:cs="Times New Roman"/>
                <w:sz w:val="20"/>
                <w:szCs w:val="21"/>
              </w:rPr>
            </w:pPr>
            <w:r>
              <w:rPr>
                <w:rFonts w:hint="eastAsia" w:ascii="仿宋" w:hAnsi="仿宋" w:eastAsia="仿宋" w:cs="Times New Roman"/>
                <w:sz w:val="20"/>
                <w:szCs w:val="21"/>
              </w:rPr>
              <w:t>WAM以UTS正式出具的成绩单原件（带有数字认证的PDF文件）为准。</w:t>
            </w:r>
          </w:p>
          <w:p w14:paraId="26835D37">
            <w:pPr>
              <w:rPr>
                <w:rFonts w:ascii="仿宋" w:hAnsi="仿宋" w:eastAsia="仿宋" w:cs="Times New Roman"/>
                <w:sz w:val="20"/>
                <w:szCs w:val="21"/>
              </w:rPr>
            </w:pPr>
          </w:p>
          <w:p w14:paraId="189BD968">
            <w:pPr>
              <w:rPr>
                <w:rFonts w:ascii="仿宋" w:hAnsi="仿宋" w:eastAsia="仿宋" w:cs="Times New Roman"/>
                <w:sz w:val="20"/>
                <w:szCs w:val="21"/>
              </w:rPr>
            </w:pPr>
            <w:r>
              <w:rPr>
                <w:rFonts w:ascii="仿宋" w:hAnsi="仿宋" w:eastAsia="仿宋" w:cs="Times New Roman"/>
                <w:sz w:val="20"/>
                <w:szCs w:val="21"/>
              </w:rPr>
              <w:t>须提供相关证明材料，并提供与项目相符的出入境记录。</w:t>
            </w:r>
          </w:p>
        </w:tc>
      </w:tr>
      <w:tr w14:paraId="34139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6EA62894">
            <w:pPr>
              <w:jc w:val="center"/>
              <w:rPr>
                <w:rFonts w:ascii="仿宋" w:hAnsi="仿宋" w:eastAsia="仿宋" w:cs="Times New Roman"/>
                <w:sz w:val="24"/>
                <w:szCs w:val="28"/>
              </w:rPr>
            </w:pPr>
          </w:p>
        </w:tc>
        <w:tc>
          <w:tcPr>
            <w:tcW w:w="3402" w:type="dxa"/>
            <w:vAlign w:val="center"/>
          </w:tcPr>
          <w:p w14:paraId="776FABA0">
            <w:pPr>
              <w:rPr>
                <w:rFonts w:ascii="仿宋" w:hAnsi="仿宋" w:eastAsia="仿宋" w:cs="Times New Roman"/>
                <w:sz w:val="24"/>
                <w:szCs w:val="28"/>
              </w:rPr>
            </w:pPr>
            <w:r>
              <w:rPr>
                <w:rFonts w:hint="eastAsia" w:ascii="仿宋" w:hAnsi="仿宋" w:eastAsia="仿宋" w:cs="Times New Roman"/>
                <w:sz w:val="24"/>
                <w:szCs w:val="28"/>
              </w:rPr>
              <w:t>参加“2+2”赴UTS项目，已获得第三年应修的全部学分，且WAM不低于75分、低于85分</w:t>
            </w:r>
          </w:p>
        </w:tc>
        <w:tc>
          <w:tcPr>
            <w:tcW w:w="1177" w:type="dxa"/>
            <w:vAlign w:val="center"/>
          </w:tcPr>
          <w:p w14:paraId="12180EB1">
            <w:pPr>
              <w:jc w:val="center"/>
              <w:rPr>
                <w:rFonts w:ascii="仿宋" w:hAnsi="仿宋" w:eastAsia="仿宋" w:cs="Times New Roman"/>
              </w:rPr>
            </w:pPr>
            <w:r>
              <w:rPr>
                <w:rFonts w:hint="eastAsia" w:ascii="仿宋" w:hAnsi="仿宋" w:eastAsia="仿宋" w:cs="Times New Roman"/>
              </w:rPr>
              <w:t>50</w:t>
            </w:r>
          </w:p>
        </w:tc>
        <w:tc>
          <w:tcPr>
            <w:tcW w:w="2740" w:type="dxa"/>
            <w:vMerge w:val="continue"/>
            <w:vAlign w:val="center"/>
          </w:tcPr>
          <w:p w14:paraId="3FF84FA1">
            <w:pPr>
              <w:rPr>
                <w:rFonts w:ascii="仿宋" w:hAnsi="仿宋" w:eastAsia="仿宋" w:cs="Times New Roman"/>
                <w:sz w:val="20"/>
                <w:szCs w:val="21"/>
              </w:rPr>
            </w:pPr>
          </w:p>
        </w:tc>
      </w:tr>
      <w:tr w14:paraId="18AAD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6E9D4756">
            <w:pPr>
              <w:jc w:val="center"/>
              <w:rPr>
                <w:rFonts w:ascii="仿宋" w:hAnsi="仿宋" w:eastAsia="仿宋" w:cs="Times New Roman"/>
                <w:sz w:val="24"/>
                <w:szCs w:val="28"/>
              </w:rPr>
            </w:pPr>
          </w:p>
        </w:tc>
        <w:tc>
          <w:tcPr>
            <w:tcW w:w="3402" w:type="dxa"/>
            <w:vAlign w:val="center"/>
          </w:tcPr>
          <w:p w14:paraId="22C6A215">
            <w:pPr>
              <w:rPr>
                <w:rFonts w:ascii="仿宋" w:hAnsi="仿宋" w:eastAsia="仿宋" w:cs="Times New Roman"/>
                <w:sz w:val="24"/>
                <w:szCs w:val="28"/>
              </w:rPr>
            </w:pPr>
            <w:r>
              <w:rPr>
                <w:rFonts w:hint="eastAsia" w:ascii="仿宋" w:hAnsi="仿宋" w:eastAsia="仿宋" w:cs="Times New Roman"/>
                <w:sz w:val="24"/>
                <w:szCs w:val="28"/>
              </w:rPr>
              <w:t>参加“2+2”赴UTS项目，已获得第三年应修的全部学分，且WAM不低于70分、低于75分</w:t>
            </w:r>
          </w:p>
        </w:tc>
        <w:tc>
          <w:tcPr>
            <w:tcW w:w="1177" w:type="dxa"/>
            <w:vAlign w:val="center"/>
          </w:tcPr>
          <w:p w14:paraId="3944D293">
            <w:pPr>
              <w:jc w:val="center"/>
              <w:rPr>
                <w:rFonts w:ascii="仿宋" w:hAnsi="仿宋" w:eastAsia="仿宋" w:cs="Times New Roman"/>
              </w:rPr>
            </w:pPr>
            <w:r>
              <w:rPr>
                <w:rFonts w:hint="eastAsia" w:ascii="仿宋" w:hAnsi="仿宋" w:eastAsia="仿宋" w:cs="Times New Roman"/>
              </w:rPr>
              <w:t>40</w:t>
            </w:r>
          </w:p>
        </w:tc>
        <w:tc>
          <w:tcPr>
            <w:tcW w:w="2740" w:type="dxa"/>
            <w:vMerge w:val="continue"/>
            <w:vAlign w:val="center"/>
          </w:tcPr>
          <w:p w14:paraId="204F2E2A">
            <w:pPr>
              <w:rPr>
                <w:rFonts w:ascii="仿宋" w:hAnsi="仿宋" w:eastAsia="仿宋" w:cs="Times New Roman"/>
                <w:sz w:val="20"/>
                <w:szCs w:val="21"/>
              </w:rPr>
            </w:pPr>
          </w:p>
        </w:tc>
      </w:tr>
      <w:tr w14:paraId="3456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76" w:type="dxa"/>
            <w:vMerge w:val="continue"/>
            <w:vAlign w:val="center"/>
          </w:tcPr>
          <w:p w14:paraId="6CE66849">
            <w:pPr>
              <w:jc w:val="center"/>
              <w:rPr>
                <w:rFonts w:ascii="仿宋" w:hAnsi="仿宋" w:eastAsia="仿宋" w:cs="Times New Roman"/>
                <w:sz w:val="24"/>
                <w:szCs w:val="28"/>
              </w:rPr>
            </w:pPr>
          </w:p>
        </w:tc>
        <w:tc>
          <w:tcPr>
            <w:tcW w:w="3402" w:type="dxa"/>
            <w:vAlign w:val="center"/>
          </w:tcPr>
          <w:p w14:paraId="5E3BBBB8">
            <w:pPr>
              <w:rPr>
                <w:rFonts w:ascii="仿宋" w:hAnsi="仿宋" w:eastAsia="仿宋" w:cs="Times New Roman"/>
                <w:sz w:val="24"/>
                <w:szCs w:val="28"/>
              </w:rPr>
            </w:pPr>
            <w:r>
              <w:rPr>
                <w:rFonts w:hint="eastAsia" w:ascii="仿宋" w:hAnsi="仿宋" w:eastAsia="仿宋" w:cs="Times New Roman"/>
                <w:sz w:val="24"/>
                <w:szCs w:val="28"/>
              </w:rPr>
              <w:t>参加“2+2”赴UTS项目，已获得第三年应修的全部学分，且WAM不低于65分、低于70分</w:t>
            </w:r>
          </w:p>
        </w:tc>
        <w:tc>
          <w:tcPr>
            <w:tcW w:w="1177" w:type="dxa"/>
            <w:vAlign w:val="center"/>
          </w:tcPr>
          <w:p w14:paraId="349D5DC8">
            <w:pPr>
              <w:jc w:val="center"/>
              <w:rPr>
                <w:rFonts w:ascii="仿宋" w:hAnsi="仿宋" w:eastAsia="仿宋" w:cs="Times New Roman"/>
              </w:rPr>
            </w:pPr>
            <w:r>
              <w:rPr>
                <w:rFonts w:hint="eastAsia" w:ascii="仿宋" w:hAnsi="仿宋" w:eastAsia="仿宋" w:cs="Times New Roman"/>
              </w:rPr>
              <w:t>30</w:t>
            </w:r>
          </w:p>
        </w:tc>
        <w:tc>
          <w:tcPr>
            <w:tcW w:w="2740" w:type="dxa"/>
            <w:vMerge w:val="continue"/>
            <w:vAlign w:val="center"/>
          </w:tcPr>
          <w:p w14:paraId="142396A1">
            <w:pPr>
              <w:rPr>
                <w:rFonts w:ascii="仿宋" w:hAnsi="仿宋" w:eastAsia="仿宋" w:cs="Times New Roman"/>
                <w:sz w:val="20"/>
                <w:szCs w:val="21"/>
              </w:rPr>
            </w:pPr>
          </w:p>
        </w:tc>
      </w:tr>
      <w:tr w14:paraId="3CA10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76" w:type="dxa"/>
            <w:vMerge w:val="continue"/>
            <w:vAlign w:val="center"/>
          </w:tcPr>
          <w:p w14:paraId="6E7683B1">
            <w:pPr>
              <w:jc w:val="center"/>
              <w:rPr>
                <w:rFonts w:ascii="仿宋" w:hAnsi="仿宋" w:eastAsia="仿宋" w:cs="Times New Roman"/>
                <w:sz w:val="24"/>
                <w:szCs w:val="28"/>
              </w:rPr>
            </w:pPr>
          </w:p>
        </w:tc>
        <w:tc>
          <w:tcPr>
            <w:tcW w:w="3402" w:type="dxa"/>
            <w:vAlign w:val="center"/>
          </w:tcPr>
          <w:p w14:paraId="53A71FE6">
            <w:pPr>
              <w:rPr>
                <w:rFonts w:ascii="仿宋" w:hAnsi="仿宋" w:eastAsia="仿宋" w:cs="Times New Roman"/>
                <w:sz w:val="24"/>
                <w:szCs w:val="28"/>
              </w:rPr>
            </w:pPr>
            <w:r>
              <w:rPr>
                <w:rFonts w:hint="eastAsia" w:ascii="仿宋" w:hAnsi="仿宋" w:eastAsia="仿宋" w:cs="Times New Roman"/>
                <w:sz w:val="24"/>
                <w:szCs w:val="28"/>
              </w:rPr>
              <w:t>参加学校公开发布的其他不少于一学期的赴境外学习交流项目，已获得应修的全部学分</w:t>
            </w:r>
          </w:p>
        </w:tc>
        <w:tc>
          <w:tcPr>
            <w:tcW w:w="1177" w:type="dxa"/>
            <w:vAlign w:val="center"/>
          </w:tcPr>
          <w:p w14:paraId="4D7FAB79">
            <w:pPr>
              <w:jc w:val="center"/>
              <w:rPr>
                <w:rFonts w:ascii="仿宋" w:hAnsi="仿宋" w:eastAsia="仿宋" w:cs="Times New Roman"/>
              </w:rPr>
            </w:pPr>
            <w:r>
              <w:rPr>
                <w:rFonts w:ascii="仿宋" w:hAnsi="仿宋" w:eastAsia="仿宋" w:cs="Times New Roman"/>
              </w:rPr>
              <w:t>2</w:t>
            </w:r>
            <w:r>
              <w:rPr>
                <w:rFonts w:hint="eastAsia" w:ascii="仿宋" w:hAnsi="仿宋" w:eastAsia="仿宋" w:cs="Times New Roman"/>
              </w:rPr>
              <w:t>0</w:t>
            </w:r>
          </w:p>
        </w:tc>
        <w:tc>
          <w:tcPr>
            <w:tcW w:w="2740" w:type="dxa"/>
            <w:vAlign w:val="center"/>
          </w:tcPr>
          <w:p w14:paraId="35E21088">
            <w:pPr>
              <w:rPr>
                <w:rFonts w:ascii="仿宋" w:hAnsi="仿宋" w:eastAsia="仿宋" w:cs="Times New Roman"/>
                <w:sz w:val="20"/>
                <w:szCs w:val="21"/>
              </w:rPr>
            </w:pPr>
            <w:r>
              <w:rPr>
                <w:rFonts w:ascii="仿宋" w:hAnsi="仿宋" w:eastAsia="仿宋" w:cs="Times New Roman"/>
                <w:sz w:val="20"/>
                <w:szCs w:val="21"/>
              </w:rPr>
              <w:t>须提供相关证明材料，并提供与项目相符的出入境记录。</w:t>
            </w:r>
          </w:p>
        </w:tc>
      </w:tr>
      <w:tr w14:paraId="4294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76" w:type="dxa"/>
            <w:vMerge w:val="continue"/>
            <w:vAlign w:val="center"/>
          </w:tcPr>
          <w:p w14:paraId="08A98807">
            <w:pPr>
              <w:jc w:val="center"/>
              <w:rPr>
                <w:rFonts w:ascii="仿宋" w:hAnsi="仿宋" w:eastAsia="仿宋" w:cs="Times New Roman"/>
                <w:sz w:val="24"/>
                <w:szCs w:val="28"/>
              </w:rPr>
            </w:pPr>
          </w:p>
        </w:tc>
        <w:tc>
          <w:tcPr>
            <w:tcW w:w="3402" w:type="dxa"/>
            <w:vAlign w:val="center"/>
          </w:tcPr>
          <w:p w14:paraId="6AD435CE">
            <w:pPr>
              <w:rPr>
                <w:rFonts w:ascii="仿宋" w:hAnsi="仿宋" w:eastAsia="仿宋" w:cs="Times New Roman"/>
                <w:sz w:val="24"/>
                <w:szCs w:val="28"/>
              </w:rPr>
            </w:pPr>
            <w:r>
              <w:rPr>
                <w:rFonts w:hint="eastAsia" w:ascii="仿宋" w:hAnsi="仿宋" w:eastAsia="仿宋" w:cs="Times New Roman"/>
                <w:sz w:val="24"/>
                <w:szCs w:val="28"/>
              </w:rPr>
              <w:t>参加学校公开发布的三个月以内的赴境外学习交流项目</w:t>
            </w:r>
          </w:p>
        </w:tc>
        <w:tc>
          <w:tcPr>
            <w:tcW w:w="1177" w:type="dxa"/>
            <w:vAlign w:val="center"/>
          </w:tcPr>
          <w:p w14:paraId="6A2101B1">
            <w:pPr>
              <w:jc w:val="center"/>
              <w:rPr>
                <w:rFonts w:ascii="仿宋" w:hAnsi="仿宋" w:eastAsia="仿宋" w:cs="Times New Roman"/>
              </w:rPr>
            </w:pPr>
            <w:r>
              <w:rPr>
                <w:rFonts w:hint="eastAsia" w:ascii="仿宋" w:hAnsi="仿宋" w:eastAsia="仿宋" w:cs="Times New Roman"/>
              </w:rPr>
              <w:t>10</w:t>
            </w:r>
          </w:p>
        </w:tc>
        <w:tc>
          <w:tcPr>
            <w:tcW w:w="2740" w:type="dxa"/>
            <w:vAlign w:val="center"/>
          </w:tcPr>
          <w:p w14:paraId="0F4AC5D6">
            <w:pPr>
              <w:rPr>
                <w:rFonts w:ascii="仿宋" w:hAnsi="仿宋" w:eastAsia="仿宋" w:cs="Times New Roman"/>
                <w:sz w:val="24"/>
                <w:szCs w:val="28"/>
              </w:rPr>
            </w:pPr>
            <w:r>
              <w:rPr>
                <w:rFonts w:ascii="仿宋" w:hAnsi="仿宋" w:eastAsia="仿宋" w:cs="Times New Roman"/>
                <w:sz w:val="20"/>
                <w:szCs w:val="21"/>
              </w:rPr>
              <w:t>须提供相关证明材料，并提供与项目相符的出入境记录。</w:t>
            </w:r>
          </w:p>
        </w:tc>
      </w:tr>
    </w:tbl>
    <w:p w14:paraId="4EEA9D75">
      <w:pPr>
        <w:ind w:firstLine="640" w:firstLineChars="200"/>
        <w:rPr>
          <w:rFonts w:ascii="仿宋" w:hAnsi="仿宋" w:eastAsia="仿宋" w:cs="Times New Roman"/>
          <w:sz w:val="32"/>
          <w:szCs w:val="36"/>
        </w:rPr>
      </w:pPr>
      <w:r>
        <w:rPr>
          <w:rFonts w:hint="eastAsia" w:ascii="仿宋" w:hAnsi="仿宋" w:eastAsia="仿宋" w:cs="Times New Roman"/>
          <w:sz w:val="32"/>
          <w:szCs w:val="36"/>
        </w:rPr>
        <w:t>（2）创新能力考核成绩（M2）</w:t>
      </w:r>
    </w:p>
    <w:p w14:paraId="19A764D4">
      <w:pPr>
        <w:ind w:firstLine="640" w:firstLineChars="200"/>
        <w:rPr>
          <w:rFonts w:ascii="仿宋" w:hAnsi="仿宋" w:eastAsia="仿宋" w:cs="Times New Roman"/>
          <w:sz w:val="32"/>
          <w:szCs w:val="36"/>
        </w:rPr>
      </w:pPr>
      <w:r>
        <w:rPr>
          <w:rFonts w:hint="eastAsia" w:ascii="仿宋" w:hAnsi="仿宋" w:eastAsia="仿宋" w:cs="Times New Roman"/>
          <w:sz w:val="32"/>
          <w:szCs w:val="36"/>
        </w:rPr>
        <w:t>考核方式为现场答辩，其中“2+2”赴UTS学生可通过学院指定平台在线参加。学院组织成立专家组进行考核（专家要求副教授及以上职称，人数不少于7人，且为单数）。主要对申请学生的创新能力进行审核鉴定，排除抄袭、造假、冒名及有名无实等情况。计分类别及项目如表2所示。如多次参加同一类别的项目，仅计入最高得分项目。</w:t>
      </w:r>
    </w:p>
    <w:p w14:paraId="45D3CBE4">
      <w:pPr>
        <w:jc w:val="center"/>
        <w:rPr>
          <w:rFonts w:ascii="仿宋" w:hAnsi="仿宋" w:eastAsia="仿宋" w:cs="Times New Roman"/>
          <w:color w:val="FF0000"/>
          <w:sz w:val="32"/>
          <w:szCs w:val="36"/>
        </w:rPr>
      </w:pPr>
      <w:r>
        <w:rPr>
          <w:rFonts w:hint="eastAsia" w:ascii="仿宋" w:hAnsi="仿宋" w:eastAsia="仿宋" w:cs="Times New Roman"/>
          <w:sz w:val="28"/>
          <w:szCs w:val="32"/>
        </w:rPr>
        <w:t>表2. M2得分明细表</w:t>
      </w:r>
    </w:p>
    <w:tbl>
      <w:tblPr>
        <w:tblStyle w:val="5"/>
        <w:tblW w:w="82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6"/>
        <w:gridCol w:w="3036"/>
        <w:gridCol w:w="1796"/>
        <w:gridCol w:w="2562"/>
      </w:tblGrid>
      <w:tr w14:paraId="450EB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76" w:type="dxa"/>
            <w:vAlign w:val="center"/>
          </w:tcPr>
          <w:p w14:paraId="6941D07A">
            <w:pPr>
              <w:jc w:val="center"/>
              <w:rPr>
                <w:rFonts w:ascii="仿宋" w:hAnsi="仿宋" w:eastAsia="仿宋" w:cs="Times New Roman"/>
                <w:sz w:val="24"/>
                <w:szCs w:val="28"/>
              </w:rPr>
            </w:pPr>
            <w:r>
              <w:rPr>
                <w:rFonts w:ascii="仿宋" w:hAnsi="仿宋" w:eastAsia="仿宋" w:cs="Times New Roman"/>
                <w:sz w:val="24"/>
                <w:szCs w:val="28"/>
              </w:rPr>
              <w:t>类别</w:t>
            </w:r>
          </w:p>
        </w:tc>
        <w:tc>
          <w:tcPr>
            <w:tcW w:w="3036" w:type="dxa"/>
            <w:vAlign w:val="center"/>
          </w:tcPr>
          <w:p w14:paraId="1CE7D2AE">
            <w:pPr>
              <w:jc w:val="center"/>
              <w:rPr>
                <w:rFonts w:ascii="仿宋" w:hAnsi="仿宋" w:eastAsia="仿宋" w:cs="Times New Roman"/>
                <w:sz w:val="24"/>
                <w:szCs w:val="28"/>
              </w:rPr>
            </w:pPr>
            <w:r>
              <w:rPr>
                <w:rFonts w:ascii="仿宋" w:hAnsi="仿宋" w:eastAsia="仿宋" w:cs="Times New Roman"/>
                <w:sz w:val="24"/>
                <w:szCs w:val="28"/>
              </w:rPr>
              <w:t>项目</w:t>
            </w:r>
          </w:p>
        </w:tc>
        <w:tc>
          <w:tcPr>
            <w:tcW w:w="1796" w:type="dxa"/>
            <w:vAlign w:val="center"/>
          </w:tcPr>
          <w:p w14:paraId="048A2871">
            <w:pPr>
              <w:jc w:val="center"/>
              <w:rPr>
                <w:rFonts w:ascii="仿宋" w:hAnsi="仿宋" w:eastAsia="仿宋" w:cs="Times New Roman"/>
                <w:sz w:val="24"/>
                <w:szCs w:val="28"/>
              </w:rPr>
            </w:pPr>
            <w:r>
              <w:rPr>
                <w:rFonts w:ascii="仿宋" w:hAnsi="仿宋" w:eastAsia="仿宋" w:cs="Times New Roman"/>
                <w:sz w:val="24"/>
                <w:szCs w:val="28"/>
              </w:rPr>
              <w:t>得分</w:t>
            </w:r>
          </w:p>
        </w:tc>
        <w:tc>
          <w:tcPr>
            <w:tcW w:w="2562" w:type="dxa"/>
            <w:vAlign w:val="center"/>
          </w:tcPr>
          <w:p w14:paraId="433E389D">
            <w:pPr>
              <w:jc w:val="center"/>
              <w:rPr>
                <w:rFonts w:ascii="仿宋" w:hAnsi="仿宋" w:eastAsia="仿宋" w:cs="Times New Roman"/>
                <w:sz w:val="24"/>
                <w:szCs w:val="28"/>
              </w:rPr>
            </w:pPr>
            <w:r>
              <w:rPr>
                <w:rFonts w:ascii="仿宋" w:hAnsi="仿宋" w:eastAsia="仿宋" w:cs="Times New Roman"/>
                <w:sz w:val="24"/>
                <w:szCs w:val="28"/>
              </w:rPr>
              <w:t>说明</w:t>
            </w:r>
          </w:p>
        </w:tc>
      </w:tr>
      <w:tr w14:paraId="4A7D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876" w:type="dxa"/>
            <w:vMerge w:val="restart"/>
            <w:vAlign w:val="center"/>
          </w:tcPr>
          <w:p w14:paraId="60785F50">
            <w:pPr>
              <w:jc w:val="center"/>
              <w:rPr>
                <w:rFonts w:ascii="仿宋" w:hAnsi="仿宋" w:eastAsia="仿宋" w:cs="Times New Roman"/>
                <w:sz w:val="24"/>
                <w:szCs w:val="28"/>
              </w:rPr>
            </w:pPr>
            <w:r>
              <w:rPr>
                <w:rFonts w:ascii="仿宋" w:hAnsi="仿宋" w:eastAsia="仿宋" w:cs="Times New Roman"/>
                <w:sz w:val="24"/>
                <w:szCs w:val="28"/>
              </w:rPr>
              <w:t>发表</w:t>
            </w:r>
          </w:p>
          <w:p w14:paraId="04ED6E5C">
            <w:pPr>
              <w:jc w:val="center"/>
              <w:rPr>
                <w:rFonts w:ascii="仿宋" w:hAnsi="仿宋" w:eastAsia="仿宋" w:cs="Times New Roman"/>
                <w:sz w:val="24"/>
                <w:szCs w:val="28"/>
              </w:rPr>
            </w:pPr>
            <w:r>
              <w:rPr>
                <w:rFonts w:ascii="仿宋" w:hAnsi="仿宋" w:eastAsia="仿宋" w:cs="Times New Roman"/>
                <w:sz w:val="24"/>
                <w:szCs w:val="28"/>
              </w:rPr>
              <w:t>学术</w:t>
            </w:r>
          </w:p>
          <w:p w14:paraId="23AF8149">
            <w:pPr>
              <w:jc w:val="center"/>
              <w:rPr>
                <w:rFonts w:ascii="仿宋" w:hAnsi="仿宋" w:eastAsia="仿宋" w:cs="Times New Roman"/>
                <w:sz w:val="24"/>
                <w:szCs w:val="28"/>
              </w:rPr>
            </w:pPr>
            <w:r>
              <w:rPr>
                <w:rFonts w:ascii="仿宋" w:hAnsi="仿宋" w:eastAsia="仿宋" w:cs="Times New Roman"/>
                <w:sz w:val="24"/>
                <w:szCs w:val="28"/>
              </w:rPr>
              <w:t>论文</w:t>
            </w:r>
          </w:p>
          <w:p w14:paraId="1EFF9A66">
            <w:pPr>
              <w:jc w:val="center"/>
              <w:rPr>
                <w:rFonts w:ascii="仿宋" w:hAnsi="仿宋" w:eastAsia="仿宋" w:cs="Times New Roman"/>
                <w:sz w:val="24"/>
                <w:szCs w:val="28"/>
              </w:rPr>
            </w:pPr>
          </w:p>
          <w:p w14:paraId="4ED2FC77">
            <w:pPr>
              <w:jc w:val="center"/>
              <w:rPr>
                <w:rFonts w:ascii="仿宋" w:hAnsi="仿宋" w:eastAsia="仿宋" w:cs="Times New Roman"/>
                <w:sz w:val="24"/>
                <w:szCs w:val="28"/>
              </w:rPr>
            </w:pPr>
            <w:r>
              <w:rPr>
                <w:rFonts w:ascii="仿宋" w:hAnsi="仿宋" w:eastAsia="仿宋" w:cs="Times New Roman"/>
                <w:sz w:val="24"/>
                <w:szCs w:val="28"/>
              </w:rPr>
              <w:t>最高</w:t>
            </w:r>
            <w:r>
              <w:rPr>
                <w:rFonts w:hint="eastAsia" w:ascii="仿宋" w:hAnsi="仿宋" w:eastAsia="仿宋" w:cs="Times New Roman"/>
                <w:sz w:val="24"/>
                <w:szCs w:val="28"/>
              </w:rPr>
              <w:t>60</w:t>
            </w:r>
          </w:p>
        </w:tc>
        <w:tc>
          <w:tcPr>
            <w:tcW w:w="3036" w:type="dxa"/>
            <w:vAlign w:val="center"/>
          </w:tcPr>
          <w:p w14:paraId="0F2C5107">
            <w:pPr>
              <w:rPr>
                <w:rFonts w:ascii="仿宋" w:hAnsi="仿宋" w:eastAsia="仿宋" w:cs="Times New Roman"/>
                <w:sz w:val="24"/>
                <w:szCs w:val="28"/>
              </w:rPr>
            </w:pPr>
            <w:r>
              <w:rPr>
                <w:rFonts w:ascii="仿宋" w:hAnsi="仿宋" w:eastAsia="仿宋" w:cs="Times New Roman"/>
                <w:sz w:val="24"/>
                <w:szCs w:val="28"/>
              </w:rPr>
              <w:t>Web of Science</w:t>
            </w:r>
          </w:p>
          <w:p w14:paraId="322D2D52">
            <w:pPr>
              <w:rPr>
                <w:rFonts w:ascii="仿宋" w:hAnsi="仿宋" w:eastAsia="仿宋" w:cs="Times New Roman"/>
                <w:sz w:val="24"/>
                <w:szCs w:val="28"/>
              </w:rPr>
            </w:pPr>
            <w:r>
              <w:rPr>
                <w:rFonts w:ascii="仿宋" w:hAnsi="仿宋" w:eastAsia="仿宋" w:cs="Times New Roman"/>
                <w:sz w:val="24"/>
                <w:szCs w:val="28"/>
              </w:rPr>
              <w:t>收录的论文</w:t>
            </w:r>
          </w:p>
        </w:tc>
        <w:tc>
          <w:tcPr>
            <w:tcW w:w="1796" w:type="dxa"/>
            <w:vAlign w:val="center"/>
          </w:tcPr>
          <w:p w14:paraId="0A3069F9">
            <w:pPr>
              <w:jc w:val="center"/>
              <w:rPr>
                <w:rFonts w:ascii="仿宋" w:hAnsi="仿宋" w:eastAsia="仿宋" w:cs="Times New Roman"/>
                <w:sz w:val="20"/>
                <w:szCs w:val="20"/>
              </w:rPr>
            </w:pPr>
            <w:r>
              <w:rPr>
                <w:rFonts w:ascii="仿宋" w:hAnsi="仿宋" w:eastAsia="仿宋" w:cs="Times New Roman"/>
                <w:sz w:val="20"/>
                <w:szCs w:val="20"/>
              </w:rPr>
              <w:t>ESI：</w:t>
            </w:r>
            <w:r>
              <w:rPr>
                <w:rFonts w:hint="eastAsia" w:ascii="仿宋" w:hAnsi="仿宋" w:eastAsia="仿宋" w:cs="Times New Roman"/>
                <w:sz w:val="20"/>
                <w:szCs w:val="20"/>
              </w:rPr>
              <w:t>60</w:t>
            </w:r>
          </w:p>
          <w:p w14:paraId="7E5E3E5C">
            <w:pPr>
              <w:jc w:val="center"/>
              <w:rPr>
                <w:rFonts w:ascii="仿宋" w:hAnsi="仿宋" w:eastAsia="仿宋" w:cs="Times New Roman"/>
                <w:sz w:val="20"/>
                <w:szCs w:val="20"/>
              </w:rPr>
            </w:pPr>
            <w:r>
              <w:rPr>
                <w:rFonts w:ascii="仿宋" w:hAnsi="仿宋" w:eastAsia="仿宋" w:cs="Times New Roman"/>
                <w:sz w:val="20"/>
                <w:szCs w:val="20"/>
              </w:rPr>
              <w:t>SCI一区：</w:t>
            </w:r>
            <w:r>
              <w:rPr>
                <w:rFonts w:hint="eastAsia" w:ascii="仿宋" w:hAnsi="仿宋" w:eastAsia="仿宋" w:cs="Times New Roman"/>
                <w:sz w:val="20"/>
                <w:szCs w:val="20"/>
              </w:rPr>
              <w:t>50</w:t>
            </w:r>
          </w:p>
          <w:p w14:paraId="008B4583">
            <w:pPr>
              <w:jc w:val="center"/>
              <w:rPr>
                <w:rFonts w:ascii="仿宋" w:hAnsi="仿宋" w:eastAsia="仿宋" w:cs="Times New Roman"/>
                <w:sz w:val="20"/>
                <w:szCs w:val="20"/>
              </w:rPr>
            </w:pPr>
            <w:r>
              <w:rPr>
                <w:rFonts w:ascii="仿宋" w:hAnsi="仿宋" w:eastAsia="仿宋" w:cs="Times New Roman"/>
                <w:sz w:val="20"/>
                <w:szCs w:val="20"/>
              </w:rPr>
              <w:t>SCI二区：</w:t>
            </w:r>
            <w:r>
              <w:rPr>
                <w:rFonts w:hint="eastAsia" w:ascii="仿宋" w:hAnsi="仿宋" w:eastAsia="仿宋" w:cs="Times New Roman"/>
                <w:sz w:val="20"/>
                <w:szCs w:val="20"/>
              </w:rPr>
              <w:t>40</w:t>
            </w:r>
          </w:p>
          <w:p w14:paraId="79F67041">
            <w:pPr>
              <w:jc w:val="center"/>
              <w:rPr>
                <w:rFonts w:ascii="仿宋" w:hAnsi="仿宋" w:eastAsia="仿宋" w:cs="Times New Roman"/>
                <w:sz w:val="20"/>
                <w:szCs w:val="20"/>
              </w:rPr>
            </w:pPr>
            <w:r>
              <w:rPr>
                <w:rFonts w:ascii="仿宋" w:hAnsi="仿宋" w:eastAsia="仿宋" w:cs="Times New Roman"/>
                <w:sz w:val="20"/>
                <w:szCs w:val="20"/>
              </w:rPr>
              <w:t>SCI三区：</w:t>
            </w:r>
            <w:r>
              <w:rPr>
                <w:rFonts w:hint="eastAsia" w:ascii="仿宋" w:hAnsi="仿宋" w:eastAsia="仿宋" w:cs="Times New Roman"/>
                <w:sz w:val="20"/>
                <w:szCs w:val="20"/>
              </w:rPr>
              <w:t>20</w:t>
            </w:r>
          </w:p>
          <w:p w14:paraId="7E3D5A42">
            <w:pPr>
              <w:jc w:val="center"/>
              <w:rPr>
                <w:rFonts w:ascii="仿宋" w:hAnsi="仿宋" w:eastAsia="仿宋" w:cs="Times New Roman"/>
                <w:sz w:val="20"/>
                <w:szCs w:val="20"/>
              </w:rPr>
            </w:pPr>
            <w:r>
              <w:rPr>
                <w:rFonts w:ascii="仿宋" w:hAnsi="仿宋" w:eastAsia="仿宋" w:cs="Times New Roman"/>
                <w:sz w:val="20"/>
                <w:szCs w:val="20"/>
              </w:rPr>
              <w:t>SCI四区：</w:t>
            </w:r>
            <w:r>
              <w:rPr>
                <w:rFonts w:hint="eastAsia" w:ascii="仿宋" w:hAnsi="仿宋" w:eastAsia="仿宋" w:cs="Times New Roman"/>
                <w:sz w:val="20"/>
                <w:szCs w:val="20"/>
              </w:rPr>
              <w:t>10</w:t>
            </w:r>
          </w:p>
        </w:tc>
        <w:tc>
          <w:tcPr>
            <w:tcW w:w="2562" w:type="dxa"/>
            <w:vMerge w:val="restart"/>
            <w:vAlign w:val="center"/>
          </w:tcPr>
          <w:p w14:paraId="12BC89E5">
            <w:pPr>
              <w:rPr>
                <w:rFonts w:ascii="仿宋" w:hAnsi="仿宋" w:eastAsia="仿宋" w:cs="Times New Roman"/>
                <w:sz w:val="20"/>
                <w:szCs w:val="20"/>
              </w:rPr>
            </w:pPr>
            <w:r>
              <w:rPr>
                <w:rFonts w:ascii="仿宋" w:hAnsi="仿宋" w:eastAsia="仿宋" w:cs="Times New Roman"/>
                <w:sz w:val="20"/>
                <w:szCs w:val="20"/>
              </w:rPr>
              <w:t>学生须为第一作者。出现并列第一作者时，得分须除以并列第一作者人数。东北大学或东北大学秦皇岛分校</w:t>
            </w:r>
            <w:r>
              <w:rPr>
                <w:rFonts w:hint="eastAsia" w:ascii="仿宋" w:hAnsi="仿宋" w:eastAsia="仿宋" w:cs="Times New Roman"/>
                <w:sz w:val="20"/>
                <w:szCs w:val="20"/>
              </w:rPr>
              <w:t>应</w:t>
            </w:r>
            <w:r>
              <w:rPr>
                <w:rFonts w:ascii="仿宋" w:hAnsi="仿宋" w:eastAsia="仿宋" w:cs="Times New Roman"/>
                <w:sz w:val="20"/>
                <w:szCs w:val="20"/>
              </w:rPr>
              <w:t>为第一署名单位</w:t>
            </w:r>
            <w:r>
              <w:rPr>
                <w:rFonts w:hint="eastAsia" w:ascii="仿宋" w:hAnsi="仿宋" w:eastAsia="仿宋" w:cs="Times New Roman"/>
                <w:sz w:val="20"/>
                <w:szCs w:val="20"/>
              </w:rPr>
              <w:t>，其中，参加“2+2”赴UTS项目学生，第一署名单位为UTS的，可视为符合署名单位要求。</w:t>
            </w:r>
          </w:p>
          <w:p w14:paraId="6602C9AA">
            <w:pPr>
              <w:rPr>
                <w:rFonts w:ascii="仿宋" w:hAnsi="仿宋" w:eastAsia="仿宋" w:cs="Times New Roman"/>
                <w:sz w:val="20"/>
                <w:szCs w:val="20"/>
              </w:rPr>
            </w:pPr>
            <w:r>
              <w:rPr>
                <w:rFonts w:ascii="仿宋" w:hAnsi="仿宋" w:eastAsia="仿宋" w:cs="Times New Roman"/>
                <w:sz w:val="20"/>
                <w:szCs w:val="20"/>
              </w:rPr>
              <w:t>SCI分区以文章发表年度的JCR为准。</w:t>
            </w:r>
          </w:p>
          <w:p w14:paraId="13FF76CC">
            <w:pPr>
              <w:rPr>
                <w:rFonts w:ascii="仿宋" w:hAnsi="仿宋" w:eastAsia="仿宋" w:cs="Times New Roman"/>
                <w:sz w:val="20"/>
                <w:szCs w:val="20"/>
              </w:rPr>
            </w:pPr>
            <w:r>
              <w:rPr>
                <w:rFonts w:ascii="仿宋" w:hAnsi="仿宋" w:eastAsia="仿宋" w:cs="Times New Roman"/>
                <w:sz w:val="20"/>
                <w:szCs w:val="20"/>
              </w:rPr>
              <w:t>须提供教育部科技查新工作站出具的检索证明及论文复印件。</w:t>
            </w:r>
          </w:p>
        </w:tc>
      </w:tr>
      <w:tr w14:paraId="4CE6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76" w:type="dxa"/>
            <w:vMerge w:val="continue"/>
            <w:vAlign w:val="center"/>
          </w:tcPr>
          <w:p w14:paraId="3DB9C3F1">
            <w:pPr>
              <w:jc w:val="center"/>
              <w:rPr>
                <w:rFonts w:ascii="仿宋" w:hAnsi="仿宋" w:eastAsia="仿宋" w:cs="Times New Roman"/>
                <w:sz w:val="24"/>
                <w:szCs w:val="28"/>
              </w:rPr>
            </w:pPr>
          </w:p>
        </w:tc>
        <w:tc>
          <w:tcPr>
            <w:tcW w:w="3036" w:type="dxa"/>
            <w:vAlign w:val="center"/>
          </w:tcPr>
          <w:p w14:paraId="1A9EC04E">
            <w:pPr>
              <w:rPr>
                <w:rFonts w:ascii="仿宋" w:hAnsi="仿宋" w:eastAsia="仿宋" w:cs="Times New Roman"/>
                <w:sz w:val="24"/>
                <w:szCs w:val="28"/>
              </w:rPr>
            </w:pPr>
            <w:r>
              <w:rPr>
                <w:rFonts w:ascii="仿宋" w:hAnsi="仿宋" w:eastAsia="仿宋" w:cs="Times New Roman"/>
                <w:sz w:val="24"/>
                <w:szCs w:val="28"/>
              </w:rPr>
              <w:t>EI收录的期刊论文</w:t>
            </w:r>
          </w:p>
        </w:tc>
        <w:tc>
          <w:tcPr>
            <w:tcW w:w="1796" w:type="dxa"/>
            <w:vAlign w:val="center"/>
          </w:tcPr>
          <w:p w14:paraId="57443C50">
            <w:pPr>
              <w:jc w:val="center"/>
              <w:rPr>
                <w:rFonts w:ascii="仿宋" w:hAnsi="仿宋" w:eastAsia="仿宋" w:cs="Times New Roman"/>
                <w:sz w:val="20"/>
                <w:szCs w:val="20"/>
              </w:rPr>
            </w:pPr>
            <w:r>
              <w:rPr>
                <w:rFonts w:hint="eastAsia" w:ascii="仿宋" w:hAnsi="仿宋" w:eastAsia="仿宋" w:cs="Times New Roman"/>
                <w:sz w:val="20"/>
                <w:szCs w:val="20"/>
              </w:rPr>
              <w:t>5</w:t>
            </w:r>
          </w:p>
        </w:tc>
        <w:tc>
          <w:tcPr>
            <w:tcW w:w="2562" w:type="dxa"/>
            <w:vMerge w:val="continue"/>
            <w:vAlign w:val="center"/>
          </w:tcPr>
          <w:p w14:paraId="6FCAA9F1">
            <w:pPr>
              <w:rPr>
                <w:rFonts w:ascii="仿宋" w:hAnsi="仿宋" w:eastAsia="仿宋" w:cs="Times New Roman"/>
                <w:sz w:val="20"/>
                <w:szCs w:val="20"/>
              </w:rPr>
            </w:pPr>
          </w:p>
        </w:tc>
      </w:tr>
      <w:tr w14:paraId="4E64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76" w:type="dxa"/>
            <w:vMerge w:val="restart"/>
            <w:vAlign w:val="center"/>
          </w:tcPr>
          <w:p w14:paraId="4166E0F8">
            <w:pPr>
              <w:jc w:val="center"/>
              <w:rPr>
                <w:rFonts w:ascii="仿宋" w:hAnsi="仿宋" w:eastAsia="仿宋" w:cs="Times New Roman"/>
                <w:sz w:val="24"/>
                <w:szCs w:val="28"/>
              </w:rPr>
            </w:pPr>
            <w:r>
              <w:rPr>
                <w:rFonts w:ascii="仿宋" w:hAnsi="仿宋" w:eastAsia="仿宋" w:cs="Times New Roman"/>
                <w:sz w:val="24"/>
                <w:szCs w:val="28"/>
              </w:rPr>
              <w:t>申请</w:t>
            </w:r>
          </w:p>
          <w:p w14:paraId="22D1552D">
            <w:pPr>
              <w:jc w:val="center"/>
              <w:rPr>
                <w:rFonts w:ascii="仿宋" w:hAnsi="仿宋" w:eastAsia="仿宋" w:cs="Times New Roman"/>
                <w:sz w:val="24"/>
                <w:szCs w:val="28"/>
              </w:rPr>
            </w:pPr>
            <w:r>
              <w:rPr>
                <w:rFonts w:ascii="仿宋" w:hAnsi="仿宋" w:eastAsia="仿宋" w:cs="Times New Roman"/>
                <w:sz w:val="24"/>
                <w:szCs w:val="28"/>
              </w:rPr>
              <w:t>专利</w:t>
            </w:r>
          </w:p>
          <w:p w14:paraId="53BD52F9">
            <w:pPr>
              <w:jc w:val="center"/>
              <w:rPr>
                <w:rFonts w:ascii="仿宋" w:hAnsi="仿宋" w:eastAsia="仿宋" w:cs="Times New Roman"/>
                <w:sz w:val="24"/>
                <w:szCs w:val="28"/>
              </w:rPr>
            </w:pPr>
          </w:p>
          <w:p w14:paraId="2124FA11">
            <w:pPr>
              <w:jc w:val="center"/>
              <w:rPr>
                <w:rFonts w:ascii="仿宋" w:hAnsi="仿宋" w:eastAsia="仿宋" w:cs="Times New Roman"/>
                <w:sz w:val="24"/>
                <w:szCs w:val="28"/>
              </w:rPr>
            </w:pPr>
            <w:r>
              <w:rPr>
                <w:rFonts w:ascii="仿宋" w:hAnsi="仿宋" w:eastAsia="仿宋" w:cs="Times New Roman"/>
                <w:sz w:val="24"/>
                <w:szCs w:val="28"/>
              </w:rPr>
              <w:t>最高</w:t>
            </w:r>
            <w:r>
              <w:rPr>
                <w:rFonts w:hint="eastAsia" w:ascii="仿宋" w:hAnsi="仿宋" w:eastAsia="仿宋" w:cs="Times New Roman"/>
                <w:sz w:val="24"/>
                <w:szCs w:val="28"/>
              </w:rPr>
              <w:t>10</w:t>
            </w:r>
          </w:p>
        </w:tc>
        <w:tc>
          <w:tcPr>
            <w:tcW w:w="3036" w:type="dxa"/>
            <w:vAlign w:val="center"/>
          </w:tcPr>
          <w:p w14:paraId="229A2F53">
            <w:pPr>
              <w:rPr>
                <w:rFonts w:ascii="仿宋" w:hAnsi="仿宋" w:eastAsia="仿宋" w:cs="Times New Roman"/>
                <w:sz w:val="24"/>
                <w:szCs w:val="28"/>
              </w:rPr>
            </w:pPr>
            <w:r>
              <w:rPr>
                <w:rFonts w:ascii="仿宋" w:hAnsi="仿宋" w:eastAsia="仿宋" w:cs="Times New Roman"/>
                <w:sz w:val="24"/>
                <w:szCs w:val="28"/>
              </w:rPr>
              <w:t>申请并获批发明专利</w:t>
            </w:r>
          </w:p>
        </w:tc>
        <w:tc>
          <w:tcPr>
            <w:tcW w:w="1796" w:type="dxa"/>
            <w:vAlign w:val="center"/>
          </w:tcPr>
          <w:p w14:paraId="10165221">
            <w:pPr>
              <w:jc w:val="center"/>
              <w:rPr>
                <w:rFonts w:ascii="仿宋" w:hAnsi="仿宋" w:eastAsia="仿宋" w:cs="Times New Roman"/>
                <w:sz w:val="20"/>
                <w:szCs w:val="20"/>
              </w:rPr>
            </w:pPr>
            <w:r>
              <w:rPr>
                <w:rFonts w:hint="eastAsia" w:ascii="仿宋" w:hAnsi="仿宋" w:eastAsia="仿宋" w:cs="Times New Roman"/>
                <w:sz w:val="20"/>
                <w:szCs w:val="20"/>
              </w:rPr>
              <w:t>10</w:t>
            </w:r>
          </w:p>
        </w:tc>
        <w:tc>
          <w:tcPr>
            <w:tcW w:w="2562" w:type="dxa"/>
            <w:vMerge w:val="restart"/>
            <w:vAlign w:val="center"/>
          </w:tcPr>
          <w:p w14:paraId="435980B3">
            <w:pPr>
              <w:rPr>
                <w:rFonts w:ascii="仿宋" w:hAnsi="仿宋" w:eastAsia="仿宋" w:cs="Times New Roman"/>
                <w:sz w:val="20"/>
                <w:szCs w:val="20"/>
              </w:rPr>
            </w:pPr>
            <w:r>
              <w:rPr>
                <w:rFonts w:ascii="仿宋" w:hAnsi="仿宋" w:eastAsia="仿宋" w:cs="Times New Roman"/>
                <w:sz w:val="20"/>
                <w:szCs w:val="20"/>
              </w:rPr>
              <w:t>学生须为第一发明人。东北大学或东北大学秦皇岛分校须为第一署名单位。</w:t>
            </w:r>
          </w:p>
          <w:p w14:paraId="5BAB1C28">
            <w:pPr>
              <w:rPr>
                <w:rFonts w:ascii="仿宋" w:hAnsi="仿宋" w:eastAsia="仿宋" w:cs="Times New Roman"/>
                <w:sz w:val="20"/>
                <w:szCs w:val="20"/>
              </w:rPr>
            </w:pPr>
            <w:r>
              <w:rPr>
                <w:rFonts w:ascii="仿宋" w:hAnsi="仿宋" w:eastAsia="仿宋" w:cs="Times New Roman"/>
                <w:sz w:val="20"/>
                <w:szCs w:val="20"/>
              </w:rPr>
              <w:t>须提供成果内容说明及证书复印件。</w:t>
            </w:r>
          </w:p>
        </w:tc>
      </w:tr>
      <w:tr w14:paraId="2287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76" w:type="dxa"/>
            <w:vMerge w:val="continue"/>
            <w:vAlign w:val="center"/>
          </w:tcPr>
          <w:p w14:paraId="6FA66F8F">
            <w:pPr>
              <w:jc w:val="center"/>
              <w:rPr>
                <w:rFonts w:ascii="仿宋" w:hAnsi="仿宋" w:eastAsia="仿宋" w:cs="Times New Roman"/>
                <w:sz w:val="24"/>
                <w:szCs w:val="28"/>
              </w:rPr>
            </w:pPr>
          </w:p>
        </w:tc>
        <w:tc>
          <w:tcPr>
            <w:tcW w:w="3036" w:type="dxa"/>
            <w:vAlign w:val="center"/>
          </w:tcPr>
          <w:p w14:paraId="5F12AEB8">
            <w:pPr>
              <w:rPr>
                <w:rFonts w:ascii="仿宋" w:hAnsi="仿宋" w:eastAsia="仿宋" w:cs="Times New Roman"/>
                <w:sz w:val="24"/>
                <w:szCs w:val="28"/>
              </w:rPr>
            </w:pPr>
            <w:r>
              <w:rPr>
                <w:rFonts w:ascii="仿宋" w:hAnsi="仿宋" w:eastAsia="仿宋" w:cs="Times New Roman"/>
                <w:sz w:val="24"/>
                <w:szCs w:val="28"/>
              </w:rPr>
              <w:t>申请并获批实用新型专利</w:t>
            </w:r>
          </w:p>
        </w:tc>
        <w:tc>
          <w:tcPr>
            <w:tcW w:w="1796" w:type="dxa"/>
            <w:vAlign w:val="center"/>
          </w:tcPr>
          <w:p w14:paraId="6AC5A6BA">
            <w:pPr>
              <w:jc w:val="center"/>
              <w:rPr>
                <w:rFonts w:ascii="仿宋" w:hAnsi="仿宋" w:eastAsia="仿宋" w:cs="Times New Roman"/>
                <w:sz w:val="20"/>
                <w:szCs w:val="20"/>
              </w:rPr>
            </w:pPr>
            <w:r>
              <w:rPr>
                <w:rFonts w:hint="eastAsia" w:ascii="仿宋" w:hAnsi="仿宋" w:eastAsia="仿宋" w:cs="Times New Roman"/>
                <w:sz w:val="20"/>
                <w:szCs w:val="20"/>
              </w:rPr>
              <w:t>5</w:t>
            </w:r>
          </w:p>
        </w:tc>
        <w:tc>
          <w:tcPr>
            <w:tcW w:w="2562" w:type="dxa"/>
            <w:vMerge w:val="continue"/>
            <w:vAlign w:val="center"/>
          </w:tcPr>
          <w:p w14:paraId="3B9A1E43">
            <w:pPr>
              <w:rPr>
                <w:rFonts w:ascii="仿宋" w:hAnsi="仿宋" w:eastAsia="仿宋" w:cs="Times New Roman"/>
                <w:sz w:val="20"/>
                <w:szCs w:val="20"/>
              </w:rPr>
            </w:pPr>
          </w:p>
        </w:tc>
      </w:tr>
      <w:tr w14:paraId="02CED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76" w:type="dxa"/>
            <w:vMerge w:val="restart"/>
            <w:vAlign w:val="center"/>
          </w:tcPr>
          <w:p w14:paraId="4F780BF8">
            <w:pPr>
              <w:jc w:val="center"/>
              <w:rPr>
                <w:rFonts w:ascii="仿宋" w:hAnsi="仿宋" w:eastAsia="仿宋" w:cs="Times New Roman"/>
                <w:sz w:val="24"/>
                <w:szCs w:val="28"/>
              </w:rPr>
            </w:pPr>
            <w:r>
              <w:rPr>
                <w:rFonts w:ascii="仿宋" w:hAnsi="仿宋" w:eastAsia="仿宋" w:cs="Times New Roman"/>
                <w:sz w:val="24"/>
                <w:szCs w:val="28"/>
              </w:rPr>
              <w:t>获得</w:t>
            </w:r>
          </w:p>
          <w:p w14:paraId="4B6FF67F">
            <w:pPr>
              <w:jc w:val="center"/>
              <w:rPr>
                <w:rFonts w:ascii="仿宋" w:hAnsi="仿宋" w:eastAsia="仿宋" w:cs="Times New Roman"/>
                <w:sz w:val="24"/>
                <w:szCs w:val="28"/>
              </w:rPr>
            </w:pPr>
            <w:r>
              <w:rPr>
                <w:rFonts w:ascii="仿宋" w:hAnsi="仿宋" w:eastAsia="仿宋" w:cs="Times New Roman"/>
                <w:sz w:val="24"/>
                <w:szCs w:val="28"/>
              </w:rPr>
              <w:t>竞赛</w:t>
            </w:r>
          </w:p>
          <w:p w14:paraId="215031F7">
            <w:pPr>
              <w:jc w:val="center"/>
              <w:rPr>
                <w:rFonts w:ascii="仿宋" w:hAnsi="仿宋" w:eastAsia="仿宋" w:cs="Times New Roman"/>
                <w:sz w:val="24"/>
                <w:szCs w:val="28"/>
              </w:rPr>
            </w:pPr>
            <w:r>
              <w:rPr>
                <w:rFonts w:ascii="仿宋" w:hAnsi="仿宋" w:eastAsia="仿宋" w:cs="Times New Roman"/>
                <w:sz w:val="24"/>
                <w:szCs w:val="28"/>
              </w:rPr>
              <w:t>奖项</w:t>
            </w:r>
          </w:p>
          <w:p w14:paraId="1C99A3AE">
            <w:pPr>
              <w:jc w:val="center"/>
              <w:rPr>
                <w:rFonts w:ascii="仿宋" w:hAnsi="仿宋" w:eastAsia="仿宋" w:cs="Times New Roman"/>
                <w:sz w:val="24"/>
                <w:szCs w:val="28"/>
              </w:rPr>
            </w:pPr>
          </w:p>
          <w:p w14:paraId="4D29009C">
            <w:pPr>
              <w:jc w:val="center"/>
              <w:rPr>
                <w:rFonts w:ascii="仿宋" w:hAnsi="仿宋" w:eastAsia="仿宋" w:cs="Times New Roman"/>
                <w:sz w:val="24"/>
                <w:szCs w:val="28"/>
              </w:rPr>
            </w:pPr>
            <w:r>
              <w:rPr>
                <w:rFonts w:ascii="仿宋" w:hAnsi="仿宋" w:eastAsia="仿宋" w:cs="Times New Roman"/>
                <w:sz w:val="24"/>
                <w:szCs w:val="28"/>
              </w:rPr>
              <w:t>最高</w:t>
            </w:r>
            <w:r>
              <w:rPr>
                <w:rFonts w:hint="eastAsia" w:ascii="仿宋" w:hAnsi="仿宋" w:eastAsia="仿宋" w:cs="Times New Roman"/>
                <w:sz w:val="24"/>
                <w:szCs w:val="28"/>
              </w:rPr>
              <w:t>30</w:t>
            </w:r>
          </w:p>
        </w:tc>
        <w:tc>
          <w:tcPr>
            <w:tcW w:w="3036" w:type="dxa"/>
            <w:vAlign w:val="center"/>
          </w:tcPr>
          <w:p w14:paraId="39093591">
            <w:pPr>
              <w:rPr>
                <w:rFonts w:ascii="仿宋" w:hAnsi="仿宋" w:eastAsia="仿宋" w:cs="Times New Roman"/>
                <w:sz w:val="24"/>
                <w:szCs w:val="28"/>
              </w:rPr>
            </w:pPr>
            <w:r>
              <w:rPr>
                <w:rFonts w:ascii="仿宋" w:hAnsi="仿宋" w:eastAsia="仿宋" w:cs="Times New Roman"/>
                <w:sz w:val="24"/>
                <w:szCs w:val="28"/>
              </w:rPr>
              <w:t>七星级竞赛获奖</w:t>
            </w:r>
          </w:p>
          <w:p w14:paraId="3158CDCC">
            <w:pPr>
              <w:rPr>
                <w:rFonts w:ascii="仿宋" w:hAnsi="仿宋" w:eastAsia="仿宋" w:cs="Times New Roman"/>
                <w:sz w:val="24"/>
                <w:szCs w:val="28"/>
              </w:rPr>
            </w:pPr>
            <w:r>
              <w:rPr>
                <w:rFonts w:ascii="仿宋" w:hAnsi="仿宋" w:eastAsia="仿宋" w:cs="Times New Roman"/>
                <w:sz w:val="24"/>
                <w:szCs w:val="28"/>
              </w:rPr>
              <w:t>（含“国际参赛项目”）</w:t>
            </w:r>
          </w:p>
        </w:tc>
        <w:tc>
          <w:tcPr>
            <w:tcW w:w="1796" w:type="dxa"/>
            <w:vAlign w:val="center"/>
          </w:tcPr>
          <w:p w14:paraId="36DBE7F2">
            <w:pPr>
              <w:jc w:val="center"/>
              <w:rPr>
                <w:rFonts w:ascii="仿宋" w:hAnsi="仿宋" w:eastAsia="仿宋" w:cs="Times New Roman"/>
                <w:sz w:val="20"/>
                <w:szCs w:val="20"/>
              </w:rPr>
            </w:pPr>
            <w:r>
              <w:rPr>
                <w:rFonts w:ascii="仿宋" w:hAnsi="仿宋" w:eastAsia="仿宋" w:cs="Times New Roman"/>
                <w:sz w:val="20"/>
                <w:szCs w:val="20"/>
              </w:rPr>
              <w:t>全国一等奖：</w:t>
            </w:r>
            <w:r>
              <w:rPr>
                <w:rFonts w:hint="eastAsia" w:ascii="仿宋" w:hAnsi="仿宋" w:eastAsia="仿宋" w:cs="Times New Roman"/>
                <w:sz w:val="20"/>
                <w:szCs w:val="20"/>
              </w:rPr>
              <w:t>30</w:t>
            </w:r>
          </w:p>
          <w:p w14:paraId="2D5E0AC7">
            <w:pPr>
              <w:jc w:val="center"/>
              <w:rPr>
                <w:rFonts w:ascii="仿宋" w:hAnsi="仿宋" w:eastAsia="仿宋" w:cs="Times New Roman"/>
                <w:sz w:val="20"/>
                <w:szCs w:val="20"/>
              </w:rPr>
            </w:pPr>
            <w:r>
              <w:rPr>
                <w:rFonts w:ascii="仿宋" w:hAnsi="仿宋" w:eastAsia="仿宋" w:cs="Times New Roman"/>
                <w:sz w:val="20"/>
                <w:szCs w:val="20"/>
              </w:rPr>
              <w:t>全国二等奖：</w:t>
            </w:r>
            <w:r>
              <w:rPr>
                <w:rFonts w:hint="eastAsia" w:ascii="仿宋" w:hAnsi="仿宋" w:eastAsia="仿宋" w:cs="Times New Roman"/>
                <w:sz w:val="20"/>
                <w:szCs w:val="20"/>
              </w:rPr>
              <w:t>2</w:t>
            </w:r>
            <w:r>
              <w:rPr>
                <w:rFonts w:ascii="仿宋" w:hAnsi="仿宋" w:eastAsia="仿宋" w:cs="Times New Roman"/>
                <w:sz w:val="20"/>
                <w:szCs w:val="20"/>
              </w:rPr>
              <w:t>0</w:t>
            </w:r>
          </w:p>
          <w:p w14:paraId="0BD0424C">
            <w:pPr>
              <w:jc w:val="center"/>
              <w:rPr>
                <w:rFonts w:ascii="仿宋" w:hAnsi="仿宋" w:eastAsia="仿宋" w:cs="Times New Roman"/>
                <w:sz w:val="20"/>
                <w:szCs w:val="20"/>
              </w:rPr>
            </w:pPr>
            <w:r>
              <w:rPr>
                <w:rFonts w:ascii="仿宋" w:hAnsi="仿宋" w:eastAsia="仿宋" w:cs="Times New Roman"/>
                <w:sz w:val="20"/>
                <w:szCs w:val="20"/>
              </w:rPr>
              <w:t>全国三等奖：</w:t>
            </w:r>
            <w:r>
              <w:rPr>
                <w:rFonts w:hint="eastAsia" w:ascii="仿宋" w:hAnsi="仿宋" w:eastAsia="仿宋" w:cs="Times New Roman"/>
                <w:sz w:val="20"/>
                <w:szCs w:val="20"/>
              </w:rPr>
              <w:t>10</w:t>
            </w:r>
          </w:p>
        </w:tc>
        <w:tc>
          <w:tcPr>
            <w:tcW w:w="2562" w:type="dxa"/>
            <w:vMerge w:val="restart"/>
            <w:vAlign w:val="center"/>
          </w:tcPr>
          <w:p w14:paraId="4F8C1475">
            <w:pPr>
              <w:rPr>
                <w:rFonts w:ascii="仿宋" w:hAnsi="仿宋" w:eastAsia="仿宋" w:cs="Times New Roman"/>
                <w:sz w:val="20"/>
                <w:szCs w:val="20"/>
              </w:rPr>
            </w:pPr>
            <w:r>
              <w:rPr>
                <w:rFonts w:ascii="仿宋" w:hAnsi="仿宋" w:eastAsia="仿宋" w:cs="Times New Roman"/>
                <w:sz w:val="20"/>
                <w:szCs w:val="20"/>
              </w:rPr>
              <w:t>竞赛星级以学校文件为准。若竞赛有一等奖以上的奖项（如特等奖），则一等奖以上的奖项、一等奖、二等奖分别对应表中的一、二、三等奖。其他等级奖项不得分。</w:t>
            </w:r>
          </w:p>
          <w:p w14:paraId="4BF9A4D8">
            <w:pPr>
              <w:rPr>
                <w:rFonts w:ascii="仿宋" w:hAnsi="仿宋" w:eastAsia="仿宋" w:cs="Times New Roman"/>
                <w:sz w:val="20"/>
                <w:szCs w:val="20"/>
              </w:rPr>
            </w:pPr>
            <w:r>
              <w:rPr>
                <w:rFonts w:ascii="仿宋" w:hAnsi="仿宋" w:eastAsia="仿宋" w:cs="Times New Roman"/>
                <w:sz w:val="20"/>
                <w:szCs w:val="20"/>
              </w:rPr>
              <w:t>若以团队参赛获奖，团队主力队员得分为表中相应的分数除以主力成员人数，四舍五入后保留四位小数。其他成员不得分。主力队员的认定，详见“东秦校〔2021〕19号”文件第四章第十四条。</w:t>
            </w:r>
          </w:p>
          <w:p w14:paraId="4335D23A">
            <w:pPr>
              <w:rPr>
                <w:rFonts w:ascii="仿宋" w:hAnsi="仿宋" w:eastAsia="仿宋" w:cs="Times New Roman"/>
                <w:sz w:val="20"/>
                <w:szCs w:val="20"/>
              </w:rPr>
            </w:pPr>
            <w:r>
              <w:rPr>
                <w:rFonts w:ascii="仿宋" w:hAnsi="仿宋" w:eastAsia="仿宋" w:cs="Times New Roman"/>
                <w:sz w:val="20"/>
                <w:szCs w:val="20"/>
              </w:rPr>
              <w:t>须提供</w:t>
            </w:r>
            <w:r>
              <w:rPr>
                <w:rFonts w:hint="eastAsia" w:ascii="仿宋" w:hAnsi="仿宋" w:eastAsia="仿宋" w:cs="Times New Roman"/>
                <w:sz w:val="20"/>
                <w:szCs w:val="20"/>
              </w:rPr>
              <w:t>相关证明</w:t>
            </w:r>
            <w:r>
              <w:rPr>
                <w:rFonts w:ascii="仿宋" w:hAnsi="仿宋" w:eastAsia="仿宋" w:cs="Times New Roman"/>
                <w:sz w:val="20"/>
                <w:szCs w:val="20"/>
              </w:rPr>
              <w:t>文件。</w:t>
            </w:r>
          </w:p>
        </w:tc>
      </w:tr>
      <w:tr w14:paraId="6DCD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jc w:val="center"/>
        </w:trPr>
        <w:tc>
          <w:tcPr>
            <w:tcW w:w="876" w:type="dxa"/>
            <w:vMerge w:val="continue"/>
            <w:vAlign w:val="center"/>
          </w:tcPr>
          <w:p w14:paraId="5493F743">
            <w:pPr>
              <w:jc w:val="center"/>
              <w:rPr>
                <w:rFonts w:ascii="仿宋" w:hAnsi="仿宋" w:eastAsia="仿宋" w:cs="Times New Roman"/>
                <w:sz w:val="24"/>
                <w:szCs w:val="28"/>
              </w:rPr>
            </w:pPr>
          </w:p>
        </w:tc>
        <w:tc>
          <w:tcPr>
            <w:tcW w:w="3036" w:type="dxa"/>
            <w:vAlign w:val="center"/>
          </w:tcPr>
          <w:p w14:paraId="4B81B12A">
            <w:pPr>
              <w:rPr>
                <w:rFonts w:ascii="仿宋" w:hAnsi="仿宋" w:eastAsia="仿宋" w:cs="Times New Roman"/>
                <w:sz w:val="24"/>
                <w:szCs w:val="28"/>
              </w:rPr>
            </w:pPr>
            <w:r>
              <w:rPr>
                <w:rFonts w:ascii="仿宋" w:hAnsi="仿宋" w:eastAsia="仿宋" w:cs="Times New Roman"/>
                <w:sz w:val="24"/>
                <w:szCs w:val="28"/>
              </w:rPr>
              <w:t>六星级竞赛获奖</w:t>
            </w:r>
          </w:p>
          <w:p w14:paraId="49767159">
            <w:pPr>
              <w:rPr>
                <w:rFonts w:ascii="仿宋" w:hAnsi="仿宋" w:eastAsia="仿宋" w:cs="Times New Roman"/>
                <w:sz w:val="24"/>
                <w:szCs w:val="28"/>
              </w:rPr>
            </w:pPr>
            <w:r>
              <w:rPr>
                <w:rFonts w:ascii="仿宋" w:hAnsi="仿宋" w:eastAsia="仿宋" w:cs="Times New Roman"/>
                <w:sz w:val="24"/>
                <w:szCs w:val="28"/>
              </w:rPr>
              <w:t>（含“国际参赛项目”）</w:t>
            </w:r>
          </w:p>
        </w:tc>
        <w:tc>
          <w:tcPr>
            <w:tcW w:w="1796" w:type="dxa"/>
            <w:vAlign w:val="center"/>
          </w:tcPr>
          <w:p w14:paraId="5FE73C0C">
            <w:pPr>
              <w:jc w:val="center"/>
              <w:rPr>
                <w:rFonts w:ascii="仿宋" w:hAnsi="仿宋" w:eastAsia="仿宋" w:cs="Times New Roman"/>
                <w:sz w:val="20"/>
                <w:szCs w:val="20"/>
              </w:rPr>
            </w:pPr>
            <w:r>
              <w:rPr>
                <w:rFonts w:ascii="仿宋" w:hAnsi="仿宋" w:eastAsia="仿宋" w:cs="Times New Roman"/>
                <w:sz w:val="20"/>
                <w:szCs w:val="20"/>
              </w:rPr>
              <w:t>全国一等奖：1</w:t>
            </w:r>
            <w:r>
              <w:rPr>
                <w:rFonts w:hint="eastAsia" w:ascii="仿宋" w:hAnsi="仿宋" w:eastAsia="仿宋" w:cs="Times New Roman"/>
                <w:sz w:val="20"/>
                <w:szCs w:val="20"/>
              </w:rPr>
              <w:t>5</w:t>
            </w:r>
          </w:p>
          <w:p w14:paraId="44F77499">
            <w:pPr>
              <w:jc w:val="center"/>
              <w:rPr>
                <w:rFonts w:ascii="仿宋" w:hAnsi="仿宋" w:eastAsia="仿宋" w:cs="Times New Roman"/>
                <w:sz w:val="20"/>
                <w:szCs w:val="20"/>
              </w:rPr>
            </w:pPr>
            <w:r>
              <w:rPr>
                <w:rFonts w:ascii="仿宋" w:hAnsi="仿宋" w:eastAsia="仿宋" w:cs="Times New Roman"/>
                <w:sz w:val="20"/>
                <w:szCs w:val="20"/>
              </w:rPr>
              <w:t>全国二等奖：</w:t>
            </w:r>
            <w:r>
              <w:rPr>
                <w:rFonts w:hint="eastAsia" w:ascii="仿宋" w:hAnsi="仿宋" w:eastAsia="仿宋" w:cs="Times New Roman"/>
                <w:sz w:val="20"/>
                <w:szCs w:val="20"/>
              </w:rPr>
              <w:t>10</w:t>
            </w:r>
          </w:p>
          <w:p w14:paraId="6440DC0F">
            <w:pPr>
              <w:jc w:val="center"/>
              <w:rPr>
                <w:rFonts w:ascii="仿宋" w:hAnsi="仿宋" w:eastAsia="仿宋" w:cs="Times New Roman"/>
                <w:sz w:val="20"/>
                <w:szCs w:val="20"/>
              </w:rPr>
            </w:pPr>
            <w:r>
              <w:rPr>
                <w:rFonts w:ascii="仿宋" w:hAnsi="仿宋" w:eastAsia="仿宋" w:cs="Times New Roman"/>
                <w:sz w:val="20"/>
                <w:szCs w:val="20"/>
              </w:rPr>
              <w:t>全国三等奖：</w:t>
            </w:r>
            <w:r>
              <w:rPr>
                <w:rFonts w:hint="eastAsia" w:ascii="仿宋" w:hAnsi="仿宋" w:eastAsia="仿宋" w:cs="Times New Roman"/>
                <w:sz w:val="20"/>
                <w:szCs w:val="20"/>
              </w:rPr>
              <w:t>5</w:t>
            </w:r>
          </w:p>
        </w:tc>
        <w:tc>
          <w:tcPr>
            <w:tcW w:w="2562" w:type="dxa"/>
            <w:vMerge w:val="continue"/>
            <w:vAlign w:val="center"/>
          </w:tcPr>
          <w:p w14:paraId="27471A6B">
            <w:pPr>
              <w:rPr>
                <w:rFonts w:ascii="仿宋" w:hAnsi="仿宋" w:eastAsia="仿宋" w:cs="Times New Roman"/>
                <w:sz w:val="20"/>
                <w:szCs w:val="20"/>
              </w:rPr>
            </w:pPr>
          </w:p>
        </w:tc>
      </w:tr>
    </w:tbl>
    <w:p w14:paraId="7945FB24">
      <w:pPr>
        <w:ind w:firstLine="640" w:firstLineChars="200"/>
        <w:rPr>
          <w:rFonts w:ascii="仿宋" w:hAnsi="仿宋" w:eastAsia="仿宋" w:cs="Times New Roman"/>
          <w:sz w:val="32"/>
          <w:szCs w:val="36"/>
        </w:rPr>
      </w:pPr>
      <w:r>
        <w:rPr>
          <w:rFonts w:hint="eastAsia" w:ascii="仿宋" w:hAnsi="仿宋" w:eastAsia="仿宋" w:cs="Times New Roman"/>
          <w:sz w:val="32"/>
          <w:szCs w:val="36"/>
        </w:rPr>
        <w:t>（3）综合素质测评考核成绩（M3）</w:t>
      </w:r>
    </w:p>
    <w:p w14:paraId="0CC07F4E">
      <w:pPr>
        <w:ind w:firstLine="640" w:firstLineChars="200"/>
        <w:rPr>
          <w:rFonts w:ascii="仿宋" w:hAnsi="仿宋" w:eastAsia="仿宋" w:cs="Times New Roman"/>
          <w:sz w:val="22"/>
          <w:szCs w:val="24"/>
        </w:rPr>
      </w:pPr>
      <w:r>
        <w:rPr>
          <w:rFonts w:hint="eastAsia" w:ascii="仿宋" w:hAnsi="仿宋" w:eastAsia="仿宋" w:cs="Times New Roman"/>
          <w:sz w:val="32"/>
          <w:szCs w:val="36"/>
        </w:rPr>
        <w:t>重点考核学生思想政治素质、参与社会实践、素质拓展、社会工作等方面的综合表现，其成绩依据学校综合奖学金综合素质</w:t>
      </w:r>
      <w:bookmarkStart w:id="12" w:name="_Hlk162357969"/>
      <w:r>
        <w:rPr>
          <w:rFonts w:hint="eastAsia" w:ascii="仿宋" w:hAnsi="仿宋" w:eastAsia="仿宋" w:cs="Times New Roman"/>
          <w:sz w:val="32"/>
          <w:szCs w:val="36"/>
        </w:rPr>
        <w:t>测评结果</w:t>
      </w:r>
      <w:bookmarkEnd w:id="12"/>
      <w:r>
        <w:rPr>
          <w:rFonts w:hint="eastAsia" w:ascii="仿宋" w:hAnsi="仿宋" w:eastAsia="仿宋" w:cs="Times New Roman"/>
          <w:sz w:val="32"/>
          <w:szCs w:val="36"/>
        </w:rPr>
        <w:t>。其中，“2+2”赴UTS学生按前二年在学校的测评结果计算。</w:t>
      </w:r>
    </w:p>
    <w:p w14:paraId="4FE0841D">
      <w:pPr>
        <w:pStyle w:val="2"/>
        <w:rPr>
          <w:sz w:val="32"/>
          <w:szCs w:val="32"/>
        </w:rPr>
      </w:pPr>
      <w:bookmarkStart w:id="13" w:name="_Toc165036135"/>
      <w:r>
        <w:rPr>
          <w:sz w:val="32"/>
          <w:szCs w:val="32"/>
        </w:rPr>
        <w:t>五、推荐程序</w:t>
      </w:r>
      <w:bookmarkEnd w:id="13"/>
    </w:p>
    <w:p w14:paraId="73392FE3">
      <w:pPr>
        <w:ind w:firstLine="640" w:firstLineChars="200"/>
        <w:rPr>
          <w:rFonts w:ascii="仿宋" w:hAnsi="仿宋" w:eastAsia="仿宋" w:cs="Times New Roman"/>
          <w:sz w:val="32"/>
          <w:szCs w:val="36"/>
        </w:rPr>
      </w:pPr>
      <w:r>
        <w:rPr>
          <w:rFonts w:hint="eastAsia" w:ascii="仿宋" w:hAnsi="仿宋" w:eastAsia="仿宋" w:cs="Times New Roman"/>
          <w:sz w:val="32"/>
          <w:szCs w:val="36"/>
        </w:rPr>
        <w:t>（一）学院根据学校分配的名额和专业综合排名成绩，有序确定专业推免生名额，并予以公示。</w:t>
      </w:r>
    </w:p>
    <w:p w14:paraId="73EF121F">
      <w:pPr>
        <w:ind w:firstLine="640" w:firstLineChars="200"/>
        <w:rPr>
          <w:rFonts w:ascii="仿宋" w:hAnsi="仿宋" w:eastAsia="仿宋" w:cs="Times New Roman"/>
          <w:sz w:val="32"/>
          <w:szCs w:val="36"/>
        </w:rPr>
      </w:pPr>
      <w:r>
        <w:rPr>
          <w:rFonts w:hint="eastAsia" w:ascii="仿宋" w:hAnsi="仿宋" w:eastAsia="仿宋" w:cs="Times New Roman"/>
          <w:sz w:val="32"/>
          <w:szCs w:val="36"/>
        </w:rPr>
        <w:t>（二）符合推免生条件的学生，在规定时间内向学院提出书面申请，并提供相关证明材料。</w:t>
      </w:r>
      <w:r>
        <w:rPr>
          <w:rFonts w:ascii="仿宋" w:hAnsi="仿宋" w:eastAsia="仿宋" w:cs="Times New Roman"/>
          <w:sz w:val="32"/>
          <w:szCs w:val="36"/>
        </w:rPr>
        <w:t>逾期视为自愿放弃。</w:t>
      </w:r>
    </w:p>
    <w:p w14:paraId="35971670">
      <w:pPr>
        <w:ind w:firstLine="640" w:firstLineChars="200"/>
        <w:rPr>
          <w:rFonts w:ascii="仿宋" w:hAnsi="仿宋" w:eastAsia="仿宋" w:cs="Times New Roman"/>
          <w:sz w:val="32"/>
          <w:szCs w:val="36"/>
        </w:rPr>
      </w:pPr>
      <w:r>
        <w:rPr>
          <w:rFonts w:hint="eastAsia" w:ascii="仿宋" w:hAnsi="仿宋" w:eastAsia="仿宋" w:cs="Times New Roman"/>
          <w:sz w:val="32"/>
          <w:szCs w:val="36"/>
        </w:rPr>
        <w:t>（三）学院负责组织综合考核工作。</w:t>
      </w:r>
    </w:p>
    <w:p w14:paraId="0044A52D">
      <w:pPr>
        <w:ind w:firstLine="640" w:firstLineChars="200"/>
        <w:rPr>
          <w:rFonts w:ascii="仿宋" w:hAnsi="仿宋" w:eastAsia="仿宋" w:cs="Times New Roman"/>
          <w:sz w:val="32"/>
          <w:szCs w:val="36"/>
        </w:rPr>
      </w:pPr>
      <w:r>
        <w:rPr>
          <w:rFonts w:hint="eastAsia" w:ascii="仿宋" w:hAnsi="仿宋" w:eastAsia="仿宋" w:cs="Times New Roman"/>
          <w:sz w:val="32"/>
          <w:szCs w:val="36"/>
        </w:rPr>
        <w:t>（四）学院推免生遴选工作小组组织审查申请者的资格，并广泛征求教师和学生意见，根据专业综合排名及推免生名额确定拟推荐名单，名单在学院网站公示，排序并上报教务处。并</w:t>
      </w:r>
      <w:r>
        <w:rPr>
          <w:rFonts w:ascii="仿宋" w:hAnsi="仿宋" w:eastAsia="仿宋" w:cs="Times New Roman"/>
          <w:sz w:val="32"/>
          <w:szCs w:val="36"/>
        </w:rPr>
        <w:t>按教务处通知组织完成后续各项工作。</w:t>
      </w:r>
    </w:p>
    <w:p w14:paraId="648164B2">
      <w:pPr>
        <w:pStyle w:val="2"/>
        <w:rPr>
          <w:sz w:val="32"/>
          <w:szCs w:val="32"/>
        </w:rPr>
      </w:pPr>
      <w:bookmarkStart w:id="14" w:name="_Toc165036136"/>
      <w:r>
        <w:rPr>
          <w:sz w:val="32"/>
          <w:szCs w:val="32"/>
        </w:rPr>
        <w:t>六、监督与管理</w:t>
      </w:r>
      <w:bookmarkEnd w:id="14"/>
    </w:p>
    <w:p w14:paraId="5300E717">
      <w:pPr>
        <w:ind w:firstLine="640" w:firstLineChars="200"/>
        <w:rPr>
          <w:rFonts w:ascii="仿宋" w:hAnsi="仿宋" w:eastAsia="仿宋" w:cs="Times New Roman"/>
          <w:sz w:val="32"/>
          <w:szCs w:val="36"/>
        </w:rPr>
      </w:pPr>
      <w:r>
        <w:rPr>
          <w:rFonts w:ascii="仿宋" w:hAnsi="仿宋" w:eastAsia="仿宋" w:cs="Times New Roman"/>
          <w:sz w:val="32"/>
          <w:szCs w:val="36"/>
        </w:rPr>
        <w:t>（一）本实施细则在学院网站进行公示，并报教务处备案。</w:t>
      </w:r>
    </w:p>
    <w:p w14:paraId="64AE5131">
      <w:pPr>
        <w:ind w:firstLine="640" w:firstLineChars="200"/>
        <w:rPr>
          <w:rFonts w:ascii="仿宋" w:hAnsi="仿宋" w:eastAsia="仿宋" w:cs="Times New Roman"/>
          <w:sz w:val="32"/>
          <w:szCs w:val="36"/>
        </w:rPr>
      </w:pPr>
      <w:r>
        <w:rPr>
          <w:rFonts w:ascii="仿宋" w:hAnsi="仿宋" w:eastAsia="仿宋" w:cs="Times New Roman"/>
          <w:sz w:val="32"/>
          <w:szCs w:val="36"/>
        </w:rPr>
        <w:t>（二）本实施细则实施过程中，遴选工作小组与监督小组成员及各程序相关人员若有亲属参加推免生选拔，须主动回避。</w:t>
      </w:r>
    </w:p>
    <w:p w14:paraId="0E6DBDF7">
      <w:pPr>
        <w:ind w:firstLine="640" w:firstLineChars="200"/>
        <w:rPr>
          <w:rFonts w:ascii="仿宋" w:hAnsi="仿宋" w:eastAsia="仿宋" w:cs="Times New Roman"/>
          <w:sz w:val="32"/>
          <w:szCs w:val="36"/>
        </w:rPr>
      </w:pPr>
      <w:r>
        <w:rPr>
          <w:rFonts w:ascii="仿宋" w:hAnsi="仿宋" w:eastAsia="仿宋" w:cs="Times New Roman"/>
          <w:sz w:val="32"/>
          <w:szCs w:val="36"/>
        </w:rPr>
        <w:t>（三）对推免生遴选工作有异议的，可在各程序规定的公示时间内向监督小组提出书面申诉。</w:t>
      </w:r>
    </w:p>
    <w:p w14:paraId="231D5532">
      <w:pPr>
        <w:ind w:firstLine="640" w:firstLineChars="200"/>
        <w:rPr>
          <w:rFonts w:ascii="仿宋" w:hAnsi="仿宋" w:eastAsia="仿宋" w:cs="Times New Roman"/>
          <w:sz w:val="32"/>
          <w:szCs w:val="36"/>
        </w:rPr>
      </w:pPr>
      <w:r>
        <w:rPr>
          <w:rFonts w:ascii="仿宋" w:hAnsi="仿宋" w:eastAsia="仿宋" w:cs="Times New Roman"/>
          <w:sz w:val="32"/>
          <w:szCs w:val="36"/>
        </w:rPr>
        <w:t>（四）学生应关注学校、学院通知，按要求规范、及时参加选拔。因学生个人原因造成的相关后果，责任由其本人承担。</w:t>
      </w:r>
    </w:p>
    <w:p w14:paraId="375A15F0">
      <w:pPr>
        <w:ind w:firstLine="640" w:firstLineChars="200"/>
        <w:rPr>
          <w:rFonts w:ascii="仿宋" w:hAnsi="仿宋" w:eastAsia="仿宋" w:cs="Times New Roman"/>
          <w:sz w:val="32"/>
          <w:szCs w:val="36"/>
        </w:rPr>
      </w:pPr>
      <w:r>
        <w:rPr>
          <w:rFonts w:ascii="仿宋" w:hAnsi="仿宋" w:eastAsia="仿宋" w:cs="Times New Roman"/>
          <w:sz w:val="32"/>
          <w:szCs w:val="36"/>
        </w:rPr>
        <w:t>（五）推免生遴选工作中若发现不实之处或经查实不符合推荐条件者，取消其推免生资格，对具体责任者追究相应责任。</w:t>
      </w:r>
    </w:p>
    <w:p w14:paraId="16086990">
      <w:pPr>
        <w:ind w:firstLine="640" w:firstLineChars="200"/>
        <w:rPr>
          <w:rFonts w:ascii="仿宋" w:hAnsi="仿宋" w:eastAsia="仿宋" w:cs="Times New Roman"/>
          <w:sz w:val="32"/>
          <w:szCs w:val="36"/>
        </w:rPr>
      </w:pPr>
      <w:r>
        <w:rPr>
          <w:rFonts w:ascii="仿宋" w:hAnsi="仿宋" w:eastAsia="仿宋" w:cs="Times New Roman"/>
          <w:sz w:val="32"/>
          <w:szCs w:val="36"/>
        </w:rPr>
        <w:t>（六）获得推免生资格的学生，在毕业前有以下情形之一者，学院将建议学校取消其推免生资格，并通知接收单位。</w:t>
      </w:r>
    </w:p>
    <w:p w14:paraId="5BC676D4">
      <w:pPr>
        <w:ind w:firstLine="640" w:firstLineChars="200"/>
        <w:rPr>
          <w:rFonts w:ascii="仿宋" w:hAnsi="仿宋" w:eastAsia="仿宋" w:cs="Times New Roman"/>
          <w:sz w:val="32"/>
          <w:szCs w:val="36"/>
        </w:rPr>
      </w:pPr>
      <w:r>
        <w:rPr>
          <w:rFonts w:ascii="仿宋" w:hAnsi="仿宋" w:eastAsia="仿宋" w:cs="Times New Roman"/>
          <w:sz w:val="32"/>
          <w:szCs w:val="36"/>
        </w:rPr>
        <w:t>1、发生违反学术道德规范的行为的；</w:t>
      </w:r>
    </w:p>
    <w:p w14:paraId="67C981B9">
      <w:pPr>
        <w:ind w:firstLine="640" w:firstLineChars="200"/>
        <w:rPr>
          <w:rFonts w:ascii="仿宋" w:hAnsi="仿宋" w:eastAsia="仿宋" w:cs="Times New Roman"/>
          <w:sz w:val="32"/>
          <w:szCs w:val="36"/>
        </w:rPr>
      </w:pPr>
      <w:r>
        <w:rPr>
          <w:rFonts w:ascii="仿宋" w:hAnsi="仿宋" w:eastAsia="仿宋" w:cs="Times New Roman"/>
          <w:sz w:val="32"/>
          <w:szCs w:val="36"/>
        </w:rPr>
        <w:t>2、未能按期取得学校学士学位证书的；</w:t>
      </w:r>
    </w:p>
    <w:p w14:paraId="388286D3">
      <w:pPr>
        <w:ind w:firstLine="640" w:firstLineChars="200"/>
        <w:rPr>
          <w:rFonts w:ascii="仿宋" w:hAnsi="仿宋" w:eastAsia="仿宋" w:cs="Times New Roman"/>
          <w:sz w:val="32"/>
          <w:szCs w:val="36"/>
        </w:rPr>
      </w:pPr>
      <w:r>
        <w:rPr>
          <w:rFonts w:ascii="仿宋" w:hAnsi="仿宋" w:eastAsia="仿宋" w:cs="Times New Roman"/>
          <w:sz w:val="32"/>
          <w:szCs w:val="36"/>
        </w:rPr>
        <w:t>3、违反学校或UTS规章制度、受到纪律处分的；</w:t>
      </w:r>
    </w:p>
    <w:p w14:paraId="027B26B8">
      <w:pPr>
        <w:ind w:firstLine="640" w:firstLineChars="200"/>
        <w:rPr>
          <w:rFonts w:ascii="仿宋" w:hAnsi="仿宋" w:eastAsia="仿宋" w:cs="Times New Roman"/>
          <w:sz w:val="32"/>
          <w:szCs w:val="36"/>
        </w:rPr>
      </w:pPr>
      <w:r>
        <w:rPr>
          <w:rFonts w:ascii="仿宋" w:hAnsi="仿宋" w:eastAsia="仿宋" w:cs="Times New Roman"/>
          <w:sz w:val="32"/>
          <w:szCs w:val="36"/>
        </w:rPr>
        <w:t>4、违反境内外法律法规、公序良俗，造成严重社会不良影响或被追究法律责任的；</w:t>
      </w:r>
    </w:p>
    <w:p w14:paraId="4989210F">
      <w:pPr>
        <w:ind w:firstLine="640" w:firstLineChars="200"/>
        <w:rPr>
          <w:rFonts w:ascii="仿宋" w:hAnsi="仿宋" w:eastAsia="仿宋" w:cs="Times New Roman"/>
          <w:sz w:val="32"/>
          <w:szCs w:val="36"/>
        </w:rPr>
      </w:pPr>
      <w:r>
        <w:rPr>
          <w:rFonts w:ascii="仿宋" w:hAnsi="仿宋" w:eastAsia="仿宋" w:cs="Times New Roman"/>
          <w:sz w:val="32"/>
          <w:szCs w:val="36"/>
        </w:rPr>
        <w:t>5、经学院讨论决定的其他情况。</w:t>
      </w:r>
    </w:p>
    <w:p w14:paraId="2CC6097B">
      <w:pPr>
        <w:ind w:firstLine="640" w:firstLineChars="200"/>
        <w:rPr>
          <w:rFonts w:ascii="仿宋" w:hAnsi="仿宋" w:eastAsia="仿宋" w:cs="Times New Roman"/>
          <w:sz w:val="32"/>
          <w:szCs w:val="36"/>
        </w:rPr>
      </w:pPr>
      <w:r>
        <w:rPr>
          <w:rFonts w:ascii="仿宋" w:hAnsi="仿宋" w:eastAsia="仿宋" w:cs="Times New Roman"/>
          <w:sz w:val="32"/>
          <w:szCs w:val="36"/>
        </w:rPr>
        <w:t>（七）获得推免生资格的学生不得无故放弃资格</w:t>
      </w:r>
      <w:r>
        <w:rPr>
          <w:rFonts w:hint="eastAsia" w:ascii="仿宋" w:hAnsi="仿宋" w:eastAsia="仿宋" w:cs="Times New Roman"/>
          <w:sz w:val="32"/>
          <w:szCs w:val="36"/>
        </w:rPr>
        <w:t>。</w:t>
      </w:r>
      <w:r>
        <w:rPr>
          <w:rFonts w:ascii="仿宋" w:hAnsi="仿宋" w:eastAsia="仿宋" w:cs="Times New Roman"/>
          <w:sz w:val="32"/>
          <w:szCs w:val="36"/>
        </w:rPr>
        <w:t>否则学院</w:t>
      </w:r>
      <w:r>
        <w:rPr>
          <w:rFonts w:hint="eastAsia" w:ascii="仿宋" w:hAnsi="仿宋" w:eastAsia="仿宋" w:cs="Times New Roman"/>
          <w:sz w:val="32"/>
          <w:szCs w:val="36"/>
        </w:rPr>
        <w:t>不再</w:t>
      </w:r>
      <w:r>
        <w:rPr>
          <w:rFonts w:ascii="仿宋" w:hAnsi="仿宋" w:eastAsia="仿宋" w:cs="Times New Roman"/>
          <w:sz w:val="32"/>
          <w:szCs w:val="36"/>
        </w:rPr>
        <w:t>为其出具</w:t>
      </w:r>
      <w:r>
        <w:rPr>
          <w:rFonts w:hint="eastAsia" w:ascii="仿宋" w:hAnsi="仿宋" w:eastAsia="仿宋" w:cs="Times New Roman"/>
          <w:sz w:val="32"/>
          <w:szCs w:val="36"/>
        </w:rPr>
        <w:t>有关</w:t>
      </w:r>
      <w:r>
        <w:rPr>
          <w:rFonts w:ascii="仿宋" w:hAnsi="仿宋" w:eastAsia="仿宋" w:cs="Times New Roman"/>
          <w:sz w:val="32"/>
          <w:szCs w:val="36"/>
        </w:rPr>
        <w:t>证明材料，并对个人诚实守信情况进行通报。</w:t>
      </w:r>
    </w:p>
    <w:p w14:paraId="446673AC">
      <w:pPr>
        <w:pStyle w:val="2"/>
        <w:rPr>
          <w:sz w:val="32"/>
          <w:szCs w:val="32"/>
        </w:rPr>
      </w:pPr>
      <w:bookmarkStart w:id="15" w:name="_Toc165036137"/>
      <w:r>
        <w:rPr>
          <w:sz w:val="32"/>
          <w:szCs w:val="32"/>
        </w:rPr>
        <w:t>七、重要说明</w:t>
      </w:r>
      <w:bookmarkEnd w:id="15"/>
    </w:p>
    <w:p w14:paraId="29706BF8">
      <w:pPr>
        <w:ind w:firstLine="640" w:firstLineChars="200"/>
        <w:rPr>
          <w:rFonts w:ascii="仿宋" w:hAnsi="仿宋" w:eastAsia="仿宋" w:cs="Times New Roman"/>
          <w:sz w:val="32"/>
          <w:szCs w:val="36"/>
        </w:rPr>
      </w:pPr>
      <w:r>
        <w:rPr>
          <w:rFonts w:hint="eastAsia" w:ascii="仿宋" w:hAnsi="仿宋" w:eastAsia="仿宋" w:cs="Times New Roman"/>
          <w:sz w:val="32"/>
          <w:szCs w:val="36"/>
        </w:rPr>
        <w:t>（一）在专业综合排名成绩相同的情况下，</w:t>
      </w:r>
      <w:r>
        <w:rPr>
          <w:rFonts w:ascii="仿宋" w:hAnsi="仿宋" w:eastAsia="仿宋" w:cs="Times New Roman"/>
          <w:sz w:val="32"/>
          <w:szCs w:val="36"/>
        </w:rPr>
        <w:t>“2+2”赴UTS学生</w:t>
      </w:r>
      <w:r>
        <w:rPr>
          <w:rFonts w:hint="eastAsia" w:ascii="仿宋" w:hAnsi="仿宋" w:eastAsia="仿宋" w:cs="Times New Roman"/>
          <w:sz w:val="32"/>
          <w:szCs w:val="36"/>
        </w:rPr>
        <w:t>优先推荐；在其他学生中，曾两次（含）以上荣获校级（含）以上荣誉称号或奖励者（见附件）可优先推荐，荣誉称号由相关部门认定。</w:t>
      </w:r>
    </w:p>
    <w:p w14:paraId="58EAE4CE">
      <w:pPr>
        <w:ind w:firstLine="640" w:firstLineChars="200"/>
        <w:rPr>
          <w:rFonts w:ascii="仿宋" w:hAnsi="仿宋" w:eastAsia="仿宋" w:cs="Times New Roman"/>
          <w:sz w:val="32"/>
          <w:szCs w:val="36"/>
        </w:rPr>
      </w:pPr>
      <w:r>
        <w:rPr>
          <w:rFonts w:ascii="仿宋" w:hAnsi="仿宋" w:eastAsia="仿宋" w:cs="Times New Roman"/>
          <w:sz w:val="32"/>
          <w:szCs w:val="36"/>
        </w:rPr>
        <w:t>（</w:t>
      </w:r>
      <w:r>
        <w:rPr>
          <w:rFonts w:hint="eastAsia" w:ascii="仿宋" w:hAnsi="仿宋" w:eastAsia="仿宋" w:cs="Times New Roman"/>
          <w:sz w:val="32"/>
          <w:szCs w:val="36"/>
        </w:rPr>
        <w:t>二</w:t>
      </w:r>
      <w:r>
        <w:rPr>
          <w:rFonts w:ascii="仿宋" w:hAnsi="仿宋" w:eastAsia="仿宋" w:cs="Times New Roman"/>
          <w:sz w:val="32"/>
          <w:szCs w:val="36"/>
        </w:rPr>
        <w:t>）“2+2”赴UTS学生在报名时须提供UTS官方出具的成绩单原件（带有数字认证的PDF文件）及其复印件，成绩单须显示加权平均分（WAM）及学生姓名、UTS学号，包含学生第三年在UTS修读的全部课程及其成绩。</w:t>
      </w:r>
    </w:p>
    <w:p w14:paraId="46589943">
      <w:pPr>
        <w:ind w:firstLine="640" w:firstLineChars="200"/>
        <w:rPr>
          <w:rFonts w:ascii="仿宋" w:hAnsi="仿宋" w:eastAsia="仿宋" w:cs="Times New Roman"/>
          <w:sz w:val="32"/>
          <w:szCs w:val="36"/>
        </w:rPr>
      </w:pPr>
      <w:r>
        <w:rPr>
          <w:rFonts w:ascii="仿宋" w:hAnsi="仿宋" w:eastAsia="仿宋" w:cs="Times New Roman"/>
          <w:sz w:val="32"/>
          <w:szCs w:val="36"/>
        </w:rPr>
        <w:t>（</w:t>
      </w:r>
      <w:r>
        <w:rPr>
          <w:rFonts w:hint="eastAsia" w:ascii="仿宋" w:hAnsi="仿宋" w:eastAsia="仿宋" w:cs="Times New Roman"/>
          <w:sz w:val="32"/>
          <w:szCs w:val="36"/>
        </w:rPr>
        <w:t>三</w:t>
      </w:r>
      <w:r>
        <w:rPr>
          <w:rFonts w:ascii="仿宋" w:hAnsi="仿宋" w:eastAsia="仿宋" w:cs="Times New Roman"/>
          <w:sz w:val="32"/>
          <w:szCs w:val="36"/>
        </w:rPr>
        <w:t>）相关证明材料须提供原件及其复印件，复印件在核对无异后由学院留存、原件退还。如无特殊说明的，证明材料截止日期为当年学院通知发布之日（含）。</w:t>
      </w:r>
    </w:p>
    <w:p w14:paraId="4FFC84CB">
      <w:pPr>
        <w:pStyle w:val="2"/>
        <w:rPr>
          <w:sz w:val="32"/>
          <w:szCs w:val="32"/>
        </w:rPr>
      </w:pPr>
      <w:bookmarkStart w:id="16" w:name="_Toc165036138"/>
      <w:r>
        <w:rPr>
          <w:sz w:val="32"/>
          <w:szCs w:val="32"/>
        </w:rPr>
        <w:t>八、附则</w:t>
      </w:r>
      <w:bookmarkEnd w:id="16"/>
    </w:p>
    <w:p w14:paraId="257F3757">
      <w:pPr>
        <w:ind w:firstLine="640" w:firstLineChars="200"/>
        <w:rPr>
          <w:rFonts w:ascii="仿宋" w:hAnsi="仿宋" w:eastAsia="仿宋" w:cs="Times New Roman"/>
          <w:sz w:val="32"/>
          <w:szCs w:val="36"/>
        </w:rPr>
      </w:pPr>
      <w:r>
        <w:rPr>
          <w:rFonts w:ascii="仿宋" w:hAnsi="仿宋" w:eastAsia="仿宋" w:cs="Times New Roman"/>
          <w:sz w:val="32"/>
          <w:szCs w:val="36"/>
        </w:rPr>
        <w:t>（一）本实施细则由东北大学悉尼智能科技学院负责解释。本实施细则未提及的特殊情况，由学院遴选工作小组审定</w:t>
      </w:r>
      <w:r>
        <w:rPr>
          <w:rFonts w:hint="eastAsia" w:ascii="仿宋" w:hAnsi="仿宋" w:eastAsia="仿宋" w:cs="Times New Roman"/>
          <w:sz w:val="32"/>
          <w:szCs w:val="36"/>
        </w:rPr>
        <w:t>，</w:t>
      </w:r>
      <w:r>
        <w:rPr>
          <w:rFonts w:ascii="仿宋" w:hAnsi="仿宋" w:eastAsia="仿宋" w:cs="Times New Roman"/>
          <w:sz w:val="32"/>
          <w:szCs w:val="36"/>
        </w:rPr>
        <w:t>相关主管部门另有规定的，从其规定。</w:t>
      </w:r>
    </w:p>
    <w:p w14:paraId="1C7AC50C">
      <w:pPr>
        <w:ind w:firstLine="640" w:firstLineChars="200"/>
        <w:rPr>
          <w:rFonts w:ascii="仿宋" w:hAnsi="仿宋" w:eastAsia="仿宋" w:cs="Times New Roman"/>
          <w:sz w:val="32"/>
          <w:szCs w:val="36"/>
        </w:rPr>
      </w:pPr>
      <w:r>
        <w:rPr>
          <w:rFonts w:ascii="仿宋" w:hAnsi="仿宋" w:eastAsia="仿宋" w:cs="Times New Roman"/>
          <w:sz w:val="32"/>
          <w:szCs w:val="36"/>
        </w:rPr>
        <w:t>（二）本实施细则自</w:t>
      </w:r>
      <w:r>
        <w:rPr>
          <w:rFonts w:hint="eastAsia" w:ascii="仿宋" w:hAnsi="仿宋" w:eastAsia="仿宋" w:cs="Times New Roman"/>
          <w:sz w:val="32"/>
          <w:szCs w:val="36"/>
        </w:rPr>
        <w:t>2025年1月1日</w:t>
      </w:r>
      <w:r>
        <w:rPr>
          <w:rFonts w:ascii="仿宋" w:hAnsi="仿宋" w:eastAsia="仿宋" w:cs="Times New Roman"/>
          <w:sz w:val="32"/>
          <w:szCs w:val="36"/>
        </w:rPr>
        <w:t>起施行</w:t>
      </w:r>
      <w:r>
        <w:rPr>
          <w:rFonts w:hint="eastAsia" w:ascii="仿宋" w:hAnsi="仿宋" w:eastAsia="仿宋" w:cs="Times New Roman"/>
          <w:sz w:val="32"/>
          <w:szCs w:val="36"/>
        </w:rPr>
        <w:t>。自施行之日起，</w:t>
      </w:r>
      <w:r>
        <w:rPr>
          <w:rFonts w:ascii="仿宋" w:hAnsi="仿宋" w:eastAsia="仿宋" w:cs="Times New Roman"/>
          <w:sz w:val="32"/>
          <w:szCs w:val="36"/>
        </w:rPr>
        <w:t>原《东北大学悉尼智能科技学院关于推荐优秀应届本科毕业生免试攻读研究生工作实施细则》同时废止。</w:t>
      </w:r>
    </w:p>
    <w:p w14:paraId="6A811B6F">
      <w:pPr>
        <w:widowControl/>
        <w:jc w:val="left"/>
        <w:rPr>
          <w:rFonts w:ascii="仿宋_GB2312" w:eastAsia="仿宋_GB2312"/>
          <w:kern w:val="0"/>
          <w:sz w:val="32"/>
          <w:szCs w:val="32"/>
        </w:rPr>
      </w:pPr>
    </w:p>
    <w:p w14:paraId="6B3653A7">
      <w:pPr>
        <w:widowControl/>
        <w:jc w:val="left"/>
        <w:rPr>
          <w:rFonts w:ascii="仿宋_GB2312" w:eastAsia="仿宋_GB2312"/>
          <w:kern w:val="0"/>
          <w:sz w:val="32"/>
          <w:szCs w:val="32"/>
        </w:rPr>
      </w:pPr>
    </w:p>
    <w:p w14:paraId="70B835B7">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yNDVkMDRiMDYwZWE1YmJjNTYxZWNlMWY4OTFjNjkifQ=="/>
  </w:docVars>
  <w:rsids>
    <w:rsidRoot w:val="7B703BB0"/>
    <w:rsid w:val="1D5C7ABF"/>
    <w:rsid w:val="377553C6"/>
    <w:rsid w:val="6C81414B"/>
    <w:rsid w:val="7B703B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2246</Words>
  <Characters>2461</Characters>
  <Lines>0</Lines>
  <Paragraphs>0</Paragraphs>
  <TotalTime>0</TotalTime>
  <ScaleCrop>false</ScaleCrop>
  <LinksUpToDate>false</LinksUpToDate>
  <CharactersWithSpaces>2465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2024-09-22T10:38:00Z</dcterms:created>
  <dc:creator>小阿</dc:creator>
  <cp:lastModifiedBy>海芋</cp:lastModifiedBy>
  <dcterms:modified xsi:type="dcterms:W3CDTF">2025-03-27T07:48:52Z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23AA2C93743E4D85A57E28B5946C27C7_13</vt:lpwstr>
  </property>
  <property fmtid="{D5CDD505-2E9C-101B-9397-08002B2CF9AE}" pid="4" name="KSOTemplateDocerSaveRecord">
    <vt:lpwstr>eyJoZGlkIjoiYjlmODYzNmY3ZTAxNTE2YjMxMTk4M2M4ODg5YjBlZTkiLCJ1c2VySWQiOiIyMDI1MjgxMjgifQ==</vt:lpwstr>
  </property>
</Properties>
</file>