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_GBK" w:hAnsi="华文仿宋" w:eastAsia="方正小标宋_GBK"/>
          <w:b/>
          <w:bCs/>
          <w:sz w:val="40"/>
          <w:szCs w:val="32"/>
        </w:rPr>
      </w:pPr>
      <w:bookmarkStart w:id="0" w:name="OLE_LINK2"/>
      <w:bookmarkStart w:id="1" w:name="OLE_LINK1"/>
      <w:r>
        <w:rPr>
          <w:rFonts w:hint="eastAsia" w:ascii="方正小标宋_GBK" w:hAnsi="Times New Roman" w:eastAsia="方正小标宋_GBK" w:cs="Times New Roman"/>
          <w:sz w:val="44"/>
          <w:szCs w:val="44"/>
        </w:rPr>
        <w:t>苏州科技大学推免生综合素质单项分值设置表</w:t>
      </w:r>
    </w:p>
    <w:bookmarkEnd w:id="0"/>
    <w:bookmarkEnd w:id="1"/>
    <w:tbl>
      <w:tblPr>
        <w:tblStyle w:val="21"/>
        <w:tblW w:w="14176"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913"/>
        <w:gridCol w:w="74"/>
        <w:gridCol w:w="797"/>
        <w:gridCol w:w="293"/>
        <w:gridCol w:w="577"/>
        <w:gridCol w:w="513"/>
        <w:gridCol w:w="358"/>
        <w:gridCol w:w="872"/>
        <w:gridCol w:w="7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844" w:type="dxa"/>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类</w:t>
            </w:r>
            <w:r>
              <w:rPr>
                <w:rFonts w:ascii="仿宋_GB2312" w:hAnsi="等线" w:eastAsia="仿宋_GB2312"/>
                <w:b/>
                <w:bCs/>
                <w:sz w:val="24"/>
                <w:szCs w:val="24"/>
                <w14:ligatures w14:val="standardContextual"/>
              </w:rPr>
              <w:t xml:space="preserve">  </w:t>
            </w:r>
            <w:r>
              <w:rPr>
                <w:rFonts w:hint="eastAsia" w:ascii="仿宋_GB2312" w:hAnsi="等线" w:eastAsia="仿宋_GB2312"/>
                <w:b/>
                <w:bCs/>
                <w:sz w:val="24"/>
                <w:szCs w:val="24"/>
                <w14:ligatures w14:val="standardContextual"/>
              </w:rPr>
              <w:t>别</w:t>
            </w:r>
          </w:p>
        </w:tc>
        <w:tc>
          <w:tcPr>
            <w:tcW w:w="913" w:type="dxa"/>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项目</w:t>
            </w:r>
          </w:p>
          <w:p>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等级</w:t>
            </w:r>
          </w:p>
        </w:tc>
        <w:tc>
          <w:tcPr>
            <w:tcW w:w="871" w:type="dxa"/>
            <w:gridSpan w:val="2"/>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第一</w:t>
            </w:r>
          </w:p>
          <w:p>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870" w:type="dxa"/>
            <w:gridSpan w:val="2"/>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第二</w:t>
            </w:r>
          </w:p>
          <w:p>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871" w:type="dxa"/>
            <w:gridSpan w:val="2"/>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第三</w:t>
            </w:r>
          </w:p>
          <w:p>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872" w:type="dxa"/>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第四</w:t>
            </w:r>
          </w:p>
          <w:p>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7935" w:type="dxa"/>
            <w:vAlign w:val="center"/>
          </w:tcPr>
          <w:p>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1844" w:type="dxa"/>
            <w:vMerge w:val="restart"/>
            <w:vAlign w:val="center"/>
          </w:tcPr>
          <w:p>
            <w:pPr>
              <w:adjustRightInd w:val="0"/>
              <w:snapToGrid w:val="0"/>
              <w:jc w:val="center"/>
              <w:rPr>
                <w:rFonts w:ascii="仿宋_GB2312" w:hAnsi="Times New Roman" w:eastAsia="仿宋_GB2312" w:cs="Times New Roman"/>
                <w:b/>
                <w:bCs/>
                <w:sz w:val="24"/>
                <w:szCs w:val="24"/>
                <w14:ligatures w14:val="standardContextual"/>
              </w:rPr>
            </w:pPr>
            <w:r>
              <w:rPr>
                <w:rFonts w:hint="eastAsia" w:ascii="仿宋_GB2312" w:hAnsi="Times New Roman" w:eastAsia="仿宋_GB2312" w:cs="Times New Roman"/>
                <w:b/>
                <w:bCs/>
                <w:sz w:val="24"/>
                <w:szCs w:val="24"/>
                <w14:ligatures w14:val="standardContextual"/>
              </w:rPr>
              <w:t>学科竞赛</w:t>
            </w:r>
          </w:p>
          <w:p>
            <w:pPr>
              <w:adjustRightInd w:val="0"/>
              <w:snapToGrid w:val="0"/>
              <w:jc w:val="center"/>
              <w:rPr>
                <w:rFonts w:ascii="仿宋_GB2312" w:hAnsi="Times New Roman" w:eastAsia="仿宋_GB2312" w:cs="Times New Roman"/>
                <w:b/>
                <w:bCs/>
                <w:szCs w:val="21"/>
                <w14:ligatures w14:val="standardContextual"/>
              </w:rPr>
            </w:pPr>
            <w:r>
              <w:rPr>
                <w:rFonts w:hint="eastAsia" w:ascii="仿宋_GB2312" w:hAnsi="Times New Roman" w:eastAsia="仿宋_GB2312" w:cs="Times New Roman"/>
                <w:b/>
                <w:bCs/>
                <w:sz w:val="24"/>
                <w:szCs w:val="24"/>
                <w14:ligatures w14:val="standardContextual"/>
              </w:rPr>
              <w:t>(不超过</w:t>
            </w:r>
            <w:r>
              <w:rPr>
                <w:rFonts w:ascii="Times New Roman" w:hAnsi="Times New Roman" w:eastAsia="仿宋_GB2312" w:cs="Times New Roman"/>
                <w:b/>
                <w:bCs/>
                <w:sz w:val="24"/>
                <w:szCs w:val="24"/>
                <w14:ligatures w14:val="standardContextual"/>
              </w:rPr>
              <w:t>40</w:t>
            </w:r>
            <w:r>
              <w:rPr>
                <w:rFonts w:hint="eastAsia" w:ascii="仿宋_GB2312" w:hAnsi="Times New Roman" w:eastAsia="仿宋_GB2312" w:cs="Times New Roman"/>
                <w:b/>
                <w:bCs/>
                <w:sz w:val="24"/>
                <w:szCs w:val="24"/>
                <w14:ligatures w14:val="standardContextual"/>
              </w:rPr>
              <w:t>分)</w:t>
            </w:r>
          </w:p>
        </w:tc>
        <w:tc>
          <w:tcPr>
            <w:tcW w:w="913" w:type="dxa"/>
            <w:vAlign w:val="center"/>
          </w:tcPr>
          <w:p>
            <w:pPr>
              <w:jc w:val="center"/>
              <w:rPr>
                <w:rFonts w:ascii="仿宋_GB2312" w:hAnsi="Times New Roman" w:eastAsia="仿宋_GB2312" w:cs="Times New Roman"/>
                <w:sz w:val="24"/>
                <w:szCs w:val="24"/>
                <w14:ligatures w14:val="standardContextual"/>
              </w:rPr>
            </w:pPr>
            <w:r>
              <w:rPr>
                <w:rFonts w:hint="eastAsia" w:ascii="仿宋_GB2312" w:hAnsi="Times New Roman" w:eastAsia="仿宋_GB2312" w:cs="Times New Roman"/>
                <w:sz w:val="24"/>
                <w:szCs w:val="24"/>
                <w14:ligatures w14:val="standardContextual"/>
              </w:rPr>
              <w:t>I甲</w:t>
            </w:r>
          </w:p>
        </w:tc>
        <w:tc>
          <w:tcPr>
            <w:tcW w:w="871"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40</w:t>
            </w:r>
          </w:p>
        </w:tc>
        <w:tc>
          <w:tcPr>
            <w:tcW w:w="87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30</w:t>
            </w:r>
          </w:p>
        </w:tc>
        <w:tc>
          <w:tcPr>
            <w:tcW w:w="871"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15</w:t>
            </w:r>
          </w:p>
        </w:tc>
        <w:tc>
          <w:tcPr>
            <w:tcW w:w="872" w:type="dxa"/>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5</w:t>
            </w:r>
          </w:p>
        </w:tc>
        <w:tc>
          <w:tcPr>
            <w:tcW w:w="7935" w:type="dxa"/>
            <w:vMerge w:val="restart"/>
            <w:vAlign w:val="center"/>
          </w:tcPr>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1</w:t>
            </w:r>
            <w:bookmarkStart w:id="2" w:name="OLE_LINK8"/>
            <w:bookmarkStart w:id="3" w:name="OLE_LINK9"/>
            <w:r>
              <w:rPr>
                <w:rFonts w:hint="eastAsia" w:ascii="仿宋_GB2312" w:hAnsi="Times New Roman" w:eastAsia="仿宋_GB2312" w:cs="Times New Roman"/>
                <w:szCs w:val="21"/>
                <w14:ligatures w14:val="standardContextual"/>
              </w:rPr>
              <w:t>）</w:t>
            </w:r>
            <w:bookmarkEnd w:id="2"/>
            <w:bookmarkEnd w:id="3"/>
            <w:r>
              <w:rPr>
                <w:rFonts w:hint="eastAsia" w:ascii="仿宋_GB2312" w:hAnsi="Times New Roman" w:eastAsia="仿宋_GB2312" w:cs="Times New Roman"/>
                <w:szCs w:val="21"/>
                <w14:ligatures w14:val="standardContextual"/>
              </w:rPr>
              <w:t>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w:t>
            </w:r>
          </w:p>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2</w:t>
            </w:r>
            <w:r>
              <w:rPr>
                <w:rFonts w:hint="eastAsia" w:ascii="仿宋_GB2312" w:hAnsi="Times New Roman" w:eastAsia="仿宋_GB2312" w:cs="Times New Roman"/>
                <w:szCs w:val="21"/>
                <w14:ligatures w14:val="standardContextual"/>
              </w:rPr>
              <w:t>）同一项目参加多个比赛取最高项加分。</w:t>
            </w:r>
          </w:p>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3</w:t>
            </w:r>
            <w:r>
              <w:rPr>
                <w:rFonts w:hint="eastAsia" w:ascii="仿宋_GB2312" w:hAnsi="Times New Roman" w:eastAsia="仿宋_GB2312" w:cs="Times New Roman"/>
                <w:szCs w:val="21"/>
                <w14:ligatures w14:val="standardContextual"/>
              </w:rPr>
              <w:t>）第一等次对应各奖项的最高等级，其他依次对应。</w:t>
            </w:r>
          </w:p>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4</w:t>
            </w:r>
            <w:r>
              <w:rPr>
                <w:rFonts w:hint="eastAsia" w:ascii="仿宋_GB2312" w:hAnsi="Times New Roman" w:eastAsia="仿宋_GB2312" w:cs="Times New Roman"/>
                <w:szCs w:val="21"/>
                <w14:ligatures w14:val="standardContextual"/>
              </w:rPr>
              <w:t>）在多人参赛的情况下，仅对主要成员（I甲类排名前</w:t>
            </w:r>
            <w:r>
              <w:rPr>
                <w:rFonts w:ascii="Times New Roman" w:hAnsi="Times New Roman" w:eastAsia="仿宋_GB2312" w:cs="Times New Roman"/>
                <w:szCs w:val="21"/>
                <w14:ligatures w14:val="standardContextual"/>
              </w:rPr>
              <w:t>5</w:t>
            </w:r>
            <w:r>
              <w:rPr>
                <w:rFonts w:hint="eastAsia" w:ascii="仿宋_GB2312" w:hAnsi="Times New Roman" w:eastAsia="仿宋_GB2312" w:cs="Times New Roman"/>
                <w:szCs w:val="21"/>
                <w14:ligatures w14:val="standardContextual"/>
              </w:rPr>
              <w:t>位，I乙类排名前</w:t>
            </w:r>
            <w:r>
              <w:rPr>
                <w:rFonts w:ascii="Times New Roman" w:hAnsi="Times New Roman" w:eastAsia="仿宋_GB2312" w:cs="Times New Roman"/>
                <w:szCs w:val="21"/>
                <w14:ligatures w14:val="standardContextual"/>
              </w:rPr>
              <w:t>3</w:t>
            </w:r>
            <w:r>
              <w:rPr>
                <w:rFonts w:hint="eastAsia" w:ascii="仿宋_GB2312" w:hAnsi="Times New Roman" w:eastAsia="仿宋_GB2312" w:cs="Times New Roman"/>
                <w:szCs w:val="21"/>
                <w14:ligatures w14:val="standardContextual"/>
              </w:rPr>
              <w:t>位）予以加分。各成员所加分值在原有基础上分别乘以对应排名系数。具体如下：</w:t>
            </w:r>
          </w:p>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I甲类排名由前至后分别为：</w:t>
            </w:r>
            <w:r>
              <w:rPr>
                <w:rFonts w:ascii="Times New Roman" w:hAnsi="Times New Roman" w:eastAsia="仿宋_GB2312" w:cs="Times New Roman"/>
                <w:szCs w:val="21"/>
                <w14:ligatures w14:val="standardContextual"/>
              </w:rPr>
              <w:t>0.5、0.2、0.1、0.1、0.1</w:t>
            </w:r>
            <w:r>
              <w:rPr>
                <w:rFonts w:hint="eastAsia" w:ascii="仿宋_GB2312" w:hAnsi="Times New Roman" w:eastAsia="仿宋_GB2312" w:cs="Times New Roman"/>
                <w:szCs w:val="21"/>
                <w14:ligatures w14:val="standardContextual"/>
              </w:rPr>
              <w:t>。</w:t>
            </w:r>
          </w:p>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I乙类排名由前至后分别为：</w:t>
            </w:r>
            <w:r>
              <w:rPr>
                <w:rFonts w:ascii="Times New Roman" w:hAnsi="Times New Roman" w:eastAsia="仿宋_GB2312" w:cs="Times New Roman"/>
                <w:szCs w:val="21"/>
                <w14:ligatures w14:val="standardContextual"/>
              </w:rPr>
              <w:t>0.5、0.3、0.2</w:t>
            </w:r>
            <w:r>
              <w:rPr>
                <w:rFonts w:hint="eastAsia" w:ascii="仿宋_GB2312" w:hAnsi="Times New Roman" w:eastAsia="仿宋_GB2312" w:cs="Times New Roman"/>
                <w:szCs w:val="21"/>
                <w14:ligatures w14:val="standardContextual"/>
              </w:rPr>
              <w:t>。</w:t>
            </w:r>
          </w:p>
          <w:p>
            <w:pPr>
              <w:rPr>
                <w:rFonts w:ascii="仿宋_GB2312" w:hAnsi="Times New Roman" w:eastAsia="仿宋_GB2312" w:cs="Times New Roman"/>
                <w:szCs w:val="21"/>
                <w14:ligatures w14:val="standardContextual"/>
              </w:rPr>
            </w:pPr>
            <w:r>
              <w:rPr>
                <w:rFonts w:hint="eastAsia" w:ascii="Times New Roman"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5</w:t>
            </w:r>
            <w:r>
              <w:rPr>
                <w:rFonts w:hint="eastAsia" w:ascii="Times New Roman" w:hAnsi="Times New Roman" w:eastAsia="仿宋_GB2312" w:cs="Times New Roman"/>
                <w:szCs w:val="21"/>
                <w14:ligatures w14:val="standardContextual"/>
              </w:rPr>
              <w:t>）</w:t>
            </w:r>
            <w:r>
              <w:rPr>
                <w:rFonts w:hint="eastAsia" w:ascii="仿宋_GB2312" w:hAnsi="Times New Roman" w:eastAsia="仿宋_GB2312" w:cs="Times New Roman"/>
                <w:szCs w:val="21"/>
                <w14:ligatures w14:val="standardContextual"/>
              </w:rPr>
              <w:t>全国数学建模获奖加分平均分配给参赛者。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1844" w:type="dxa"/>
            <w:vMerge w:val="continue"/>
            <w:vAlign w:val="center"/>
          </w:tcPr>
          <w:p>
            <w:pPr>
              <w:jc w:val="center"/>
              <w:rPr>
                <w:rFonts w:ascii="仿宋_GB2312" w:hAnsi="Times New Roman" w:eastAsia="仿宋_GB2312" w:cs="Times New Roman"/>
                <w:b/>
                <w:bCs/>
                <w:szCs w:val="21"/>
                <w14:ligatures w14:val="standardContextual"/>
              </w:rPr>
            </w:pPr>
          </w:p>
        </w:tc>
        <w:tc>
          <w:tcPr>
            <w:tcW w:w="913" w:type="dxa"/>
            <w:vAlign w:val="center"/>
          </w:tcPr>
          <w:p>
            <w:pPr>
              <w:jc w:val="center"/>
              <w:rPr>
                <w:rFonts w:ascii="仿宋_GB2312" w:hAnsi="Times New Roman" w:eastAsia="仿宋_GB2312" w:cs="Times New Roman"/>
                <w:sz w:val="24"/>
                <w:szCs w:val="24"/>
                <w14:ligatures w14:val="standardContextual"/>
              </w:rPr>
            </w:pPr>
            <w:r>
              <w:rPr>
                <w:rFonts w:hint="eastAsia" w:ascii="仿宋_GB2312" w:hAnsi="Times New Roman" w:eastAsia="仿宋_GB2312" w:cs="Times New Roman"/>
                <w:sz w:val="24"/>
                <w:szCs w:val="24"/>
                <w14:ligatures w14:val="standardContextual"/>
              </w:rPr>
              <w:t>I乙</w:t>
            </w:r>
          </w:p>
        </w:tc>
        <w:tc>
          <w:tcPr>
            <w:tcW w:w="871"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15</w:t>
            </w:r>
          </w:p>
        </w:tc>
        <w:tc>
          <w:tcPr>
            <w:tcW w:w="87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10</w:t>
            </w:r>
          </w:p>
        </w:tc>
        <w:tc>
          <w:tcPr>
            <w:tcW w:w="871"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3</w:t>
            </w:r>
          </w:p>
        </w:tc>
        <w:tc>
          <w:tcPr>
            <w:tcW w:w="872" w:type="dxa"/>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w:t>
            </w:r>
          </w:p>
        </w:tc>
        <w:tc>
          <w:tcPr>
            <w:tcW w:w="7935" w:type="dxa"/>
            <w:vMerge w:val="continue"/>
            <w:vAlign w:val="center"/>
          </w:tcPr>
          <w:p>
            <w:pPr>
              <w:rPr>
                <w:rFonts w:ascii="仿宋_GB2312" w:hAnsi="Times New Roman" w:eastAsia="仿宋_GB2312" w:cs="Times New Roman"/>
                <w:sz w:val="18"/>
                <w:szCs w:val="18"/>
                <w14:ligatures w14:val="standardContextu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844" w:type="dxa"/>
            <w:vMerge w:val="restart"/>
            <w:vAlign w:val="center"/>
          </w:tcPr>
          <w:p>
            <w:pPr>
              <w:adjustRightInd w:val="0"/>
              <w:snapToGrid w:val="0"/>
              <w:jc w:val="center"/>
              <w:rPr>
                <w:rFonts w:ascii="仿宋_GB2312" w:hAnsi="Times New Roman" w:eastAsia="仿宋_GB2312" w:cs="Times New Roman"/>
                <w:b/>
                <w:bCs/>
                <w:sz w:val="24"/>
                <w:szCs w:val="24"/>
                <w14:ligatures w14:val="standardContextual"/>
              </w:rPr>
            </w:pPr>
            <w:r>
              <w:rPr>
                <w:rFonts w:hint="eastAsia" w:ascii="仿宋_GB2312" w:hAnsi="Times New Roman" w:eastAsia="仿宋_GB2312" w:cs="Times New Roman"/>
                <w:b/>
                <w:bCs/>
                <w:sz w:val="24"/>
                <w:szCs w:val="24"/>
                <w14:ligatures w14:val="standardContextual"/>
              </w:rPr>
              <w:t>科研成果</w:t>
            </w:r>
          </w:p>
          <w:p>
            <w:pPr>
              <w:adjustRightInd w:val="0"/>
              <w:snapToGrid w:val="0"/>
              <w:jc w:val="center"/>
              <w:rPr>
                <w:rFonts w:ascii="仿宋_GB2312" w:hAnsi="Times New Roman" w:eastAsia="仿宋_GB2312" w:cs="Times New Roman"/>
                <w:b/>
                <w:bCs/>
                <w:szCs w:val="21"/>
                <w14:ligatures w14:val="standardContextual"/>
              </w:rPr>
            </w:pPr>
            <w:r>
              <w:rPr>
                <w:rFonts w:hint="eastAsia" w:ascii="仿宋_GB2312" w:hAnsi="Times New Roman" w:eastAsia="仿宋_GB2312" w:cs="Times New Roman"/>
                <w:b/>
                <w:bCs/>
                <w:sz w:val="24"/>
                <w:szCs w:val="24"/>
                <w14:ligatures w14:val="standardContextual"/>
              </w:rPr>
              <w:t>(不超过</w:t>
            </w:r>
            <w:r>
              <w:rPr>
                <w:rFonts w:ascii="Times New Roman" w:hAnsi="Times New Roman" w:eastAsia="仿宋_GB2312" w:cs="Times New Roman"/>
                <w:b/>
                <w:bCs/>
                <w:sz w:val="24"/>
                <w:szCs w:val="24"/>
                <w14:ligatures w14:val="standardContextual"/>
              </w:rPr>
              <w:t>40</w:t>
            </w:r>
            <w:r>
              <w:rPr>
                <w:rFonts w:hint="eastAsia" w:ascii="仿宋_GB2312" w:hAnsi="Times New Roman" w:eastAsia="仿宋_GB2312" w:cs="Times New Roman"/>
                <w:b/>
                <w:bCs/>
                <w:sz w:val="24"/>
                <w:szCs w:val="24"/>
                <w14:ligatures w14:val="standardContextual"/>
              </w:rPr>
              <w:t>分)</w:t>
            </w:r>
          </w:p>
        </w:tc>
        <w:tc>
          <w:tcPr>
            <w:tcW w:w="1784" w:type="dxa"/>
            <w:gridSpan w:val="3"/>
            <w:vAlign w:val="center"/>
          </w:tcPr>
          <w:p>
            <w:pPr>
              <w:jc w:val="center"/>
              <w:rPr>
                <w:rFonts w:hint="default" w:ascii="Times New Roman" w:hAnsi="Times New Roman" w:eastAsia="仿宋_GB2312" w:cs="Times New Roman"/>
                <w:szCs w:val="21"/>
                <w14:ligatures w14:val="standardContextual"/>
              </w:rPr>
            </w:pPr>
            <w:r>
              <w:rPr>
                <w:rFonts w:hint="default" w:ascii="Times New Roman" w:hAnsi="Times New Roman" w:eastAsia="仿宋_GB2312" w:cs="Times New Roman"/>
                <w:szCs w:val="21"/>
                <w14:ligatures w14:val="standardContextual"/>
              </w:rPr>
              <w:t>科研论文</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lang w:val="en-US" w:eastAsia="zh-CN"/>
                <w14:ligatures w14:val="standardContextual"/>
              </w:rPr>
              <w:t>不超过30分）</w:t>
            </w:r>
          </w:p>
        </w:tc>
        <w:tc>
          <w:tcPr>
            <w:tcW w:w="2613" w:type="dxa"/>
            <w:gridSpan w:val="5"/>
            <w:vAlign w:val="center"/>
          </w:tcPr>
          <w:p>
            <w:pPr>
              <w:jc w:val="center"/>
              <w:rPr>
                <w:rFonts w:hint="default" w:ascii="Times New Roman" w:hAnsi="Times New Roman" w:eastAsia="仿宋_GB2312" w:cs="Times New Roman"/>
                <w:szCs w:val="21"/>
                <w14:ligatures w14:val="standardContextual"/>
              </w:rPr>
            </w:pPr>
            <w:r>
              <w:rPr>
                <w:rFonts w:hint="default" w:ascii="Times New Roman" w:hAnsi="Times New Roman" w:eastAsia="仿宋_GB2312" w:cs="Times New Roman"/>
                <w:szCs w:val="21"/>
                <w:lang w:val="en-US" w:eastAsia="zh-CN"/>
                <w14:ligatures w14:val="standardContextual"/>
              </w:rPr>
              <w:t>TOP期刊3</w:t>
            </w:r>
            <w:r>
              <w:rPr>
                <w:rFonts w:hint="default" w:ascii="Times New Roman" w:hAnsi="Times New Roman" w:eastAsia="仿宋_GB2312" w:cs="Times New Roman"/>
                <w:szCs w:val="21"/>
                <w14:ligatures w14:val="standardContextual"/>
              </w:rPr>
              <w:t>0分</w:t>
            </w:r>
            <w:r>
              <w:rPr>
                <w:rFonts w:hint="default" w:ascii="Times New Roman" w:hAnsi="Times New Roman" w:eastAsia="仿宋_GB2312" w:cs="Times New Roman"/>
                <w:szCs w:val="21"/>
                <w:lang w:val="en-US" w:eastAsia="zh-CN"/>
                <w14:ligatures w14:val="standardContextual"/>
              </w:rPr>
              <w:t>；</w:t>
            </w:r>
            <w:r>
              <w:rPr>
                <w:rFonts w:hint="default" w:ascii="Times New Roman" w:hAnsi="Times New Roman" w:eastAsia="仿宋_GB2312" w:cs="Times New Roman"/>
                <w:szCs w:val="21"/>
                <w14:ligatures w14:val="standardContextual"/>
              </w:rPr>
              <w:t>一类权威核心期刊</w:t>
            </w:r>
            <w:r>
              <w:rPr>
                <w:rFonts w:hint="default" w:ascii="Times New Roman" w:hAnsi="Times New Roman" w:eastAsia="仿宋_GB2312" w:cs="Times New Roman"/>
                <w:szCs w:val="21"/>
                <w:lang w:val="en-US" w:eastAsia="zh-CN"/>
                <w14:ligatures w14:val="standardContextual"/>
              </w:rPr>
              <w:t>25</w:t>
            </w:r>
            <w:r>
              <w:rPr>
                <w:rFonts w:hint="default" w:ascii="Times New Roman" w:hAnsi="Times New Roman" w:eastAsia="仿宋_GB2312" w:cs="Times New Roman"/>
                <w:szCs w:val="21"/>
                <w14:ligatures w14:val="standardContextual"/>
              </w:rPr>
              <w:t>分</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14:ligatures w14:val="standardContextual"/>
              </w:rPr>
              <w:t>一类核心期刊</w:t>
            </w:r>
            <w:r>
              <w:rPr>
                <w:rFonts w:hint="default" w:ascii="Times New Roman" w:hAnsi="Times New Roman" w:eastAsia="仿宋_GB2312" w:cs="Times New Roman"/>
                <w:szCs w:val="21"/>
                <w:lang w:val="en-US" w:eastAsia="zh-CN"/>
                <w14:ligatures w14:val="standardContextual"/>
              </w:rPr>
              <w:t>20</w:t>
            </w:r>
            <w:r>
              <w:rPr>
                <w:rFonts w:hint="default" w:ascii="Times New Roman" w:hAnsi="Times New Roman" w:eastAsia="仿宋_GB2312" w:cs="Times New Roman"/>
                <w:szCs w:val="21"/>
                <w14:ligatures w14:val="standardContextual"/>
              </w:rPr>
              <w:t>分</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14:ligatures w14:val="standardContextual"/>
              </w:rPr>
              <w:t>二类核心期刊</w:t>
            </w:r>
            <w:r>
              <w:rPr>
                <w:rFonts w:hint="default" w:ascii="Times New Roman" w:hAnsi="Times New Roman" w:eastAsia="仿宋_GB2312" w:cs="Times New Roman"/>
                <w:szCs w:val="21"/>
                <w:lang w:val="en-US" w:eastAsia="zh-CN"/>
                <w14:ligatures w14:val="standardContextual"/>
              </w:rPr>
              <w:t>15</w:t>
            </w:r>
            <w:r>
              <w:rPr>
                <w:rFonts w:hint="default" w:ascii="Times New Roman" w:hAnsi="Times New Roman" w:eastAsia="仿宋_GB2312" w:cs="Times New Roman"/>
                <w:szCs w:val="21"/>
                <w14:ligatures w14:val="standardContextual"/>
              </w:rPr>
              <w:t>分</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14:ligatures w14:val="standardContextual"/>
              </w:rPr>
              <w:t>三类核心期刊</w:t>
            </w:r>
            <w:r>
              <w:rPr>
                <w:rFonts w:hint="default" w:ascii="Times New Roman" w:hAnsi="Times New Roman" w:eastAsia="仿宋_GB2312" w:cs="Times New Roman"/>
                <w:szCs w:val="21"/>
                <w:lang w:val="en-US" w:eastAsia="zh-CN"/>
                <w14:ligatures w14:val="standardContextual"/>
              </w:rPr>
              <w:t>10</w:t>
            </w:r>
            <w:r>
              <w:rPr>
                <w:rFonts w:hint="default" w:ascii="Times New Roman" w:hAnsi="Times New Roman" w:eastAsia="仿宋_GB2312" w:cs="Times New Roman"/>
                <w:szCs w:val="21"/>
                <w14:ligatures w14:val="standardContextual"/>
              </w:rPr>
              <w:t>分</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14:ligatures w14:val="standardContextual"/>
              </w:rPr>
              <w:t>四类核心期刊</w:t>
            </w:r>
            <w:r>
              <w:rPr>
                <w:rFonts w:hint="default" w:ascii="Times New Roman" w:hAnsi="Times New Roman" w:eastAsia="仿宋_GB2312" w:cs="Times New Roman"/>
                <w:szCs w:val="21"/>
                <w:lang w:val="en-US" w:eastAsia="zh-CN"/>
                <w14:ligatures w14:val="standardContextual"/>
              </w:rPr>
              <w:t>5</w:t>
            </w:r>
            <w:r>
              <w:rPr>
                <w:rFonts w:hint="default" w:ascii="Times New Roman" w:hAnsi="Times New Roman" w:eastAsia="仿宋_GB2312" w:cs="Times New Roman"/>
                <w:szCs w:val="21"/>
                <w14:ligatures w14:val="standardContextual"/>
              </w:rPr>
              <w:t>分</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lang w:val="en-US" w:eastAsia="zh-CN"/>
                <w14:ligatures w14:val="standardContextual"/>
              </w:rPr>
              <w:t>北京大学《中文核心期刊要目总览》期刊2分</w:t>
            </w:r>
          </w:p>
        </w:tc>
        <w:tc>
          <w:tcPr>
            <w:tcW w:w="7935" w:type="dxa"/>
            <w:vMerge w:val="restart"/>
            <w:vAlign w:val="center"/>
          </w:tcPr>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1</w:t>
            </w:r>
            <w:r>
              <w:rPr>
                <w:rFonts w:hint="eastAsia" w:ascii="仿宋_GB2312" w:hAnsi="Times New Roman" w:eastAsia="仿宋_GB2312" w:cs="Times New Roman"/>
                <w:szCs w:val="21"/>
                <w14:ligatures w14:val="standardContextual"/>
              </w:rPr>
              <w:t>）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w:t>
            </w:r>
          </w:p>
          <w:p>
            <w:pPr>
              <w:rPr>
                <w:rFonts w:hint="eastAsia"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2</w:t>
            </w:r>
            <w:r>
              <w:rPr>
                <w:rFonts w:hint="eastAsia" w:ascii="仿宋_GB2312" w:hAnsi="Times New Roman" w:eastAsia="仿宋_GB2312" w:cs="Times New Roman"/>
                <w:szCs w:val="21"/>
                <w14:ligatures w14:val="standardContextual"/>
              </w:rPr>
              <w:t>）发明专利不得超过10分。须提供相关专利授权书。</w:t>
            </w:r>
          </w:p>
          <w:p>
            <w:pPr>
              <w:rPr>
                <w:rFonts w:hint="default" w:ascii="仿宋_GB2312" w:hAnsi="Times New Roman" w:eastAsia="仿宋_GB2312" w:cs="Times New Roman"/>
                <w:szCs w:val="21"/>
                <w:lang w:val="en-US" w:eastAsia="zh-CN"/>
                <w14:ligatures w14:val="standardContextual"/>
              </w:rPr>
            </w:pPr>
            <w:r>
              <w:rPr>
                <w:rFonts w:hint="eastAsia" w:ascii="仿宋_GB2312" w:hAnsi="Times New Roman" w:eastAsia="仿宋_GB2312" w:cs="Times New Roman"/>
                <w:szCs w:val="21"/>
                <w14:ligatures w14:val="standardContextual"/>
              </w:rPr>
              <w:t>（</w:t>
            </w:r>
            <w:r>
              <w:rPr>
                <w:rFonts w:hint="eastAsia" w:ascii="仿宋_GB2312" w:hAnsi="Times New Roman" w:eastAsia="仿宋_GB2312" w:cs="Times New Roman"/>
                <w:szCs w:val="21"/>
                <w:lang w:val="en-US" w:eastAsia="zh-CN"/>
                <w14:ligatures w14:val="standardContextual"/>
              </w:rPr>
              <w:t>3</w:t>
            </w:r>
            <w:r>
              <w:rPr>
                <w:rFonts w:hint="eastAsia" w:ascii="仿宋_GB2312" w:hAnsi="Times New Roman" w:eastAsia="仿宋_GB2312" w:cs="Times New Roman"/>
                <w:szCs w:val="21"/>
                <w14:ligatures w14:val="standardContextual"/>
              </w:rPr>
              <w:t>）学生在某一项有多个加分情况时，取最高项加分</w:t>
            </w:r>
            <w:r>
              <w:rPr>
                <w:rFonts w:hint="eastAsia" w:ascii="仿宋_GB2312" w:hAnsi="Times New Roman" w:eastAsia="仿宋_GB2312" w:cs="Times New Roman"/>
                <w:szCs w:val="21"/>
                <w:lang w:val="en-US" w:eastAsia="zh-CN"/>
                <w14:ligatures w14:val="standardContextual"/>
              </w:rPr>
              <w:t>。</w:t>
            </w:r>
          </w:p>
          <w:p>
            <w:pPr>
              <w:rPr>
                <w:rFonts w:hint="eastAsia"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hint="eastAsia" w:ascii="Times New Roman" w:hAnsi="Times New Roman" w:eastAsia="仿宋_GB2312" w:cs="Times New Roman"/>
                <w:szCs w:val="21"/>
                <w:lang w:val="en-US" w:eastAsia="zh-CN"/>
                <w14:ligatures w14:val="standardContextual"/>
              </w:rPr>
              <w:t>4</w:t>
            </w:r>
            <w:r>
              <w:rPr>
                <w:rFonts w:hint="eastAsia" w:ascii="仿宋_GB2312" w:hAnsi="Times New Roman" w:eastAsia="仿宋_GB2312" w:cs="Times New Roman"/>
                <w:szCs w:val="21"/>
                <w14:ligatures w14:val="standardContextual"/>
              </w:rPr>
              <w:t>）</w:t>
            </w:r>
            <w:r>
              <w:rPr>
                <w:rFonts w:hint="default" w:ascii="Times New Roman" w:hAnsi="Times New Roman" w:eastAsia="仿宋_GB2312" w:cs="Times New Roman"/>
                <w:szCs w:val="21"/>
                <w:lang w:val="en-US" w:eastAsia="zh-CN"/>
                <w14:ligatures w14:val="standardContextual"/>
              </w:rPr>
              <w:t>TOP</w:t>
            </w:r>
            <w:r>
              <w:rPr>
                <w:rFonts w:hint="eastAsia" w:ascii="仿宋_GB2312" w:hAnsi="Times New Roman" w:eastAsia="仿宋_GB2312" w:cs="Times New Roman"/>
                <w:szCs w:val="21"/>
                <w:lang w:val="en-US" w:eastAsia="zh-CN"/>
                <w14:ligatures w14:val="standardContextual"/>
              </w:rPr>
              <w:t>期刊及期刊分类以《苏州科技大学核心期刊目录（2021修订）》为准</w:t>
            </w:r>
            <w:bookmarkStart w:id="4" w:name="_GoBack"/>
            <w:bookmarkEnd w:id="4"/>
            <w:r>
              <w:rPr>
                <w:rFonts w:hint="eastAsia" w:ascii="仿宋_GB2312" w:hAnsi="Times New Roman" w:eastAsia="仿宋_GB2312" w:cs="Times New Roman"/>
                <w:szCs w:val="21"/>
                <w:lang w:val="en-US" w:eastAsia="zh-CN"/>
                <w14:ligatures w14:val="standardContextua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844" w:type="dxa"/>
            <w:vMerge w:val="continue"/>
            <w:vAlign w:val="center"/>
          </w:tcPr>
          <w:p>
            <w:pPr>
              <w:jc w:val="center"/>
              <w:rPr>
                <w14:ligatures w14:val="standardContextual"/>
              </w:rPr>
            </w:pPr>
          </w:p>
        </w:tc>
        <w:tc>
          <w:tcPr>
            <w:tcW w:w="1784" w:type="dxa"/>
            <w:gridSpan w:val="3"/>
            <w:vAlign w:val="center"/>
          </w:tcPr>
          <w:p>
            <w:pPr>
              <w:jc w:val="center"/>
              <w:rPr>
                <w:rFonts w:hint="default" w:ascii="Times New Roman" w:hAnsi="Times New Roman" w:cs="Times New Roman"/>
                <w14:ligatures w14:val="standardContextual"/>
              </w:rPr>
            </w:pPr>
            <w:r>
              <w:rPr>
                <w:rFonts w:hint="default" w:ascii="Times New Roman" w:hAnsi="Times New Roman" w:eastAsia="仿宋_GB2312" w:cs="Times New Roman"/>
                <w:szCs w:val="21"/>
                <w14:ligatures w14:val="standardContextual"/>
              </w:rPr>
              <w:t>发明专利</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lang w:val="en-US" w:eastAsia="zh-CN"/>
                <w14:ligatures w14:val="standardContextual"/>
              </w:rPr>
              <w:t>不超过10分）</w:t>
            </w:r>
          </w:p>
        </w:tc>
        <w:tc>
          <w:tcPr>
            <w:tcW w:w="2613" w:type="dxa"/>
            <w:gridSpan w:val="5"/>
            <w:vAlign w:val="center"/>
          </w:tcPr>
          <w:p>
            <w:pPr>
              <w:jc w:val="center"/>
              <w:rPr>
                <w:rFonts w:hint="default" w:ascii="Times New Roman" w:hAnsi="Times New Roman" w:eastAsia="仿宋_GB2312" w:cs="Times New Roman"/>
                <w:szCs w:val="21"/>
                <w14:ligatures w14:val="standardContextual"/>
              </w:rPr>
            </w:pPr>
            <w:r>
              <w:rPr>
                <w:rFonts w:hint="default" w:ascii="Times New Roman" w:hAnsi="Times New Roman" w:eastAsia="仿宋_GB2312" w:cs="Times New Roman"/>
                <w:szCs w:val="21"/>
                <w14:ligatures w14:val="standardContextual"/>
              </w:rPr>
              <w:t>发达国家发明专利10分（美、英、日、法、德）</w:t>
            </w:r>
            <w:r>
              <w:rPr>
                <w:rFonts w:hint="default"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14:ligatures w14:val="standardContextual"/>
              </w:rPr>
              <w:t>中国发明专利8分</w:t>
            </w:r>
          </w:p>
        </w:tc>
        <w:tc>
          <w:tcPr>
            <w:tcW w:w="7935" w:type="dxa"/>
            <w:vMerge w:val="continue"/>
            <w:vAlign w:val="center"/>
          </w:tcPr>
          <w:p>
            <w:pPr>
              <w:jc w:val="center"/>
              <w:rPr>
                <w:rFonts w:ascii="仿宋_GB2312" w:hAnsi="Times New Roman" w:eastAsia="仿宋_GB2312" w:cs="Times New Roman"/>
                <w:szCs w:val="21"/>
                <w14:ligatures w14:val="standardContextu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844" w:type="dxa"/>
            <w:vMerge w:val="restart"/>
            <w:vAlign w:val="center"/>
          </w:tcPr>
          <w:p>
            <w:pPr>
              <w:adjustRightInd w:val="0"/>
              <w:snapToGrid w:val="0"/>
              <w:jc w:val="center"/>
              <w:rPr>
                <w:rFonts w:ascii="仿宋_GB2312" w:hAnsi="Times New Roman" w:eastAsia="仿宋_GB2312" w:cs="Times New Roman"/>
                <w:b/>
                <w:bCs/>
                <w:sz w:val="24"/>
                <w:szCs w:val="24"/>
                <w14:ligatures w14:val="standardContextual"/>
              </w:rPr>
            </w:pPr>
            <w:r>
              <w:rPr>
                <w:rFonts w:hint="eastAsia" w:ascii="仿宋_GB2312" w:hAnsi="Times New Roman" w:eastAsia="仿宋_GB2312" w:cs="Times New Roman"/>
                <w:b/>
                <w:bCs/>
                <w:sz w:val="24"/>
                <w:szCs w:val="24"/>
                <w14:ligatures w14:val="standardContextual"/>
              </w:rPr>
              <w:t>志愿服务</w:t>
            </w:r>
          </w:p>
          <w:p>
            <w:pPr>
              <w:adjustRightInd w:val="0"/>
              <w:snapToGrid w:val="0"/>
              <w:jc w:val="center"/>
              <w:rPr>
                <w:rFonts w:ascii="仿宋_GB2312" w:hAnsi="Times New Roman" w:eastAsia="仿宋_GB2312" w:cs="Times New Roman"/>
                <w:b/>
                <w:bCs/>
                <w:szCs w:val="21"/>
                <w14:ligatures w14:val="standardContextual"/>
              </w:rPr>
            </w:pPr>
            <w:r>
              <w:rPr>
                <w:rFonts w:hint="eastAsia" w:ascii="仿宋_GB2312" w:hAnsi="Times New Roman" w:eastAsia="仿宋_GB2312" w:cs="Times New Roman"/>
                <w:b/>
                <w:bCs/>
                <w:sz w:val="24"/>
                <w:szCs w:val="24"/>
                <w14:ligatures w14:val="standardContextual"/>
              </w:rPr>
              <w:t>(不超过</w:t>
            </w:r>
            <w:r>
              <w:rPr>
                <w:rFonts w:ascii="Times New Roman" w:hAnsi="Times New Roman" w:eastAsia="仿宋_GB2312" w:cs="Times New Roman"/>
                <w:b/>
                <w:bCs/>
                <w:sz w:val="24"/>
                <w:szCs w:val="24"/>
                <w14:ligatures w14:val="standardContextual"/>
              </w:rPr>
              <w:t>10</w:t>
            </w:r>
            <w:r>
              <w:rPr>
                <w:rFonts w:hint="eastAsia" w:ascii="仿宋_GB2312" w:hAnsi="Times New Roman" w:eastAsia="仿宋_GB2312" w:cs="Times New Roman"/>
                <w:b/>
                <w:bCs/>
                <w:sz w:val="24"/>
                <w:szCs w:val="24"/>
                <w14:ligatures w14:val="standardContextual"/>
              </w:rPr>
              <w:t>分)</w:t>
            </w:r>
          </w:p>
        </w:tc>
        <w:tc>
          <w:tcPr>
            <w:tcW w:w="987" w:type="dxa"/>
            <w:gridSpan w:val="2"/>
            <w:vAlign w:val="center"/>
          </w:tcPr>
          <w:p>
            <w:pPr>
              <w:jc w:val="center"/>
              <w:rPr>
                <w:rFonts w:ascii="仿宋_GB2312" w:hAnsi="Times New Roman" w:eastAsia="仿宋_GB2312" w:cs="Times New Roman"/>
                <w:sz w:val="18"/>
                <w:szCs w:val="18"/>
                <w14:ligatures w14:val="standardContextual"/>
              </w:rPr>
            </w:pPr>
          </w:p>
        </w:tc>
        <w:tc>
          <w:tcPr>
            <w:tcW w:w="1090" w:type="dxa"/>
            <w:gridSpan w:val="2"/>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第一</w:t>
            </w:r>
          </w:p>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1090" w:type="dxa"/>
            <w:gridSpan w:val="2"/>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第二</w:t>
            </w:r>
          </w:p>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1230" w:type="dxa"/>
            <w:gridSpan w:val="2"/>
            <w:vAlign w:val="center"/>
          </w:tcPr>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第三</w:t>
            </w:r>
          </w:p>
          <w:p>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7935" w:type="dxa"/>
            <w:vMerge w:val="restart"/>
            <w:vAlign w:val="center"/>
          </w:tcPr>
          <w:p>
            <w:pPr>
              <w:rPr>
                <w:rFonts w:hint="eastAsia"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1</w:t>
            </w:r>
            <w:r>
              <w:rPr>
                <w:rFonts w:hint="eastAsia" w:ascii="仿宋_GB2312" w:hAnsi="Times New Roman" w:eastAsia="仿宋_GB2312" w:cs="Times New Roman"/>
                <w:szCs w:val="21"/>
                <w14:ligatures w14:val="standardContextual"/>
              </w:rPr>
              <w:t>）国家级志愿服务包括：中国青年志愿服务项目大赛、中国青年志愿服务公益创业赛、中国青年志愿者优秀项目奖。中国青年志愿者优秀个人奖按国家级第一等次计分。</w:t>
            </w:r>
          </w:p>
          <w:p>
            <w:pPr>
              <w:rPr>
                <w:rFonts w:hint="eastAsia"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w:t>
            </w:r>
          </w:p>
          <w:p>
            <w:pPr>
              <w:rPr>
                <w:rFonts w:hint="eastAsia"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（3）各类志愿服务以最高分计算，不可以累加。</w:t>
            </w:r>
          </w:p>
          <w:p>
            <w:pPr>
              <w:rPr>
                <w:rFonts w:hint="default" w:ascii="Times New Roman"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（4）在</w:t>
            </w:r>
            <w:r>
              <w:rPr>
                <w:rFonts w:hint="default" w:ascii="Times New Roman" w:hAnsi="Times New Roman" w:eastAsia="仿宋_GB2312" w:cs="Times New Roman"/>
                <w:szCs w:val="21"/>
                <w14:ligatures w14:val="standardContextual"/>
              </w:rPr>
              <w:t>多人参赛的情况下，仅对主要成员（排名前3位）予以加分。各成员所加分值在原有基础上分别乘以对应排名系数。具体如下：</w:t>
            </w:r>
          </w:p>
          <w:p>
            <w:pPr>
              <w:rPr>
                <w:rFonts w:hint="eastAsia" w:ascii="仿宋_GB2312" w:hAnsi="Times New Roman" w:eastAsia="仿宋_GB2312" w:cs="Times New Roman"/>
                <w:sz w:val="18"/>
                <w:szCs w:val="18"/>
                <w14:ligatures w14:val="standardContextual"/>
              </w:rPr>
            </w:pPr>
            <w:r>
              <w:rPr>
                <w:rFonts w:hint="default" w:ascii="Times New Roman" w:hAnsi="Times New Roman" w:eastAsia="仿宋_GB2312" w:cs="Times New Roman"/>
                <w:szCs w:val="21"/>
                <w14:ligatures w14:val="standardContextual"/>
              </w:rPr>
              <w:t>排名由前至后分别为：0.5、0.3、0.2。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844" w:type="dxa"/>
            <w:vMerge w:val="continue"/>
            <w:vAlign w:val="center"/>
          </w:tcPr>
          <w:p>
            <w:pPr>
              <w:adjustRightInd w:val="0"/>
              <w:snapToGrid w:val="0"/>
              <w:jc w:val="center"/>
              <w:rPr>
                <w:rFonts w:ascii="仿宋_GB2312" w:hAnsi="Times New Roman" w:eastAsia="仿宋_GB2312" w:cs="Times New Roman"/>
                <w:b/>
                <w:bCs/>
                <w:szCs w:val="21"/>
                <w14:ligatures w14:val="standardContextual"/>
              </w:rPr>
            </w:pPr>
          </w:p>
        </w:tc>
        <w:tc>
          <w:tcPr>
            <w:tcW w:w="987" w:type="dxa"/>
            <w:gridSpan w:val="2"/>
            <w:vAlign w:val="center"/>
          </w:tcPr>
          <w:p>
            <w:pPr>
              <w:jc w:val="center"/>
              <w:rPr>
                <w:rFonts w:ascii="仿宋_GB2312" w:hAnsi="Times New Roman" w:eastAsia="仿宋_GB2312" w:cs="Times New Roman"/>
                <w:sz w:val="24"/>
                <w:szCs w:val="24"/>
                <w14:ligatures w14:val="standardContextual"/>
              </w:rPr>
            </w:pPr>
            <w:r>
              <w:rPr>
                <w:rFonts w:hint="eastAsia" w:ascii="仿宋_GB2312" w:hAnsi="Times New Roman" w:eastAsia="仿宋_GB2312" w:cs="Times New Roman"/>
                <w:sz w:val="24"/>
                <w:szCs w:val="24"/>
                <w14:ligatures w14:val="standardContextual"/>
              </w:rPr>
              <w:t>国家级</w:t>
            </w:r>
          </w:p>
        </w:tc>
        <w:tc>
          <w:tcPr>
            <w:tcW w:w="109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10</w:t>
            </w:r>
          </w:p>
        </w:tc>
        <w:tc>
          <w:tcPr>
            <w:tcW w:w="109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7</w:t>
            </w:r>
          </w:p>
        </w:tc>
        <w:tc>
          <w:tcPr>
            <w:tcW w:w="123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5</w:t>
            </w:r>
          </w:p>
        </w:tc>
        <w:tc>
          <w:tcPr>
            <w:tcW w:w="7935" w:type="dxa"/>
            <w:vMerge w:val="continue"/>
            <w:vAlign w:val="center"/>
          </w:tcPr>
          <w:p>
            <w:pPr>
              <w:rPr>
                <w:rFonts w:ascii="仿宋_GB2312" w:hAnsi="Times New Roman" w:eastAsia="仿宋_GB2312" w:cs="Times New Roman"/>
                <w:sz w:val="18"/>
                <w:szCs w:val="18"/>
                <w14:ligatures w14:val="standardContextu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844" w:type="dxa"/>
            <w:vMerge w:val="continue"/>
            <w:vAlign w:val="center"/>
          </w:tcPr>
          <w:p>
            <w:pPr>
              <w:adjustRightInd w:val="0"/>
              <w:snapToGrid w:val="0"/>
              <w:jc w:val="center"/>
              <w:rPr>
                <w:rFonts w:ascii="仿宋_GB2312" w:hAnsi="Times New Roman" w:eastAsia="仿宋_GB2312" w:cs="Times New Roman"/>
                <w:b/>
                <w:bCs/>
                <w:szCs w:val="21"/>
                <w14:ligatures w14:val="standardContextual"/>
              </w:rPr>
            </w:pPr>
          </w:p>
        </w:tc>
        <w:tc>
          <w:tcPr>
            <w:tcW w:w="987" w:type="dxa"/>
            <w:gridSpan w:val="2"/>
            <w:vAlign w:val="center"/>
          </w:tcPr>
          <w:p>
            <w:pPr>
              <w:jc w:val="center"/>
              <w:rPr>
                <w:rFonts w:ascii="仿宋_GB2312" w:hAnsi="Times New Roman" w:eastAsia="仿宋_GB2312" w:cs="Times New Roman"/>
                <w:sz w:val="24"/>
                <w:szCs w:val="24"/>
                <w14:ligatures w14:val="standardContextual"/>
              </w:rPr>
            </w:pPr>
            <w:r>
              <w:rPr>
                <w:rFonts w:hint="eastAsia" w:ascii="仿宋_GB2312" w:hAnsi="Times New Roman" w:eastAsia="仿宋_GB2312" w:cs="Times New Roman"/>
                <w:sz w:val="24"/>
                <w:szCs w:val="24"/>
                <w14:ligatures w14:val="standardContextual"/>
              </w:rPr>
              <w:t>省部级</w:t>
            </w:r>
          </w:p>
        </w:tc>
        <w:tc>
          <w:tcPr>
            <w:tcW w:w="109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5</w:t>
            </w:r>
          </w:p>
        </w:tc>
        <w:tc>
          <w:tcPr>
            <w:tcW w:w="109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3</w:t>
            </w:r>
          </w:p>
        </w:tc>
        <w:tc>
          <w:tcPr>
            <w:tcW w:w="1230" w:type="dxa"/>
            <w:gridSpan w:val="2"/>
            <w:vAlign w:val="center"/>
          </w:tcPr>
          <w:p>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w:t>
            </w:r>
          </w:p>
        </w:tc>
        <w:tc>
          <w:tcPr>
            <w:tcW w:w="7935" w:type="dxa"/>
            <w:vMerge w:val="continue"/>
            <w:vAlign w:val="center"/>
          </w:tcPr>
          <w:p>
            <w:pPr>
              <w:rPr>
                <w:rFonts w:ascii="仿宋_GB2312" w:hAnsi="Times New Roman" w:eastAsia="仿宋_GB2312" w:cs="Times New Roman"/>
                <w:sz w:val="18"/>
                <w:szCs w:val="18"/>
                <w14:ligatures w14:val="standardContextu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844" w:type="dxa"/>
            <w:vAlign w:val="center"/>
          </w:tcPr>
          <w:p>
            <w:pPr>
              <w:adjustRightInd w:val="0"/>
              <w:snapToGrid w:val="0"/>
              <w:jc w:val="center"/>
              <w:rPr>
                <w:rFonts w:ascii="仿宋_GB2312" w:hAnsi="Times New Roman" w:eastAsia="仿宋_GB2312" w:cs="Times New Roman"/>
                <w:b/>
                <w:bCs/>
                <w:szCs w:val="21"/>
                <w14:ligatures w14:val="standardContextual"/>
              </w:rPr>
            </w:pPr>
            <w:r>
              <w:rPr>
                <w:rFonts w:hint="eastAsia" w:ascii="仿宋_GB2312" w:hAnsi="Times New Roman" w:eastAsia="仿宋_GB2312" w:cs="Times New Roman"/>
                <w:b/>
                <w:bCs/>
                <w:szCs w:val="21"/>
                <w14:ligatures w14:val="standardContextual"/>
              </w:rPr>
              <w:t>到国际组织实习（</w:t>
            </w:r>
            <w:r>
              <w:rPr>
                <w:rFonts w:hint="eastAsia" w:ascii="仿宋_GB2312" w:hAnsi="Times New Roman" w:eastAsia="仿宋_GB2312" w:cs="Times New Roman"/>
                <w:b/>
                <w:bCs/>
                <w:sz w:val="24"/>
                <w:szCs w:val="24"/>
                <w14:ligatures w14:val="standardContextual"/>
              </w:rPr>
              <w:t>不超过</w:t>
            </w:r>
            <w:r>
              <w:rPr>
                <w:rFonts w:ascii="Times New Roman" w:hAnsi="Times New Roman" w:eastAsia="仿宋_GB2312" w:cs="Times New Roman"/>
                <w:b/>
                <w:bCs/>
                <w:szCs w:val="21"/>
                <w14:ligatures w14:val="standardContextual"/>
              </w:rPr>
              <w:t>5</w:t>
            </w:r>
            <w:r>
              <w:rPr>
                <w:rFonts w:hint="eastAsia" w:ascii="仿宋_GB2312" w:hAnsi="Times New Roman" w:eastAsia="仿宋_GB2312" w:cs="Times New Roman"/>
                <w:b/>
                <w:bCs/>
                <w:szCs w:val="21"/>
                <w14:ligatures w14:val="standardContextual"/>
              </w:rPr>
              <w:t>分）</w:t>
            </w:r>
          </w:p>
        </w:tc>
        <w:tc>
          <w:tcPr>
            <w:tcW w:w="12332" w:type="dxa"/>
            <w:gridSpan w:val="9"/>
            <w:vAlign w:val="center"/>
          </w:tcPr>
          <w:p>
            <w:pPr>
              <w:jc w:val="left"/>
              <w:rPr>
                <w:rFonts w:ascii="仿宋_GB2312" w:hAnsi="Times New Roman" w:eastAsia="仿宋_GB2312" w:cs="Times New Roman"/>
                <w:sz w:val="18"/>
                <w:szCs w:val="18"/>
                <w14:ligatures w14:val="standardContextual"/>
              </w:rPr>
            </w:pPr>
            <w:r>
              <w:rPr>
                <w:rFonts w:hint="eastAsia" w:ascii="仿宋_GB2312" w:hAnsi="Times New Roman" w:eastAsia="仿宋_GB2312" w:cs="Times New Roman"/>
                <w:szCs w:val="21"/>
                <w14:ligatures w14:val="standardContextual"/>
              </w:rPr>
              <w:t>须持有相关国际组织颁发的实习证书/证明，实习期</w:t>
            </w:r>
            <w:r>
              <w:rPr>
                <w:rFonts w:ascii="Times New Roman" w:hAnsi="Times New Roman" w:eastAsia="仿宋_GB2312" w:cs="Times New Roman"/>
                <w:szCs w:val="21"/>
                <w14:ligatures w14:val="standardContextual"/>
              </w:rPr>
              <w:t>3</w:t>
            </w:r>
            <w:r>
              <w:rPr>
                <w:rFonts w:hint="eastAsia" w:ascii="仿宋_GB2312" w:hAnsi="Times New Roman" w:eastAsia="仿宋_GB2312" w:cs="Times New Roman"/>
                <w:szCs w:val="21"/>
                <w14:ligatures w14:val="standardContextual"/>
              </w:rPr>
              <w:t>个月及以上。该国际组织须为人力资源和社会保障部认定的国际组织，实习地点应为海外的国际组织总部、地区办事处等（在华机构除外）。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844" w:type="dxa"/>
            <w:vAlign w:val="center"/>
          </w:tcPr>
          <w:p>
            <w:pPr>
              <w:adjustRightInd w:val="0"/>
              <w:snapToGrid w:val="0"/>
              <w:jc w:val="center"/>
              <w:rPr>
                <w:rFonts w:ascii="仿宋_GB2312" w:hAnsi="Times New Roman" w:eastAsia="仿宋_GB2312" w:cs="Times New Roman"/>
                <w:b/>
                <w:bCs/>
                <w:sz w:val="24"/>
                <w:szCs w:val="24"/>
                <w14:ligatures w14:val="standardContextual"/>
              </w:rPr>
            </w:pPr>
            <w:r>
              <w:rPr>
                <w:rFonts w:hint="eastAsia" w:ascii="仿宋_GB2312" w:hAnsi="Times New Roman" w:eastAsia="仿宋_GB2312" w:cs="Times New Roman"/>
                <w:b/>
                <w:bCs/>
                <w:szCs w:val="21"/>
                <w14:ligatures w14:val="standardContextual"/>
              </w:rPr>
              <w:t>参军入伍服兵役（</w:t>
            </w:r>
            <w:r>
              <w:rPr>
                <w:rFonts w:hint="eastAsia" w:ascii="仿宋_GB2312" w:hAnsi="Times New Roman" w:eastAsia="仿宋_GB2312" w:cs="Times New Roman"/>
                <w:b/>
                <w:bCs/>
                <w:sz w:val="24"/>
                <w:szCs w:val="24"/>
                <w14:ligatures w14:val="standardContextual"/>
              </w:rPr>
              <w:t>不超过</w:t>
            </w:r>
            <w:r>
              <w:rPr>
                <w:rFonts w:ascii="Times New Roman" w:hAnsi="Times New Roman" w:eastAsia="仿宋_GB2312" w:cs="Times New Roman"/>
                <w:b/>
                <w:bCs/>
                <w:szCs w:val="21"/>
                <w14:ligatures w14:val="standardContextual"/>
              </w:rPr>
              <w:t>5</w:t>
            </w:r>
            <w:r>
              <w:rPr>
                <w:rFonts w:hint="eastAsia" w:ascii="仿宋_GB2312" w:hAnsi="Times New Roman" w:eastAsia="仿宋_GB2312" w:cs="Times New Roman"/>
                <w:b/>
                <w:bCs/>
                <w:szCs w:val="21"/>
                <w14:ligatures w14:val="standardContextual"/>
              </w:rPr>
              <w:t>分）</w:t>
            </w:r>
          </w:p>
        </w:tc>
        <w:tc>
          <w:tcPr>
            <w:tcW w:w="12332" w:type="dxa"/>
            <w:gridSpan w:val="9"/>
            <w:vAlign w:val="center"/>
          </w:tcPr>
          <w:p>
            <w:pPr>
              <w:jc w:val="center"/>
              <w:rPr>
                <w:rFonts w:ascii="仿宋_GB2312" w:hAnsi="Times New Roman" w:eastAsia="仿宋_GB2312" w:cs="Times New Roman"/>
                <w:sz w:val="24"/>
                <w:szCs w:val="24"/>
                <w14:ligatures w14:val="standardContextual"/>
              </w:rPr>
            </w:pPr>
            <w:r>
              <w:rPr>
                <w:rFonts w:hint="eastAsia" w:ascii="仿宋_GB2312" w:hAnsi="Times New Roman" w:eastAsia="仿宋_GB2312" w:cs="Times New Roman"/>
                <w:sz w:val="24"/>
                <w:szCs w:val="24"/>
                <w14:ligatures w14:val="standardContextual"/>
              </w:rPr>
              <w:t>须提供入伍批准书及退出现役证。</w:t>
            </w:r>
          </w:p>
        </w:tc>
      </w:tr>
    </w:tbl>
    <w:p>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注：（</w:t>
      </w:r>
      <w:r>
        <w:rPr>
          <w:rFonts w:ascii="Times New Roman" w:hAnsi="Times New Roman" w:eastAsia="仿宋_GB2312" w:cs="Times New Roman"/>
          <w:szCs w:val="21"/>
          <w14:ligatures w14:val="standardContextual"/>
        </w:rPr>
        <w:t>1</w:t>
      </w:r>
      <w:r>
        <w:rPr>
          <w:rFonts w:hint="eastAsia" w:ascii="仿宋_GB2312" w:hAnsi="Times New Roman" w:eastAsia="仿宋_GB2312" w:cs="Times New Roman"/>
          <w:szCs w:val="21"/>
          <w14:ligatures w14:val="standardContextual"/>
        </w:rPr>
        <w:t>）成果所列第一单位须为“苏州科技大学”。</w:t>
      </w:r>
    </w:p>
    <w:p>
      <w:pPr>
        <w:ind w:firstLine="321" w:firstLineChars="153"/>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2</w:t>
      </w:r>
      <w:r>
        <w:rPr>
          <w:rFonts w:hint="eastAsia" w:ascii="仿宋_GB2312" w:hAnsi="Times New Roman" w:eastAsia="仿宋_GB2312" w:cs="Times New Roman"/>
          <w:szCs w:val="21"/>
          <w14:ligatures w14:val="standardContextual"/>
        </w:rPr>
        <w:t>）成果或活动认定依据记载日期须在2026年8月31日前。</w:t>
      </w:r>
    </w:p>
    <w:p>
      <w:pPr>
        <w:rPr>
          <w:rFonts w:hint="eastAsia" w:ascii="仿宋_GB2312" w:eastAsia="仿宋_GB2312"/>
          <w:sz w:val="32"/>
          <w:szCs w:val="32"/>
        </w:rPr>
        <w:sectPr>
          <w:headerReference r:id="rId5" w:type="first"/>
          <w:footerReference r:id="rId8" w:type="first"/>
          <w:headerReference r:id="rId3" w:type="default"/>
          <w:footerReference r:id="rId6" w:type="default"/>
          <w:headerReference r:id="rId4" w:type="even"/>
          <w:footerReference r:id="rId7" w:type="even"/>
          <w:pgSz w:w="16838" w:h="11906" w:orient="landscape"/>
          <w:pgMar w:top="1361" w:right="1361" w:bottom="1361" w:left="1361" w:header="851" w:footer="992" w:gutter="0"/>
          <w:cols w:space="425" w:num="1"/>
          <w:docGrid w:type="linesAndChars" w:linePitch="312" w:charSpace="0"/>
        </w:sectPr>
      </w:pPr>
    </w:p>
    <w:p>
      <w:pPr>
        <w:widowControl/>
        <w:jc w:val="left"/>
        <w:rPr>
          <w:rFonts w:ascii="仿宋_GB2312" w:hAnsi="Times New Roman" w:eastAsia="仿宋_GB2312"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___WRD_EMBED_SUB_50">
    <w:altName w:val="宋体"/>
    <w:panose1 w:val="00000000000000000000"/>
    <w:charset w:val="86"/>
    <w:family w:val="swiss"/>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82016" w:usb3="00000000" w:csb0="00040001"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3214236"/>
      <w:docPartObj>
        <w:docPartGallery w:val="autotext"/>
      </w:docPartObj>
    </w:sdtPr>
    <w:sdtContent>
      <w:p>
        <w:pPr>
          <w:pStyle w:val="14"/>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6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3NmRmNTM5OGU3NzZmMzk4YTNiMGM0MDNmNDcwZTUifQ=="/>
  </w:docVars>
  <w:rsids>
    <w:rsidRoot w:val="00172A27"/>
    <w:rsid w:val="0000042C"/>
    <w:rsid w:val="00027FBA"/>
    <w:rsid w:val="00040725"/>
    <w:rsid w:val="00070FCE"/>
    <w:rsid w:val="000841D3"/>
    <w:rsid w:val="0009751E"/>
    <w:rsid w:val="000A2491"/>
    <w:rsid w:val="000A26D8"/>
    <w:rsid w:val="000C219F"/>
    <w:rsid w:val="000C2426"/>
    <w:rsid w:val="000F4019"/>
    <w:rsid w:val="00115574"/>
    <w:rsid w:val="00117E1D"/>
    <w:rsid w:val="00133039"/>
    <w:rsid w:val="001335FE"/>
    <w:rsid w:val="00133BB6"/>
    <w:rsid w:val="0013696E"/>
    <w:rsid w:val="0016392B"/>
    <w:rsid w:val="00170EC0"/>
    <w:rsid w:val="00197D2D"/>
    <w:rsid w:val="001A02AA"/>
    <w:rsid w:val="001B48B9"/>
    <w:rsid w:val="001B5845"/>
    <w:rsid w:val="001C5A35"/>
    <w:rsid w:val="001D584D"/>
    <w:rsid w:val="001E65D8"/>
    <w:rsid w:val="001F1613"/>
    <w:rsid w:val="001F6099"/>
    <w:rsid w:val="002043AD"/>
    <w:rsid w:val="002355A7"/>
    <w:rsid w:val="0023693B"/>
    <w:rsid w:val="002819E5"/>
    <w:rsid w:val="002B262D"/>
    <w:rsid w:val="002B2D77"/>
    <w:rsid w:val="002B4F04"/>
    <w:rsid w:val="002B6B92"/>
    <w:rsid w:val="002C1322"/>
    <w:rsid w:val="002C6FB8"/>
    <w:rsid w:val="002E020B"/>
    <w:rsid w:val="002E06BA"/>
    <w:rsid w:val="002F385C"/>
    <w:rsid w:val="00301DA6"/>
    <w:rsid w:val="0030670F"/>
    <w:rsid w:val="00343301"/>
    <w:rsid w:val="003E6D38"/>
    <w:rsid w:val="004178EA"/>
    <w:rsid w:val="00445F1B"/>
    <w:rsid w:val="00451562"/>
    <w:rsid w:val="00473085"/>
    <w:rsid w:val="004774EB"/>
    <w:rsid w:val="0048664B"/>
    <w:rsid w:val="004933AC"/>
    <w:rsid w:val="004B04E6"/>
    <w:rsid w:val="004C4D0A"/>
    <w:rsid w:val="004E31DC"/>
    <w:rsid w:val="004E3D1A"/>
    <w:rsid w:val="004E655C"/>
    <w:rsid w:val="004F352B"/>
    <w:rsid w:val="00531612"/>
    <w:rsid w:val="005770A2"/>
    <w:rsid w:val="00593813"/>
    <w:rsid w:val="00594BD1"/>
    <w:rsid w:val="005A3F42"/>
    <w:rsid w:val="005A6CD5"/>
    <w:rsid w:val="005B0058"/>
    <w:rsid w:val="005D1846"/>
    <w:rsid w:val="005D1B5F"/>
    <w:rsid w:val="00610EE8"/>
    <w:rsid w:val="00614506"/>
    <w:rsid w:val="006219F1"/>
    <w:rsid w:val="00631F8C"/>
    <w:rsid w:val="0063399C"/>
    <w:rsid w:val="006372EF"/>
    <w:rsid w:val="0066638A"/>
    <w:rsid w:val="00666C2F"/>
    <w:rsid w:val="00693BD0"/>
    <w:rsid w:val="00694547"/>
    <w:rsid w:val="00695244"/>
    <w:rsid w:val="00697A8A"/>
    <w:rsid w:val="006D5B1E"/>
    <w:rsid w:val="006E252D"/>
    <w:rsid w:val="006E677F"/>
    <w:rsid w:val="00726D85"/>
    <w:rsid w:val="00786831"/>
    <w:rsid w:val="007974EA"/>
    <w:rsid w:val="007A2A79"/>
    <w:rsid w:val="007D1ACE"/>
    <w:rsid w:val="007F12EF"/>
    <w:rsid w:val="007F3534"/>
    <w:rsid w:val="0080593D"/>
    <w:rsid w:val="00823EA0"/>
    <w:rsid w:val="008363CB"/>
    <w:rsid w:val="00837553"/>
    <w:rsid w:val="00841DB0"/>
    <w:rsid w:val="008456CA"/>
    <w:rsid w:val="00861150"/>
    <w:rsid w:val="0086490B"/>
    <w:rsid w:val="00887CF7"/>
    <w:rsid w:val="008B21F9"/>
    <w:rsid w:val="008D5CBF"/>
    <w:rsid w:val="008E19F5"/>
    <w:rsid w:val="008E458F"/>
    <w:rsid w:val="008F406E"/>
    <w:rsid w:val="008F5CF1"/>
    <w:rsid w:val="009007E5"/>
    <w:rsid w:val="009072B9"/>
    <w:rsid w:val="00907B05"/>
    <w:rsid w:val="00924E3C"/>
    <w:rsid w:val="00925F17"/>
    <w:rsid w:val="00967A03"/>
    <w:rsid w:val="009873BD"/>
    <w:rsid w:val="009D621D"/>
    <w:rsid w:val="009E3D7A"/>
    <w:rsid w:val="009F1218"/>
    <w:rsid w:val="009F1F79"/>
    <w:rsid w:val="00A136B7"/>
    <w:rsid w:val="00A21A7F"/>
    <w:rsid w:val="00A27820"/>
    <w:rsid w:val="00A33AD3"/>
    <w:rsid w:val="00A36E97"/>
    <w:rsid w:val="00A62D04"/>
    <w:rsid w:val="00A72537"/>
    <w:rsid w:val="00A84954"/>
    <w:rsid w:val="00A9652C"/>
    <w:rsid w:val="00AB111E"/>
    <w:rsid w:val="00AB39BE"/>
    <w:rsid w:val="00AC4F63"/>
    <w:rsid w:val="00AE433F"/>
    <w:rsid w:val="00AE6CE8"/>
    <w:rsid w:val="00B01AFD"/>
    <w:rsid w:val="00B06AC9"/>
    <w:rsid w:val="00B3521D"/>
    <w:rsid w:val="00B43B5F"/>
    <w:rsid w:val="00B551D4"/>
    <w:rsid w:val="00BA1A2A"/>
    <w:rsid w:val="00BA34DA"/>
    <w:rsid w:val="00BB26D8"/>
    <w:rsid w:val="00BE1443"/>
    <w:rsid w:val="00BF5D38"/>
    <w:rsid w:val="00C01F13"/>
    <w:rsid w:val="00C43BEA"/>
    <w:rsid w:val="00C54486"/>
    <w:rsid w:val="00C86597"/>
    <w:rsid w:val="00C86F33"/>
    <w:rsid w:val="00C90F4F"/>
    <w:rsid w:val="00CA2889"/>
    <w:rsid w:val="00CA53B8"/>
    <w:rsid w:val="00CA69F4"/>
    <w:rsid w:val="00CB3797"/>
    <w:rsid w:val="00CB6DD0"/>
    <w:rsid w:val="00CD4639"/>
    <w:rsid w:val="00CF4A06"/>
    <w:rsid w:val="00D05FF3"/>
    <w:rsid w:val="00D0624B"/>
    <w:rsid w:val="00D15D8B"/>
    <w:rsid w:val="00D53E6C"/>
    <w:rsid w:val="00D82285"/>
    <w:rsid w:val="00DA7D14"/>
    <w:rsid w:val="00DB3410"/>
    <w:rsid w:val="00DB41D1"/>
    <w:rsid w:val="00DD4D90"/>
    <w:rsid w:val="00E04972"/>
    <w:rsid w:val="00E22E47"/>
    <w:rsid w:val="00E26133"/>
    <w:rsid w:val="00E3045A"/>
    <w:rsid w:val="00E40553"/>
    <w:rsid w:val="00E475A2"/>
    <w:rsid w:val="00E57657"/>
    <w:rsid w:val="00E72A8F"/>
    <w:rsid w:val="00ED0257"/>
    <w:rsid w:val="00EE179D"/>
    <w:rsid w:val="00EF1330"/>
    <w:rsid w:val="00EF4AE3"/>
    <w:rsid w:val="00EF7D08"/>
    <w:rsid w:val="00F14481"/>
    <w:rsid w:val="00F1488F"/>
    <w:rsid w:val="00F21FF0"/>
    <w:rsid w:val="00F25CF2"/>
    <w:rsid w:val="00F448E0"/>
    <w:rsid w:val="00FA2497"/>
    <w:rsid w:val="00FB09E0"/>
    <w:rsid w:val="00FB150F"/>
    <w:rsid w:val="00FB277F"/>
    <w:rsid w:val="00FB3980"/>
    <w:rsid w:val="00FC6D1D"/>
    <w:rsid w:val="00FD0646"/>
    <w:rsid w:val="00FD2EF8"/>
    <w:rsid w:val="00FE1230"/>
    <w:rsid w:val="00FF2890"/>
    <w:rsid w:val="026B1259"/>
    <w:rsid w:val="074701D2"/>
    <w:rsid w:val="1786764B"/>
    <w:rsid w:val="1A255D39"/>
    <w:rsid w:val="1D663562"/>
    <w:rsid w:val="45C67B21"/>
    <w:rsid w:val="4D7E7868"/>
    <w:rsid w:val="549C174D"/>
    <w:rsid w:val="5FCC23D3"/>
    <w:rsid w:val="692A5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autoRedefine/>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5"/>
    <w:autoRedefine/>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7"/>
    <w:autoRedefine/>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8"/>
    <w:autoRedefine/>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9"/>
    <w:autoRedefine/>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0"/>
    <w:autoRedefine/>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autoRedefine/>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11">
    <w:name w:val="annotation text"/>
    <w:basedOn w:val="1"/>
    <w:link w:val="42"/>
    <w:autoRedefine/>
    <w:semiHidden/>
    <w:unhideWhenUsed/>
    <w:qFormat/>
    <w:uiPriority w:val="99"/>
    <w:pPr>
      <w:jc w:val="left"/>
    </w:pPr>
  </w:style>
  <w:style w:type="paragraph" w:styleId="12">
    <w:name w:val="Body Text"/>
    <w:basedOn w:val="1"/>
    <w:link w:val="46"/>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eastAsia="en-US"/>
    </w:rPr>
  </w:style>
  <w:style w:type="paragraph" w:styleId="13">
    <w:name w:val="Balloon Text"/>
    <w:basedOn w:val="1"/>
    <w:link w:val="48"/>
    <w:autoRedefine/>
    <w:semiHidden/>
    <w:unhideWhenUsed/>
    <w:uiPriority w:val="99"/>
    <w:rPr>
      <w:sz w:val="18"/>
      <w:szCs w:val="18"/>
    </w:rPr>
  </w:style>
  <w:style w:type="paragraph" w:styleId="14">
    <w:name w:val="footer"/>
    <w:basedOn w:val="1"/>
    <w:link w:val="45"/>
    <w:unhideWhenUsed/>
    <w:qFormat/>
    <w:uiPriority w:val="99"/>
    <w:pPr>
      <w:tabs>
        <w:tab w:val="center" w:pos="4153"/>
        <w:tab w:val="right" w:pos="8306"/>
      </w:tabs>
      <w:snapToGrid w:val="0"/>
      <w:jc w:val="left"/>
    </w:pPr>
    <w:rPr>
      <w:sz w:val="18"/>
      <w:szCs w:val="18"/>
    </w:rPr>
  </w:style>
  <w:style w:type="paragraph" w:styleId="15">
    <w:name w:val="header"/>
    <w:basedOn w:val="1"/>
    <w:link w:val="44"/>
    <w:autoRedefine/>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4"/>
    <w:autoRedefine/>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Normal (Web)"/>
    <w:basedOn w:val="1"/>
    <w:autoRedefine/>
    <w:qFormat/>
    <w:uiPriority w:val="0"/>
    <w:rPr>
      <w:sz w:val="24"/>
    </w:rPr>
  </w:style>
  <w:style w:type="paragraph" w:styleId="18">
    <w:name w:val="Title"/>
    <w:basedOn w:val="1"/>
    <w:next w:val="1"/>
    <w:link w:val="33"/>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1"/>
    <w:next w:val="11"/>
    <w:link w:val="43"/>
    <w:autoRedefine/>
    <w:semiHidden/>
    <w:unhideWhenUsed/>
    <w:qFormat/>
    <w:uiPriority w:val="99"/>
    <w:rPr>
      <w:b/>
      <w:bCs/>
    </w:rPr>
  </w:style>
  <w:style w:type="table" w:styleId="21">
    <w:name w:val="Table Grid"/>
    <w:basedOn w:val="20"/>
    <w:autoRedefine/>
    <w:qFormat/>
    <w:uiPriority w:val="39"/>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autoRedefine/>
    <w:semiHidden/>
    <w:unhideWhenUsed/>
    <w:qFormat/>
    <w:uiPriority w:val="99"/>
    <w:rPr>
      <w:sz w:val="21"/>
      <w:szCs w:val="21"/>
    </w:rPr>
  </w:style>
  <w:style w:type="character" w:customStyle="1" w:styleId="24">
    <w:name w:val="标题 1 字符"/>
    <w:basedOn w:val="22"/>
    <w:link w:val="2"/>
    <w:qFormat/>
    <w:uiPriority w:val="9"/>
    <w:rPr>
      <w:rFonts w:asciiTheme="majorHAnsi" w:hAnsiTheme="majorHAnsi" w:eastAsiaTheme="majorEastAsia" w:cstheme="majorBidi"/>
      <w:color w:val="2F5597" w:themeColor="accent1" w:themeShade="BF"/>
      <w:sz w:val="48"/>
      <w:szCs w:val="48"/>
    </w:rPr>
  </w:style>
  <w:style w:type="character" w:customStyle="1" w:styleId="25">
    <w:name w:val="标题 2 字符"/>
    <w:basedOn w:val="22"/>
    <w:link w:val="3"/>
    <w:autoRedefine/>
    <w:semiHidden/>
    <w:qFormat/>
    <w:uiPriority w:val="9"/>
    <w:rPr>
      <w:rFonts w:asciiTheme="majorHAnsi" w:hAnsiTheme="majorHAnsi" w:eastAsiaTheme="majorEastAsia" w:cstheme="majorBidi"/>
      <w:color w:val="2F5597" w:themeColor="accent1" w:themeShade="BF"/>
      <w:sz w:val="40"/>
      <w:szCs w:val="40"/>
    </w:rPr>
  </w:style>
  <w:style w:type="character" w:customStyle="1" w:styleId="26">
    <w:name w:val="标题 3 字符"/>
    <w:basedOn w:val="22"/>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7">
    <w:name w:val="标题 4 字符"/>
    <w:basedOn w:val="22"/>
    <w:link w:val="5"/>
    <w:autoRedefine/>
    <w:semiHidden/>
    <w:qFormat/>
    <w:uiPriority w:val="9"/>
    <w:rPr>
      <w:rFonts w:cstheme="majorBidi"/>
      <w:color w:val="2F5597" w:themeColor="accent1" w:themeShade="BF"/>
      <w:sz w:val="28"/>
      <w:szCs w:val="28"/>
    </w:rPr>
  </w:style>
  <w:style w:type="character" w:customStyle="1" w:styleId="28">
    <w:name w:val="标题 5 字符"/>
    <w:basedOn w:val="22"/>
    <w:link w:val="6"/>
    <w:autoRedefine/>
    <w:semiHidden/>
    <w:qFormat/>
    <w:uiPriority w:val="9"/>
    <w:rPr>
      <w:rFonts w:cstheme="majorBidi"/>
      <w:color w:val="2F5597" w:themeColor="accent1" w:themeShade="BF"/>
      <w:sz w:val="24"/>
      <w:szCs w:val="24"/>
    </w:rPr>
  </w:style>
  <w:style w:type="character" w:customStyle="1" w:styleId="29">
    <w:name w:val="标题 6 字符"/>
    <w:basedOn w:val="22"/>
    <w:link w:val="7"/>
    <w:semiHidden/>
    <w:qFormat/>
    <w:uiPriority w:val="9"/>
    <w:rPr>
      <w:rFonts w:cstheme="majorBidi"/>
      <w:b/>
      <w:bCs/>
      <w:color w:val="2F5597" w:themeColor="accent1" w:themeShade="BF"/>
    </w:rPr>
  </w:style>
  <w:style w:type="character" w:customStyle="1" w:styleId="30">
    <w:name w:val="标题 7 字符"/>
    <w:basedOn w:val="22"/>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2"/>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2"/>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2"/>
    <w:link w:val="18"/>
    <w:autoRedefine/>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2"/>
    <w:link w:val="35"/>
    <w:autoRedefine/>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2"/>
    <w:autoRedefine/>
    <w:qFormat/>
    <w:uiPriority w:val="21"/>
    <w:rPr>
      <w:i/>
      <w:iCs/>
      <w:color w:val="2F5597" w:themeColor="accent1" w:themeShade="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0">
    <w:name w:val="明显引用 字符"/>
    <w:basedOn w:val="22"/>
    <w:link w:val="39"/>
    <w:autoRedefine/>
    <w:qFormat/>
    <w:uiPriority w:val="30"/>
    <w:rPr>
      <w:i/>
      <w:iCs/>
      <w:color w:val="2F5597" w:themeColor="accent1" w:themeShade="BF"/>
    </w:rPr>
  </w:style>
  <w:style w:type="character" w:customStyle="1" w:styleId="41">
    <w:name w:val="明显参考1"/>
    <w:basedOn w:val="22"/>
    <w:autoRedefine/>
    <w:qFormat/>
    <w:uiPriority w:val="32"/>
    <w:rPr>
      <w:b/>
      <w:bCs/>
      <w:smallCaps/>
      <w:color w:val="2F5597" w:themeColor="accent1" w:themeShade="BF"/>
      <w:spacing w:val="5"/>
    </w:rPr>
  </w:style>
  <w:style w:type="character" w:customStyle="1" w:styleId="42">
    <w:name w:val="批注文字 字符"/>
    <w:basedOn w:val="22"/>
    <w:link w:val="11"/>
    <w:autoRedefine/>
    <w:semiHidden/>
    <w:qFormat/>
    <w:uiPriority w:val="99"/>
  </w:style>
  <w:style w:type="character" w:customStyle="1" w:styleId="43">
    <w:name w:val="批注主题 字符"/>
    <w:basedOn w:val="42"/>
    <w:link w:val="19"/>
    <w:autoRedefine/>
    <w:semiHidden/>
    <w:qFormat/>
    <w:uiPriority w:val="99"/>
    <w:rPr>
      <w:b/>
      <w:bCs/>
    </w:rPr>
  </w:style>
  <w:style w:type="character" w:customStyle="1" w:styleId="44">
    <w:name w:val="页眉 字符"/>
    <w:basedOn w:val="22"/>
    <w:link w:val="15"/>
    <w:autoRedefine/>
    <w:qFormat/>
    <w:uiPriority w:val="99"/>
    <w:rPr>
      <w:sz w:val="18"/>
      <w:szCs w:val="18"/>
    </w:rPr>
  </w:style>
  <w:style w:type="character" w:customStyle="1" w:styleId="45">
    <w:name w:val="页脚 字符"/>
    <w:basedOn w:val="22"/>
    <w:link w:val="14"/>
    <w:autoRedefine/>
    <w:qFormat/>
    <w:uiPriority w:val="99"/>
    <w:rPr>
      <w:sz w:val="18"/>
      <w:szCs w:val="18"/>
    </w:rPr>
  </w:style>
  <w:style w:type="character" w:customStyle="1" w:styleId="46">
    <w:name w:val="正文文本 字符"/>
    <w:basedOn w:val="22"/>
    <w:link w:val="12"/>
    <w:autoRedefine/>
    <w:semiHidden/>
    <w:qFormat/>
    <w:uiPriority w:val="0"/>
    <w:rPr>
      <w:rFonts w:ascii="仿宋" w:hAnsi="仿宋" w:eastAsia="仿宋" w:cs="仿宋"/>
      <w:snapToGrid w:val="0"/>
      <w:color w:val="000000"/>
      <w:sz w:val="31"/>
      <w:szCs w:val="31"/>
      <w:lang w:eastAsia="en-US"/>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8">
    <w:name w:val="批注框文本 字符"/>
    <w:basedOn w:val="22"/>
    <w:link w:val="13"/>
    <w:autoRedefine/>
    <w:semiHidden/>
    <w:qFormat/>
    <w:uiPriority w:val="99"/>
    <w:rPr>
      <w:kern w:val="2"/>
      <w:sz w:val="18"/>
      <w:szCs w:val="18"/>
    </w:rPr>
  </w:style>
  <w:style w:type="paragraph" w:customStyle="1" w:styleId="49">
    <w:name w:val="Default"/>
    <w:autoRedefine/>
    <w:unhideWhenUsed/>
    <w:qFormat/>
    <w:uiPriority w:val="99"/>
    <w:pPr>
      <w:widowControl w:val="0"/>
      <w:autoSpaceDE w:val="0"/>
      <w:autoSpaceDN w:val="0"/>
      <w:adjustRightInd w:val="0"/>
      <w:spacing w:beforeLines="0" w:afterLines="0"/>
    </w:pPr>
    <w:rPr>
      <w:rFonts w:hint="eastAsia" w:ascii="___WRD_EMBED_SUB_50" w:hAnsi="___WRD_EMBED_SUB_50" w:eastAsia="___WRD_EMBED_SUB_50" w:cstheme="minorBidi"/>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EE82F-9DB2-40F9-83FE-498CCF749E32}">
  <ds:schemaRefs/>
</ds:datastoreItem>
</file>

<file path=docProps/app.xml><?xml version="1.0" encoding="utf-8"?>
<Properties xmlns="http://schemas.openxmlformats.org/officeDocument/2006/extended-properties" xmlns:vt="http://schemas.openxmlformats.org/officeDocument/2006/docPropsVTypes">
  <Template>Normal</Template>
  <Pages>4</Pages>
  <Words>572</Words>
  <Characters>584</Characters>
  <Lines>36</Lines>
  <Paragraphs>28</Paragraphs>
  <TotalTime>4</TotalTime>
  <ScaleCrop>false</ScaleCrop>
  <LinksUpToDate>false</LinksUpToDate>
  <CharactersWithSpaces>1128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2025-08-31T04:47:00Z</dcterms:created>
  <dc:creator>Shu Duan</dc:creator>
  <cp:lastModifiedBy>蒋全胜</cp:lastModifiedBy>
  <cp:lastPrinted>2026-08-28T08:37:29Z</cp:lastPrinted>
  <dcterms:modified xsi:type="dcterms:W3CDTF">2026-08-28T08:37:32Z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eyJoZGlkIjoiNGY0ZmRmZGJhNmM2MTgwNmU1Y2EyYmE2OTAyY2M5ZDciLCJ1c2VySWQiOiI3MDAzNDk3OTUifQ==</vt:lpwstr>
  </property>
  <property fmtid="{D5CDD505-2E9C-101B-9397-08002B2CF9AE}" pid="3" name="KSOProductBuildVer">
    <vt:lpwstr>2052-12.1.0.16120</vt:lpwstr>
  </property>
  <property fmtid="{D5CDD505-2E9C-101B-9397-08002B2CF9AE}" pid="4" name="ICV">
    <vt:lpwstr>2AD9F2CFDF024CAF8F431375F14695F1_13</vt:lpwstr>
  </property>
</Properties>
</file>