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仿宋" w:hAnsi="仿宋" w:eastAsia="仿宋" w:cs="Arial"/>
          <w:b/>
          <w:bCs/>
          <w:kern w:val="0"/>
          <w:sz w:val="44"/>
          <w:szCs w:val="44"/>
        </w:rPr>
      </w:pPr>
      <w:r>
        <w:rPr>
          <w:rFonts w:ascii="仿宋" w:hAnsi="仿宋" w:eastAsia="仿宋" w:cs="Arial"/>
          <w:b/>
          <w:bCs/>
          <w:kern w:val="0"/>
          <w:sz w:val="44"/>
          <w:szCs w:val="44"/>
        </w:rPr>
        <w:t>关于202</w:t>
      </w:r>
      <w:r>
        <w:rPr>
          <w:rFonts w:hint="eastAsia" w:ascii="仿宋" w:hAnsi="仿宋" w:eastAsia="仿宋" w:cs="Arial"/>
          <w:b/>
          <w:bCs/>
          <w:kern w:val="0"/>
          <w:sz w:val="44"/>
          <w:szCs w:val="44"/>
        </w:rPr>
        <w:t>4</w:t>
      </w:r>
      <w:r>
        <w:rPr>
          <w:rFonts w:ascii="仿宋" w:hAnsi="仿宋" w:eastAsia="仿宋" w:cs="Arial"/>
          <w:b/>
          <w:bCs/>
          <w:kern w:val="0"/>
          <w:sz w:val="44"/>
          <w:szCs w:val="44"/>
        </w:rPr>
        <w:t>-202</w:t>
      </w:r>
      <w:r>
        <w:rPr>
          <w:rFonts w:hint="eastAsia" w:ascii="仿宋" w:hAnsi="仿宋" w:eastAsia="仿宋" w:cs="Arial"/>
          <w:b/>
          <w:bCs/>
          <w:kern w:val="0"/>
          <w:sz w:val="44"/>
          <w:szCs w:val="44"/>
        </w:rPr>
        <w:t>5</w:t>
      </w:r>
      <w:r>
        <w:rPr>
          <w:rFonts w:ascii="仿宋" w:hAnsi="仿宋" w:eastAsia="仿宋" w:cs="Arial"/>
          <w:b/>
          <w:bCs/>
          <w:kern w:val="0"/>
          <w:sz w:val="44"/>
          <w:szCs w:val="44"/>
        </w:rPr>
        <w:t>学年第</w:t>
      </w:r>
      <w:r>
        <w:rPr>
          <w:rFonts w:hint="eastAsia" w:ascii="仿宋" w:hAnsi="仿宋" w:eastAsia="仿宋" w:cs="Arial"/>
          <w:b/>
          <w:bCs/>
          <w:kern w:val="0"/>
          <w:sz w:val="44"/>
          <w:szCs w:val="44"/>
        </w:rPr>
        <w:t>一</w:t>
      </w:r>
      <w:r>
        <w:rPr>
          <w:rFonts w:ascii="仿宋" w:hAnsi="仿宋" w:eastAsia="仿宋" w:cs="Arial"/>
          <w:b/>
          <w:bCs/>
          <w:kern w:val="0"/>
          <w:sz w:val="44"/>
          <w:szCs w:val="44"/>
        </w:rPr>
        <w:t xml:space="preserve">学期学生选课的通知 </w:t>
      </w:r>
    </w:p>
    <w:p>
      <w:pPr>
        <w:autoSpaceDE w:val="0"/>
        <w:jc w:val="left"/>
        <w:rPr>
          <w:rFonts w:ascii="仿宋" w:hAnsi="仿宋" w:eastAsia="仿宋" w:cs="宋体"/>
          <w:sz w:val="32"/>
          <w:szCs w:val="32"/>
        </w:rPr>
      </w:pPr>
    </w:p>
    <w:p>
      <w:pPr>
        <w:autoSpaceDE w:val="0"/>
        <w:snapToGrid w:val="0"/>
        <w:spacing w:line="324" w:lineRule="auto"/>
        <w:rPr>
          <w:rFonts w:ascii="仿宋" w:hAnsi="仿宋" w:eastAsia="仿宋" w:cs="宋体"/>
          <w:kern w:val="0"/>
          <w:sz w:val="32"/>
          <w:szCs w:val="32"/>
        </w:rPr>
      </w:pPr>
      <w:r>
        <w:rPr>
          <w:rFonts w:hint="eastAsia" w:ascii="仿宋" w:hAnsi="仿宋" w:eastAsia="仿宋" w:cs="宋体"/>
          <w:sz w:val="32"/>
          <w:szCs w:val="32"/>
        </w:rPr>
        <w:t>各学院(系）：</w:t>
      </w:r>
    </w:p>
    <w:p>
      <w:pPr>
        <w:autoSpaceDE w:val="0"/>
        <w:snapToGrid w:val="0"/>
        <w:spacing w:line="324" w:lineRule="auto"/>
        <w:ind w:firstLine="640" w:firstLineChars="200"/>
        <w:rPr>
          <w:rFonts w:ascii="仿宋" w:hAnsi="仿宋" w:eastAsia="仿宋" w:cs="宋体"/>
          <w:kern w:val="0"/>
          <w:sz w:val="32"/>
          <w:szCs w:val="32"/>
        </w:rPr>
      </w:pPr>
      <w:r>
        <w:rPr>
          <w:rFonts w:ascii="仿宋" w:hAnsi="仿宋" w:eastAsia="仿宋" w:cs="宋体"/>
          <w:kern w:val="0"/>
          <w:sz w:val="32"/>
          <w:szCs w:val="32"/>
        </w:rPr>
        <w:t>202</w:t>
      </w:r>
      <w:r>
        <w:rPr>
          <w:rFonts w:hint="eastAsia" w:ascii="仿宋" w:hAnsi="仿宋" w:eastAsia="仿宋" w:cs="宋体"/>
          <w:kern w:val="0"/>
          <w:sz w:val="32"/>
          <w:szCs w:val="32"/>
        </w:rPr>
        <w:t>4</w:t>
      </w:r>
      <w:r>
        <w:rPr>
          <w:rFonts w:ascii="仿宋" w:hAnsi="仿宋" w:eastAsia="仿宋" w:cs="宋体"/>
          <w:kern w:val="0"/>
          <w:sz w:val="32"/>
          <w:szCs w:val="32"/>
        </w:rPr>
        <w:t>-202</w:t>
      </w:r>
      <w:r>
        <w:rPr>
          <w:rFonts w:hint="eastAsia" w:ascii="仿宋" w:hAnsi="仿宋" w:eastAsia="仿宋" w:cs="宋体"/>
          <w:kern w:val="0"/>
          <w:sz w:val="32"/>
          <w:szCs w:val="32"/>
        </w:rPr>
        <w:t>5</w:t>
      </w:r>
      <w:r>
        <w:rPr>
          <w:rFonts w:ascii="仿宋" w:hAnsi="仿宋" w:eastAsia="仿宋" w:cs="宋体"/>
          <w:kern w:val="0"/>
          <w:sz w:val="32"/>
          <w:szCs w:val="32"/>
        </w:rPr>
        <w:t>学年第</w:t>
      </w:r>
      <w:r>
        <w:rPr>
          <w:rFonts w:hint="eastAsia" w:ascii="仿宋" w:hAnsi="仿宋" w:eastAsia="仿宋" w:cs="宋体"/>
          <w:kern w:val="0"/>
          <w:sz w:val="32"/>
          <w:szCs w:val="32"/>
        </w:rPr>
        <w:t>一</w:t>
      </w:r>
      <w:r>
        <w:rPr>
          <w:rFonts w:ascii="仿宋" w:hAnsi="仿宋" w:eastAsia="仿宋" w:cs="宋体"/>
          <w:kern w:val="0"/>
          <w:sz w:val="32"/>
          <w:szCs w:val="32"/>
        </w:rPr>
        <w:t>学期本科生选课(正选)工作即将开始，为了保证本次选课工作顺利进行，请学院做好宣传、组织和指导工作</w:t>
      </w:r>
      <w:r>
        <w:rPr>
          <w:rFonts w:hint="eastAsia" w:ascii="仿宋" w:hAnsi="仿宋" w:eastAsia="仿宋" w:cs="宋体"/>
          <w:kern w:val="0"/>
          <w:sz w:val="32"/>
          <w:szCs w:val="32"/>
        </w:rPr>
        <w:t>，请学生按照专业培养方案以及教务处有关选课规定进行选课，具体事项通知如下：</w:t>
      </w:r>
    </w:p>
    <w:p>
      <w:pPr>
        <w:widowControl/>
        <w:snapToGrid w:val="0"/>
        <w:spacing w:line="324" w:lineRule="auto"/>
        <w:ind w:firstLine="643" w:firstLineChars="200"/>
        <w:rPr>
          <w:rFonts w:ascii="宋体" w:hAnsi="宋体" w:eastAsia="宋体" w:cs="宋体"/>
          <w:b/>
          <w:bCs/>
          <w:kern w:val="0"/>
          <w:sz w:val="32"/>
          <w:szCs w:val="32"/>
        </w:rPr>
      </w:pPr>
      <w:r>
        <w:rPr>
          <w:rFonts w:hint="eastAsia" w:ascii="宋体" w:hAnsi="宋体" w:eastAsia="宋体" w:cs="宋体"/>
          <w:b/>
          <w:bCs/>
          <w:kern w:val="0"/>
          <w:sz w:val="32"/>
          <w:szCs w:val="32"/>
        </w:rPr>
        <w:t>一</w:t>
      </w:r>
      <w:r>
        <w:rPr>
          <w:rFonts w:ascii="宋体" w:hAnsi="宋体" w:eastAsia="宋体" w:cs="宋体"/>
          <w:b/>
          <w:bCs/>
          <w:kern w:val="0"/>
          <w:sz w:val="32"/>
          <w:szCs w:val="32"/>
        </w:rPr>
        <w:t>、</w:t>
      </w:r>
      <w:r>
        <w:rPr>
          <w:rFonts w:hint="eastAsia" w:ascii="宋体" w:hAnsi="宋体" w:eastAsia="宋体" w:cs="宋体"/>
          <w:b/>
          <w:bCs/>
          <w:kern w:val="0"/>
          <w:sz w:val="32"/>
          <w:szCs w:val="32"/>
        </w:rPr>
        <w:t>选课时间：</w:t>
      </w:r>
    </w:p>
    <w:p>
      <w:pPr>
        <w:pStyle w:val="23"/>
        <w:widowControl/>
        <w:numPr>
          <w:ilvl w:val="255"/>
          <w:numId w:val="0"/>
        </w:numPr>
        <w:snapToGrid w:val="0"/>
        <w:spacing w:line="324" w:lineRule="auto"/>
        <w:ind w:firstLine="640" w:firstLineChars="200"/>
        <w:rPr>
          <w:rFonts w:ascii="仿宋" w:hAnsi="仿宋" w:eastAsia="仿宋" w:cs="宋体"/>
          <w:kern w:val="0"/>
          <w:sz w:val="32"/>
          <w:szCs w:val="32"/>
        </w:rPr>
      </w:pPr>
      <w:r>
        <w:rPr>
          <w:rFonts w:hint="eastAsia" w:ascii="仿宋" w:hAnsi="仿宋" w:eastAsia="仿宋" w:cs="宋体"/>
          <w:kern w:val="0"/>
          <w:sz w:val="32"/>
          <w:szCs w:val="32"/>
        </w:rPr>
        <w:t>7月</w:t>
      </w:r>
      <w:r>
        <w:rPr>
          <w:rFonts w:ascii="仿宋" w:hAnsi="仿宋" w:eastAsia="仿宋" w:cs="宋体"/>
          <w:kern w:val="0"/>
          <w:sz w:val="32"/>
          <w:szCs w:val="32"/>
        </w:rPr>
        <w:t>3</w:t>
      </w:r>
      <w:r>
        <w:rPr>
          <w:rFonts w:hint="eastAsia" w:ascii="仿宋" w:hAnsi="仿宋" w:eastAsia="仿宋" w:cs="宋体"/>
          <w:kern w:val="0"/>
          <w:sz w:val="32"/>
          <w:szCs w:val="32"/>
        </w:rPr>
        <w:t>日12:00-7月</w:t>
      </w:r>
      <w:r>
        <w:rPr>
          <w:rFonts w:ascii="仿宋" w:hAnsi="仿宋" w:eastAsia="仿宋" w:cs="宋体"/>
          <w:kern w:val="0"/>
          <w:sz w:val="32"/>
          <w:szCs w:val="32"/>
        </w:rPr>
        <w:t>6</w:t>
      </w:r>
      <w:r>
        <w:rPr>
          <w:rFonts w:hint="eastAsia" w:ascii="仿宋" w:hAnsi="仿宋" w:eastAsia="仿宋" w:cs="宋体"/>
          <w:kern w:val="0"/>
          <w:sz w:val="32"/>
          <w:szCs w:val="32"/>
        </w:rPr>
        <w:t>日17:00（每晚19:00-21:00为系统维护时间，期间不能选课）。</w:t>
      </w:r>
    </w:p>
    <w:p>
      <w:pPr>
        <w:widowControl/>
        <w:snapToGrid w:val="0"/>
        <w:spacing w:line="324" w:lineRule="auto"/>
        <w:ind w:firstLine="643" w:firstLineChars="200"/>
        <w:rPr>
          <w:rFonts w:ascii="宋体" w:hAnsi="宋体" w:eastAsia="宋体" w:cs="宋体"/>
          <w:b/>
          <w:bCs/>
          <w:kern w:val="0"/>
          <w:sz w:val="32"/>
          <w:szCs w:val="32"/>
        </w:rPr>
      </w:pPr>
      <w:r>
        <w:rPr>
          <w:rFonts w:hint="eastAsia" w:ascii="宋体" w:hAnsi="宋体" w:eastAsia="宋体" w:cs="宋体"/>
          <w:b/>
          <w:bCs/>
          <w:kern w:val="0"/>
          <w:sz w:val="32"/>
          <w:szCs w:val="32"/>
        </w:rPr>
        <w:t>二、选课范围</w:t>
      </w:r>
    </w:p>
    <w:p>
      <w:pPr>
        <w:snapToGrid w:val="0"/>
        <w:spacing w:line="324" w:lineRule="auto"/>
        <w:ind w:firstLine="640" w:firstLineChars="200"/>
        <w:rPr>
          <w:rFonts w:ascii="仿宋" w:hAnsi="仿宋" w:eastAsia="仿宋" w:cs="Arial"/>
          <w:sz w:val="32"/>
          <w:szCs w:val="32"/>
        </w:rPr>
      </w:pPr>
      <w:r>
        <w:rPr>
          <w:rFonts w:ascii="仿宋" w:hAnsi="仿宋" w:eastAsia="仿宋" w:cs="Arial"/>
          <w:sz w:val="32"/>
          <w:szCs w:val="32"/>
        </w:rPr>
        <w:t>1</w:t>
      </w:r>
      <w:r>
        <w:rPr>
          <w:rFonts w:hint="eastAsia" w:ascii="仿宋" w:hAnsi="仿宋" w:eastAsia="仿宋" w:cs="Arial"/>
          <w:sz w:val="32"/>
          <w:szCs w:val="32"/>
        </w:rPr>
        <w:t>.</w:t>
      </w:r>
      <w:r>
        <w:rPr>
          <w:rFonts w:ascii="仿宋" w:hAnsi="仿宋" w:eastAsia="仿宋" w:cs="Arial"/>
          <w:sz w:val="32"/>
          <w:szCs w:val="32"/>
        </w:rPr>
        <w:t>必修课</w:t>
      </w:r>
    </w:p>
    <w:p>
      <w:pPr>
        <w:snapToGrid w:val="0"/>
        <w:spacing w:line="324" w:lineRule="auto"/>
        <w:ind w:firstLine="420"/>
        <w:rPr>
          <w:rFonts w:ascii="仿宋" w:hAnsi="仿宋" w:eastAsia="仿宋" w:cs="Arial"/>
          <w:sz w:val="32"/>
          <w:szCs w:val="32"/>
        </w:rPr>
      </w:pPr>
      <w:r>
        <w:rPr>
          <w:rFonts w:hint="eastAsia" w:ascii="仿宋" w:hAnsi="仿宋" w:eastAsia="仿宋" w:cs="Arial"/>
          <w:sz w:val="32"/>
          <w:szCs w:val="32"/>
        </w:rPr>
        <w:t>为方便学生，减少误操作，大部分必修课已由教务处统一预置。学生需进入教务系统个人选课页面，核对预置必修课是否正确，如有问题及时向学院教学秘书或教务处反馈。</w:t>
      </w:r>
      <w:r>
        <w:rPr>
          <w:rFonts w:ascii="仿宋" w:hAnsi="仿宋" w:eastAsia="仿宋" w:cs="Arial"/>
          <w:sz w:val="32"/>
          <w:szCs w:val="32"/>
        </w:rPr>
        <w:t xml:space="preserve"> </w:t>
      </w:r>
      <w:r>
        <w:rPr>
          <w:rFonts w:hint="eastAsia" w:ascii="仿宋" w:hAnsi="仿宋" w:eastAsia="仿宋" w:cs="Arial"/>
          <w:sz w:val="32"/>
          <w:szCs w:val="32"/>
        </w:rPr>
        <w:t>原则上不允许删除系统预置必修课，如需删改（如学籍异动学生等），请填写《学籍异动课程变更表》，由教务处手工处理。</w:t>
      </w:r>
    </w:p>
    <w:p>
      <w:pPr>
        <w:snapToGrid w:val="0"/>
        <w:spacing w:line="324" w:lineRule="auto"/>
        <w:ind w:firstLine="420"/>
        <w:rPr>
          <w:rFonts w:ascii="仿宋" w:hAnsi="仿宋" w:eastAsia="仿宋" w:cs="Arial"/>
          <w:sz w:val="32"/>
          <w:szCs w:val="32"/>
        </w:rPr>
      </w:pPr>
      <w:r>
        <w:rPr>
          <w:rFonts w:hint="eastAsia" w:ascii="仿宋" w:hAnsi="仿宋" w:eastAsia="仿宋" w:cs="Arial"/>
          <w:sz w:val="32"/>
          <w:szCs w:val="32"/>
        </w:rPr>
        <w:t>《体育</w:t>
      </w:r>
      <w:r>
        <w:rPr>
          <w:rFonts w:ascii="微软雅黑" w:hAnsi="微软雅黑" w:eastAsia="微软雅黑" w:cs="微软雅黑"/>
          <w:color w:val="333333"/>
          <w:sz w:val="27"/>
          <w:szCs w:val="27"/>
        </w:rPr>
        <w:t>Ⅲ</w:t>
      </w:r>
      <w:r>
        <w:rPr>
          <w:rFonts w:hint="eastAsia" w:ascii="仿宋" w:hAnsi="仿宋" w:eastAsia="仿宋" w:cs="Arial"/>
          <w:sz w:val="32"/>
          <w:szCs w:val="32"/>
        </w:rPr>
        <w:t>》</w:t>
      </w:r>
      <w:r>
        <w:rPr>
          <w:rFonts w:ascii="仿宋" w:hAnsi="仿宋" w:eastAsia="仿宋" w:cs="Arial"/>
          <w:sz w:val="32"/>
          <w:szCs w:val="32"/>
        </w:rPr>
        <w:t>《</w:t>
      </w:r>
      <w:r>
        <w:rPr>
          <w:rFonts w:hint="eastAsia" w:ascii="仿宋" w:hAnsi="仿宋" w:eastAsia="仿宋" w:cs="Arial"/>
          <w:sz w:val="32"/>
          <w:szCs w:val="32"/>
        </w:rPr>
        <w:t>大学英语</w:t>
      </w:r>
      <w:r>
        <w:rPr>
          <w:rFonts w:ascii="微软雅黑" w:hAnsi="微软雅黑" w:eastAsia="微软雅黑" w:cs="微软雅黑"/>
          <w:color w:val="333333"/>
          <w:sz w:val="27"/>
          <w:szCs w:val="27"/>
        </w:rPr>
        <w:t>Ⅲ</w:t>
      </w:r>
      <w:r>
        <w:rPr>
          <w:rFonts w:ascii="仿宋" w:hAnsi="仿宋" w:eastAsia="仿宋" w:cs="Arial"/>
          <w:sz w:val="32"/>
          <w:szCs w:val="32"/>
        </w:rPr>
        <w:t>》</w:t>
      </w:r>
      <w:r>
        <w:rPr>
          <w:rFonts w:hint="eastAsia" w:ascii="仿宋" w:hAnsi="仿宋" w:eastAsia="仿宋" w:cs="Arial"/>
          <w:sz w:val="32"/>
          <w:szCs w:val="32"/>
        </w:rPr>
        <w:t>（包括“拓展</w:t>
      </w:r>
      <w:r>
        <w:rPr>
          <w:rFonts w:ascii="仿宋" w:hAnsi="仿宋" w:eastAsia="仿宋" w:cs="Arial"/>
          <w:sz w:val="32"/>
          <w:szCs w:val="32"/>
        </w:rPr>
        <w:t>英语</w:t>
      </w:r>
      <w:r>
        <w:rPr>
          <w:rFonts w:hint="eastAsia" w:ascii="仿宋" w:hAnsi="仿宋" w:eastAsia="仿宋" w:cs="Arial"/>
          <w:sz w:val="32"/>
          <w:szCs w:val="32"/>
        </w:rPr>
        <w:t>”）在</w:t>
      </w:r>
      <w:r>
        <w:rPr>
          <w:rFonts w:ascii="仿宋" w:hAnsi="仿宋" w:eastAsia="仿宋" w:cs="Arial"/>
          <w:sz w:val="32"/>
          <w:szCs w:val="32"/>
        </w:rPr>
        <w:t>下学期开学进行选课</w:t>
      </w:r>
      <w:r>
        <w:rPr>
          <w:rFonts w:hint="eastAsia" w:ascii="仿宋" w:hAnsi="仿宋" w:eastAsia="仿宋" w:cs="Arial"/>
          <w:sz w:val="32"/>
          <w:szCs w:val="32"/>
        </w:rPr>
        <w:t>，</w:t>
      </w:r>
      <w:r>
        <w:rPr>
          <w:rFonts w:ascii="仿宋" w:hAnsi="仿宋" w:eastAsia="仿宋" w:cs="Arial"/>
          <w:sz w:val="32"/>
          <w:szCs w:val="32"/>
        </w:rPr>
        <w:t>具体时间另行通知。</w:t>
      </w:r>
    </w:p>
    <w:p>
      <w:pPr>
        <w:snapToGrid w:val="0"/>
        <w:spacing w:line="324" w:lineRule="auto"/>
        <w:ind w:left="420"/>
        <w:rPr>
          <w:rFonts w:ascii="仿宋" w:hAnsi="仿宋" w:eastAsia="仿宋" w:cs="Arial"/>
          <w:sz w:val="32"/>
          <w:szCs w:val="32"/>
        </w:rPr>
      </w:pPr>
      <w:r>
        <w:rPr>
          <w:rFonts w:hint="eastAsia" w:ascii="仿宋_GB2312" w:hAnsi="宋体" w:eastAsia="仿宋_GB2312" w:cs="宋体"/>
          <w:kern w:val="0"/>
          <w:sz w:val="32"/>
          <w:szCs w:val="32"/>
        </w:rPr>
        <w:t>2.</w:t>
      </w:r>
      <w:r>
        <w:rPr>
          <w:rFonts w:hint="eastAsia" w:ascii="仿宋" w:hAnsi="仿宋" w:eastAsia="仿宋" w:cs="Arial"/>
          <w:sz w:val="32"/>
          <w:szCs w:val="32"/>
        </w:rPr>
        <w:t>专业提升</w:t>
      </w:r>
      <w:r>
        <w:rPr>
          <w:rFonts w:ascii="仿宋" w:hAnsi="仿宋" w:eastAsia="仿宋" w:cs="Arial"/>
          <w:sz w:val="32"/>
          <w:szCs w:val="32"/>
        </w:rPr>
        <w:t>课</w:t>
      </w:r>
      <w:r>
        <w:rPr>
          <w:rFonts w:hint="eastAsia" w:ascii="仿宋" w:hAnsi="仿宋" w:eastAsia="仿宋" w:cs="Arial"/>
          <w:sz w:val="32"/>
          <w:szCs w:val="32"/>
        </w:rPr>
        <w:t>（专业选修课）</w:t>
      </w:r>
    </w:p>
    <w:p>
      <w:pPr>
        <w:autoSpaceDE w:val="0"/>
        <w:snapToGrid w:val="0"/>
        <w:spacing w:line="324" w:lineRule="auto"/>
        <w:ind w:firstLine="640" w:firstLineChars="200"/>
        <w:rPr>
          <w:rFonts w:ascii="仿宋" w:hAnsi="仿宋" w:eastAsia="仿宋" w:cs="Arial"/>
          <w:sz w:val="32"/>
          <w:szCs w:val="32"/>
        </w:rPr>
      </w:pPr>
      <w:r>
        <w:rPr>
          <w:rFonts w:hint="eastAsia" w:ascii="仿宋" w:hAnsi="仿宋" w:eastAsia="仿宋" w:cs="Arial"/>
          <w:sz w:val="32"/>
          <w:szCs w:val="32"/>
        </w:rPr>
        <w:t>根据专业</w:t>
      </w:r>
      <w:r>
        <w:rPr>
          <w:rFonts w:ascii="仿宋" w:hAnsi="仿宋" w:eastAsia="仿宋" w:cs="Arial"/>
          <w:sz w:val="32"/>
          <w:szCs w:val="32"/>
        </w:rPr>
        <w:t>培养方案完成情况</w:t>
      </w:r>
      <w:r>
        <w:rPr>
          <w:rFonts w:hint="eastAsia" w:ascii="仿宋" w:hAnsi="仿宋" w:eastAsia="仿宋" w:cs="Arial"/>
          <w:sz w:val="32"/>
          <w:szCs w:val="32"/>
        </w:rPr>
        <w:t>，请同学们及时</w:t>
      </w:r>
      <w:r>
        <w:rPr>
          <w:rFonts w:ascii="仿宋" w:hAnsi="仿宋" w:eastAsia="仿宋" w:cs="Arial"/>
          <w:sz w:val="32"/>
          <w:szCs w:val="32"/>
        </w:rPr>
        <w:t>选修</w:t>
      </w:r>
      <w:r>
        <w:rPr>
          <w:rFonts w:hint="eastAsia" w:ascii="仿宋" w:hAnsi="仿宋" w:eastAsia="仿宋" w:cs="Arial"/>
          <w:sz w:val="32"/>
          <w:szCs w:val="32"/>
        </w:rPr>
        <w:t>尚需修读的</w:t>
      </w:r>
      <w:r>
        <w:rPr>
          <w:rFonts w:ascii="仿宋" w:hAnsi="仿宋" w:eastAsia="仿宋" w:cs="Arial"/>
          <w:sz w:val="32"/>
          <w:szCs w:val="32"/>
        </w:rPr>
        <w:t>专业提升课，以免影响学业。</w:t>
      </w:r>
      <w:r>
        <w:rPr>
          <w:rFonts w:hint="eastAsia" w:ascii="仿宋" w:hAnsi="仿宋" w:eastAsia="仿宋" w:cs="Arial"/>
          <w:sz w:val="32"/>
          <w:szCs w:val="32"/>
        </w:rPr>
        <w:t>专业</w:t>
      </w:r>
      <w:r>
        <w:rPr>
          <w:rFonts w:ascii="仿宋" w:hAnsi="仿宋" w:eastAsia="仿宋" w:cs="Arial"/>
          <w:sz w:val="32"/>
          <w:szCs w:val="32"/>
        </w:rPr>
        <w:t>选修课</w:t>
      </w:r>
      <w:r>
        <w:rPr>
          <w:rFonts w:hint="eastAsia" w:ascii="仿宋" w:hAnsi="仿宋" w:eastAsia="仿宋" w:cs="Arial"/>
          <w:sz w:val="32"/>
          <w:szCs w:val="32"/>
        </w:rPr>
        <w:t>授课对象</w:t>
      </w:r>
      <w:r>
        <w:rPr>
          <w:rFonts w:ascii="仿宋" w:hAnsi="仿宋" w:eastAsia="仿宋" w:cs="Arial"/>
          <w:sz w:val="32"/>
          <w:szCs w:val="32"/>
        </w:rPr>
        <w:t>都有面向班级</w:t>
      </w:r>
      <w:r>
        <w:rPr>
          <w:rFonts w:hint="eastAsia" w:ascii="仿宋" w:hAnsi="仿宋" w:eastAsia="仿宋" w:cs="Arial"/>
          <w:sz w:val="32"/>
          <w:szCs w:val="32"/>
        </w:rPr>
        <w:t>限定</w:t>
      </w:r>
      <w:r>
        <w:rPr>
          <w:rFonts w:ascii="仿宋" w:hAnsi="仿宋" w:eastAsia="仿宋" w:cs="Arial"/>
          <w:sz w:val="32"/>
          <w:szCs w:val="32"/>
        </w:rPr>
        <w:t>，</w:t>
      </w:r>
      <w:r>
        <w:rPr>
          <w:rFonts w:hint="eastAsia" w:ascii="仿宋" w:hAnsi="仿宋" w:eastAsia="仿宋" w:cs="Arial"/>
          <w:sz w:val="32"/>
          <w:szCs w:val="32"/>
        </w:rPr>
        <w:t>按</w:t>
      </w:r>
      <w:r>
        <w:rPr>
          <w:rFonts w:ascii="仿宋" w:hAnsi="仿宋" w:eastAsia="仿宋" w:cs="Arial"/>
          <w:sz w:val="32"/>
          <w:szCs w:val="32"/>
        </w:rPr>
        <w:t>培养方案每个学生</w:t>
      </w:r>
      <w:r>
        <w:rPr>
          <w:rFonts w:hint="eastAsia" w:ascii="仿宋" w:hAnsi="仿宋" w:eastAsia="仿宋" w:cs="Arial"/>
          <w:sz w:val="32"/>
          <w:szCs w:val="32"/>
        </w:rPr>
        <w:t>都能</w:t>
      </w:r>
      <w:r>
        <w:rPr>
          <w:rFonts w:ascii="仿宋" w:hAnsi="仿宋" w:eastAsia="仿宋" w:cs="Arial"/>
          <w:sz w:val="32"/>
          <w:szCs w:val="32"/>
        </w:rPr>
        <w:t>选上所需课程。</w:t>
      </w:r>
    </w:p>
    <w:p>
      <w:pPr>
        <w:snapToGrid w:val="0"/>
        <w:spacing w:line="324" w:lineRule="auto"/>
        <w:ind w:left="420"/>
        <w:rPr>
          <w:rFonts w:ascii="仿宋_GB2312" w:hAnsi="宋体" w:eastAsia="仿宋_GB2312" w:cs="宋体"/>
          <w:kern w:val="0"/>
          <w:sz w:val="32"/>
          <w:szCs w:val="32"/>
        </w:rPr>
      </w:pPr>
      <w:r>
        <w:rPr>
          <w:rFonts w:ascii="仿宋_GB2312" w:hAnsi="宋体" w:eastAsia="仿宋_GB2312" w:cs="宋体"/>
          <w:kern w:val="0"/>
          <w:sz w:val="32"/>
          <w:szCs w:val="32"/>
        </w:rPr>
        <w:t>3</w:t>
      </w:r>
      <w:r>
        <w:rPr>
          <w:rFonts w:hint="eastAsia" w:ascii="仿宋_GB2312" w:hAnsi="宋体" w:eastAsia="仿宋_GB2312" w:cs="宋体"/>
          <w:kern w:val="0"/>
          <w:sz w:val="32"/>
          <w:szCs w:val="32"/>
        </w:rPr>
        <w:t>.跨专业</w:t>
      </w:r>
      <w:r>
        <w:rPr>
          <w:rFonts w:ascii="仿宋_GB2312" w:hAnsi="宋体" w:eastAsia="仿宋_GB2312" w:cs="宋体"/>
          <w:kern w:val="0"/>
          <w:sz w:val="32"/>
          <w:szCs w:val="32"/>
        </w:rPr>
        <w:t>选修课</w:t>
      </w:r>
    </w:p>
    <w:p>
      <w:pPr>
        <w:autoSpaceDE w:val="0"/>
        <w:snapToGrid w:val="0"/>
        <w:spacing w:line="324" w:lineRule="auto"/>
        <w:ind w:firstLine="640" w:firstLineChars="200"/>
        <w:rPr>
          <w:rFonts w:ascii="仿宋" w:hAnsi="仿宋" w:eastAsia="仿宋" w:cs="Arial"/>
          <w:sz w:val="28"/>
          <w:szCs w:val="28"/>
        </w:rPr>
      </w:pPr>
      <w:r>
        <w:rPr>
          <w:rFonts w:hint="eastAsia" w:ascii="仿宋" w:hAnsi="仿宋" w:eastAsia="仿宋" w:cs="Arial"/>
          <w:sz w:val="32"/>
          <w:szCs w:val="32"/>
        </w:rPr>
        <w:t>跨专业选修课选课不在</w:t>
      </w:r>
      <w:r>
        <w:rPr>
          <w:rFonts w:ascii="仿宋" w:hAnsi="仿宋" w:eastAsia="仿宋" w:cs="Arial"/>
          <w:sz w:val="32"/>
          <w:szCs w:val="32"/>
        </w:rPr>
        <w:t>本次选课阶段进行，具体选课时间</w:t>
      </w:r>
      <w:r>
        <w:rPr>
          <w:rFonts w:hint="eastAsia" w:ascii="仿宋" w:hAnsi="仿宋" w:eastAsia="仿宋" w:cs="Arial"/>
          <w:sz w:val="32"/>
          <w:szCs w:val="32"/>
        </w:rPr>
        <w:t>另行通知</w:t>
      </w:r>
      <w:r>
        <w:rPr>
          <w:rFonts w:ascii="仿宋" w:hAnsi="仿宋" w:eastAsia="仿宋" w:cs="Arial"/>
          <w:sz w:val="32"/>
          <w:szCs w:val="32"/>
        </w:rPr>
        <w:t>。</w:t>
      </w:r>
    </w:p>
    <w:p>
      <w:pPr>
        <w:snapToGrid w:val="0"/>
        <w:spacing w:line="324" w:lineRule="auto"/>
        <w:ind w:firstLine="640" w:firstLineChars="200"/>
        <w:rPr>
          <w:rFonts w:ascii="仿宋" w:hAnsi="仿宋" w:eastAsia="仿宋" w:cs="Arial"/>
          <w:sz w:val="32"/>
          <w:szCs w:val="32"/>
        </w:rPr>
      </w:pPr>
      <w:r>
        <w:rPr>
          <w:rFonts w:ascii="仿宋" w:hAnsi="仿宋" w:eastAsia="仿宋" w:cs="Arial"/>
          <w:sz w:val="32"/>
          <w:szCs w:val="32"/>
        </w:rPr>
        <w:t>4</w:t>
      </w:r>
      <w:r>
        <w:rPr>
          <w:rFonts w:hint="eastAsia" w:ascii="仿宋" w:hAnsi="仿宋" w:eastAsia="仿宋" w:cs="Arial"/>
          <w:sz w:val="32"/>
          <w:szCs w:val="32"/>
        </w:rPr>
        <w:t xml:space="preserve">.通识选修课 (通识通选课) </w:t>
      </w:r>
    </w:p>
    <w:p>
      <w:pPr>
        <w:snapToGrid w:val="0"/>
        <w:spacing w:line="324" w:lineRule="auto"/>
        <w:ind w:firstLine="420"/>
        <w:rPr>
          <w:rFonts w:ascii="仿宋" w:hAnsi="仿宋" w:eastAsia="仿宋" w:cs="Arial"/>
          <w:sz w:val="32"/>
          <w:szCs w:val="32"/>
        </w:rPr>
      </w:pPr>
      <w:r>
        <w:rPr>
          <w:rFonts w:hint="eastAsia" w:ascii="仿宋" w:hAnsi="仿宋" w:eastAsia="仿宋" w:cs="Arial"/>
          <w:sz w:val="32"/>
          <w:szCs w:val="32"/>
        </w:rPr>
        <w:t>（</w:t>
      </w:r>
      <w:r>
        <w:rPr>
          <w:rFonts w:ascii="仿宋" w:hAnsi="仿宋" w:eastAsia="仿宋" w:cs="Arial"/>
          <w:sz w:val="32"/>
          <w:szCs w:val="32"/>
        </w:rPr>
        <w:t>1</w:t>
      </w:r>
      <w:r>
        <w:rPr>
          <w:rFonts w:hint="eastAsia" w:ascii="仿宋" w:hAnsi="仿宋" w:eastAsia="仿宋" w:cs="Arial"/>
          <w:sz w:val="32"/>
          <w:szCs w:val="32"/>
        </w:rPr>
        <w:t>）本学期共开设通识选修课</w:t>
      </w:r>
      <w:r>
        <w:rPr>
          <w:rFonts w:ascii="仿宋" w:hAnsi="仿宋" w:eastAsia="仿宋" w:cs="Arial"/>
          <w:sz w:val="32"/>
          <w:szCs w:val="32"/>
        </w:rPr>
        <w:t>163</w:t>
      </w:r>
      <w:r>
        <w:rPr>
          <w:rFonts w:hint="eastAsia" w:ascii="仿宋" w:hAnsi="仿宋" w:eastAsia="仿宋" w:cs="Arial"/>
          <w:sz w:val="32"/>
          <w:szCs w:val="32"/>
        </w:rPr>
        <w:t>门，其中校内公选课程</w:t>
      </w:r>
      <w:r>
        <w:rPr>
          <w:rFonts w:ascii="仿宋" w:hAnsi="仿宋" w:eastAsia="仿宋" w:cs="Arial"/>
          <w:sz w:val="32"/>
          <w:szCs w:val="32"/>
        </w:rPr>
        <w:t>106</w:t>
      </w:r>
      <w:r>
        <w:rPr>
          <w:rFonts w:hint="eastAsia" w:ascii="仿宋" w:hAnsi="仿宋" w:eastAsia="仿宋" w:cs="Arial"/>
          <w:sz w:val="32"/>
          <w:szCs w:val="32"/>
        </w:rPr>
        <w:t>门，详见附件</w:t>
      </w:r>
      <w:r>
        <w:rPr>
          <w:rFonts w:ascii="仿宋" w:hAnsi="仿宋" w:eastAsia="仿宋" w:cs="Arial"/>
          <w:sz w:val="32"/>
          <w:szCs w:val="32"/>
        </w:rPr>
        <w:t>1《</w:t>
      </w:r>
      <w:r>
        <w:rPr>
          <w:rFonts w:hint="eastAsia" w:ascii="仿宋" w:hAnsi="仿宋" w:eastAsia="仿宋" w:cs="Arial"/>
          <w:sz w:val="32"/>
          <w:szCs w:val="32"/>
        </w:rPr>
        <w:t>河海大学</w:t>
      </w:r>
      <w:r>
        <w:rPr>
          <w:rFonts w:ascii="仿宋" w:hAnsi="仿宋" w:eastAsia="仿宋" w:cs="Arial"/>
          <w:sz w:val="32"/>
          <w:szCs w:val="32"/>
        </w:rPr>
        <w:t>校内普通公选课开课目录</w:t>
      </w:r>
      <w:r>
        <w:rPr>
          <w:rFonts w:hint="eastAsia" w:ascii="仿宋" w:hAnsi="仿宋" w:eastAsia="仿宋" w:cs="Arial"/>
          <w:sz w:val="32"/>
          <w:szCs w:val="32"/>
        </w:rPr>
        <w:t>》；网络视频课程</w:t>
      </w:r>
      <w:r>
        <w:rPr>
          <w:rFonts w:ascii="仿宋" w:hAnsi="仿宋" w:eastAsia="仿宋" w:cs="Arial"/>
          <w:sz w:val="32"/>
          <w:szCs w:val="32"/>
        </w:rPr>
        <w:t>57</w:t>
      </w:r>
      <w:r>
        <w:rPr>
          <w:rFonts w:hint="eastAsia" w:ascii="仿宋" w:hAnsi="仿宋" w:eastAsia="仿宋" w:cs="Arial"/>
          <w:sz w:val="32"/>
          <w:szCs w:val="32"/>
        </w:rPr>
        <w:t>门，详见附件</w:t>
      </w:r>
      <w:r>
        <w:rPr>
          <w:rFonts w:ascii="仿宋" w:hAnsi="仿宋" w:eastAsia="仿宋" w:cs="Arial"/>
          <w:sz w:val="32"/>
          <w:szCs w:val="32"/>
        </w:rPr>
        <w:t>2</w:t>
      </w:r>
      <w:r>
        <w:rPr>
          <w:rFonts w:hint="eastAsia" w:ascii="仿宋" w:hAnsi="仿宋" w:eastAsia="仿宋" w:cs="Arial"/>
          <w:sz w:val="32"/>
          <w:szCs w:val="32"/>
        </w:rPr>
        <w:t>《河海大学网络</w:t>
      </w:r>
      <w:r>
        <w:rPr>
          <w:rFonts w:ascii="仿宋" w:hAnsi="仿宋" w:eastAsia="仿宋" w:cs="Arial"/>
          <w:sz w:val="32"/>
          <w:szCs w:val="32"/>
        </w:rPr>
        <w:t>视频课开课目录</w:t>
      </w:r>
      <w:r>
        <w:rPr>
          <w:rFonts w:hint="eastAsia" w:ascii="仿宋" w:hAnsi="仿宋" w:eastAsia="仿宋" w:cs="Arial"/>
          <w:sz w:val="32"/>
          <w:szCs w:val="32"/>
        </w:rPr>
        <w:t>》。通识选修课由学生根据培养方案学分要求及个人兴趣在教务系统</w:t>
      </w:r>
      <w:r>
        <w:rPr>
          <w:rFonts w:ascii="仿宋" w:hAnsi="仿宋" w:eastAsia="仿宋" w:cs="Arial"/>
          <w:sz w:val="32"/>
          <w:szCs w:val="32"/>
        </w:rPr>
        <w:t>选课</w:t>
      </w:r>
      <w:r>
        <w:rPr>
          <w:rFonts w:hint="eastAsia" w:ascii="仿宋" w:hAnsi="仿宋" w:eastAsia="仿宋" w:cs="Arial"/>
          <w:sz w:val="32"/>
          <w:szCs w:val="32"/>
        </w:rPr>
        <w:t>，每个学生原则上最多只可选</w:t>
      </w:r>
      <w:r>
        <w:rPr>
          <w:rFonts w:hint="eastAsia" w:ascii="仿宋" w:hAnsi="仿宋" w:eastAsia="仿宋" w:cs="Arial"/>
          <w:b/>
          <w:bCs/>
          <w:sz w:val="32"/>
          <w:szCs w:val="32"/>
        </w:rPr>
        <w:t>一门</w:t>
      </w:r>
      <w:r>
        <w:rPr>
          <w:rFonts w:hint="eastAsia" w:ascii="仿宋" w:hAnsi="仿宋" w:eastAsia="仿宋" w:cs="Arial"/>
          <w:sz w:val="32"/>
          <w:szCs w:val="32"/>
        </w:rPr>
        <w:t>网络</w:t>
      </w:r>
      <w:r>
        <w:rPr>
          <w:rFonts w:ascii="仿宋" w:hAnsi="仿宋" w:eastAsia="仿宋" w:cs="Arial"/>
          <w:sz w:val="32"/>
          <w:szCs w:val="32"/>
        </w:rPr>
        <w:t>视频课</w:t>
      </w:r>
      <w:r>
        <w:rPr>
          <w:rFonts w:hint="eastAsia" w:ascii="仿宋" w:hAnsi="仿宋" w:eastAsia="仿宋" w:cs="Arial"/>
          <w:sz w:val="32"/>
          <w:szCs w:val="32"/>
        </w:rPr>
        <w:t>。选课结束后，教务处将对通识</w:t>
      </w:r>
      <w:r>
        <w:rPr>
          <w:rFonts w:ascii="仿宋" w:hAnsi="仿宋" w:eastAsia="仿宋" w:cs="Arial"/>
          <w:sz w:val="32"/>
          <w:szCs w:val="32"/>
        </w:rPr>
        <w:t>课</w:t>
      </w:r>
      <w:r>
        <w:rPr>
          <w:rFonts w:hint="eastAsia" w:ascii="仿宋" w:hAnsi="仿宋" w:eastAsia="仿宋" w:cs="Arial"/>
          <w:sz w:val="32"/>
          <w:szCs w:val="32"/>
        </w:rPr>
        <w:t>选课结果进行抽签数据处理，未选上课的学生可在下学期初补退选阶段选择仍有课余量的通识课程。</w:t>
      </w:r>
    </w:p>
    <w:p>
      <w:pPr>
        <w:snapToGrid w:val="0"/>
        <w:spacing w:line="324" w:lineRule="auto"/>
        <w:ind w:firstLine="420"/>
        <w:rPr>
          <w:rFonts w:ascii="仿宋" w:hAnsi="仿宋" w:eastAsia="仿宋" w:cs="Arial"/>
          <w:sz w:val="32"/>
          <w:szCs w:val="32"/>
        </w:rPr>
      </w:pPr>
      <w:r>
        <w:rPr>
          <w:rFonts w:hint="eastAsia" w:ascii="仿宋" w:hAnsi="仿宋" w:eastAsia="仿宋" w:cs="Arial"/>
          <w:sz w:val="32"/>
          <w:szCs w:val="32"/>
        </w:rPr>
        <w:t>（</w:t>
      </w:r>
      <w:r>
        <w:rPr>
          <w:rFonts w:ascii="仿宋" w:hAnsi="仿宋" w:eastAsia="仿宋" w:cs="Arial"/>
          <w:sz w:val="32"/>
          <w:szCs w:val="32"/>
        </w:rPr>
        <w:t>2</w:t>
      </w:r>
      <w:r>
        <w:rPr>
          <w:rFonts w:hint="eastAsia" w:ascii="仿宋" w:hAnsi="仿宋" w:eastAsia="仿宋" w:cs="Arial"/>
          <w:sz w:val="32"/>
          <w:szCs w:val="32"/>
        </w:rPr>
        <w:t>）校内</w:t>
      </w:r>
      <w:r>
        <w:rPr>
          <w:rFonts w:ascii="仿宋" w:hAnsi="仿宋" w:eastAsia="仿宋" w:cs="Arial"/>
          <w:sz w:val="32"/>
          <w:szCs w:val="32"/>
        </w:rPr>
        <w:t>公选课</w:t>
      </w:r>
      <w:r>
        <w:rPr>
          <w:rFonts w:hint="eastAsia" w:ascii="仿宋" w:hAnsi="仿宋" w:eastAsia="仿宋" w:cs="Arial"/>
          <w:sz w:val="32"/>
          <w:szCs w:val="32"/>
        </w:rPr>
        <w:t>上课时间</w:t>
      </w:r>
      <w:r>
        <w:rPr>
          <w:rFonts w:ascii="仿宋" w:hAnsi="仿宋" w:eastAsia="仿宋" w:cs="Arial"/>
          <w:sz w:val="32"/>
          <w:szCs w:val="32"/>
        </w:rPr>
        <w:t>一般在</w:t>
      </w:r>
      <w:r>
        <w:rPr>
          <w:rFonts w:hint="eastAsia" w:ascii="仿宋" w:hAnsi="仿宋" w:eastAsia="仿宋" w:cs="Arial"/>
          <w:sz w:val="32"/>
          <w:szCs w:val="32"/>
        </w:rPr>
        <w:t>周一至周四晚上第五大节（</w:t>
      </w:r>
      <w:r>
        <w:rPr>
          <w:rFonts w:ascii="仿宋" w:hAnsi="仿宋" w:eastAsia="仿宋" w:cs="Arial"/>
          <w:sz w:val="32"/>
          <w:szCs w:val="32"/>
        </w:rPr>
        <w:t>10-12</w:t>
      </w:r>
      <w:r>
        <w:rPr>
          <w:rFonts w:hint="eastAsia" w:ascii="仿宋" w:hAnsi="仿宋" w:eastAsia="仿宋" w:cs="Arial"/>
          <w:sz w:val="32"/>
          <w:szCs w:val="32"/>
        </w:rPr>
        <w:t>小节）或周五第三、四大节（</w:t>
      </w:r>
      <w:r>
        <w:rPr>
          <w:rFonts w:ascii="仿宋" w:hAnsi="仿宋" w:eastAsia="仿宋" w:cs="Arial"/>
          <w:sz w:val="32"/>
          <w:szCs w:val="32"/>
        </w:rPr>
        <w:t>6-9小节）</w:t>
      </w:r>
      <w:r>
        <w:rPr>
          <w:rFonts w:hint="eastAsia" w:ascii="仿宋" w:hAnsi="仿宋" w:eastAsia="仿宋" w:cs="Arial"/>
          <w:sz w:val="32"/>
          <w:szCs w:val="32"/>
        </w:rPr>
        <w:t>。</w:t>
      </w:r>
    </w:p>
    <w:p>
      <w:pPr>
        <w:snapToGrid w:val="0"/>
        <w:spacing w:line="324" w:lineRule="auto"/>
        <w:ind w:firstLine="420"/>
        <w:rPr>
          <w:rFonts w:ascii="仿宋" w:hAnsi="仿宋" w:eastAsia="仿宋" w:cs="Arial"/>
          <w:sz w:val="32"/>
          <w:szCs w:val="32"/>
        </w:rPr>
      </w:pPr>
      <w:r>
        <w:rPr>
          <w:rFonts w:hint="eastAsia" w:ascii="仿宋" w:hAnsi="仿宋" w:eastAsia="仿宋" w:cs="Arial"/>
          <w:sz w:val="32"/>
          <w:szCs w:val="32"/>
        </w:rPr>
        <w:t>（</w:t>
      </w:r>
      <w:r>
        <w:rPr>
          <w:rFonts w:ascii="仿宋" w:hAnsi="仿宋" w:eastAsia="仿宋" w:cs="Arial"/>
          <w:sz w:val="32"/>
          <w:szCs w:val="32"/>
        </w:rPr>
        <w:t>3</w:t>
      </w:r>
      <w:r>
        <w:rPr>
          <w:rFonts w:hint="eastAsia" w:ascii="仿宋" w:hAnsi="仿宋" w:eastAsia="仿宋" w:cs="Arial"/>
          <w:sz w:val="32"/>
          <w:szCs w:val="32"/>
        </w:rPr>
        <w:t>）网络视频</w:t>
      </w:r>
      <w:r>
        <w:rPr>
          <w:rFonts w:ascii="仿宋" w:hAnsi="仿宋" w:eastAsia="仿宋" w:cs="Arial"/>
          <w:sz w:val="32"/>
          <w:szCs w:val="32"/>
        </w:rPr>
        <w:t>课</w:t>
      </w:r>
      <w:r>
        <w:rPr>
          <w:rFonts w:hint="eastAsia" w:ascii="仿宋" w:hAnsi="仿宋" w:eastAsia="仿宋" w:cs="Arial"/>
          <w:sz w:val="32"/>
          <w:szCs w:val="32"/>
        </w:rPr>
        <w:t>，学生选课成功后，需在规定</w:t>
      </w:r>
      <w:r>
        <w:rPr>
          <w:rFonts w:ascii="仿宋" w:hAnsi="仿宋" w:eastAsia="仿宋" w:cs="Arial"/>
          <w:sz w:val="32"/>
          <w:szCs w:val="32"/>
        </w:rPr>
        <w:t>时间段内</w:t>
      </w:r>
      <w:r>
        <w:rPr>
          <w:rFonts w:hint="eastAsia" w:ascii="仿宋" w:hAnsi="仿宋" w:eastAsia="仿宋" w:cs="Arial"/>
          <w:sz w:val="32"/>
          <w:szCs w:val="32"/>
        </w:rPr>
        <w:t>完成视频内容的学习，然后</w:t>
      </w:r>
      <w:r>
        <w:rPr>
          <w:rFonts w:ascii="仿宋" w:hAnsi="仿宋" w:eastAsia="仿宋" w:cs="Arial"/>
          <w:sz w:val="32"/>
          <w:szCs w:val="32"/>
        </w:rPr>
        <w:t>统一参加学校组织的考试，成绩合格</w:t>
      </w:r>
      <w:r>
        <w:rPr>
          <w:rFonts w:hint="eastAsia" w:ascii="仿宋" w:hAnsi="仿宋" w:eastAsia="仿宋" w:cs="Arial"/>
          <w:sz w:val="32"/>
          <w:szCs w:val="32"/>
        </w:rPr>
        <w:t>即</w:t>
      </w:r>
      <w:r>
        <w:rPr>
          <w:rFonts w:ascii="仿宋" w:hAnsi="仿宋" w:eastAsia="仿宋" w:cs="Arial"/>
          <w:sz w:val="32"/>
          <w:szCs w:val="32"/>
        </w:rPr>
        <w:t>可获得相应学分，具体学习</w:t>
      </w:r>
      <w:r>
        <w:rPr>
          <w:rFonts w:hint="eastAsia" w:ascii="仿宋" w:hAnsi="仿宋" w:eastAsia="仿宋" w:cs="Arial"/>
          <w:sz w:val="32"/>
          <w:szCs w:val="32"/>
        </w:rPr>
        <w:t>方式</w:t>
      </w:r>
      <w:r>
        <w:rPr>
          <w:rFonts w:ascii="仿宋" w:hAnsi="仿宋" w:eastAsia="仿宋" w:cs="Arial"/>
          <w:sz w:val="32"/>
          <w:szCs w:val="32"/>
        </w:rPr>
        <w:t>和考试安排</w:t>
      </w:r>
      <w:r>
        <w:rPr>
          <w:rFonts w:hint="eastAsia" w:ascii="仿宋" w:hAnsi="仿宋" w:eastAsia="仿宋" w:cs="Arial"/>
          <w:sz w:val="32"/>
          <w:szCs w:val="32"/>
        </w:rPr>
        <w:t>由</w:t>
      </w:r>
      <w:r>
        <w:rPr>
          <w:rFonts w:ascii="仿宋" w:hAnsi="仿宋" w:eastAsia="仿宋" w:cs="Arial"/>
          <w:sz w:val="32"/>
          <w:szCs w:val="32"/>
        </w:rPr>
        <w:t>教务</w:t>
      </w:r>
      <w:r>
        <w:rPr>
          <w:rFonts w:hint="eastAsia" w:ascii="仿宋" w:hAnsi="仿宋" w:eastAsia="仿宋" w:cs="Arial"/>
          <w:sz w:val="32"/>
          <w:szCs w:val="32"/>
        </w:rPr>
        <w:t>科</w:t>
      </w:r>
      <w:r>
        <w:rPr>
          <w:rFonts w:ascii="仿宋" w:hAnsi="仿宋" w:eastAsia="仿宋" w:cs="Arial"/>
          <w:sz w:val="32"/>
          <w:szCs w:val="32"/>
        </w:rPr>
        <w:t>另行通知。</w:t>
      </w:r>
    </w:p>
    <w:p>
      <w:pPr>
        <w:snapToGrid w:val="0"/>
        <w:spacing w:line="324" w:lineRule="auto"/>
        <w:ind w:firstLine="422" w:firstLineChars="200"/>
        <w:rPr>
          <w:rFonts w:ascii="仿宋" w:hAnsi="仿宋" w:eastAsia="仿宋" w:cs="Arial"/>
          <w:b/>
          <w:color w:val="FF0000"/>
          <w:szCs w:val="21"/>
        </w:rPr>
      </w:pPr>
      <w:r>
        <w:rPr>
          <w:rFonts w:hint="eastAsia" w:ascii="仿宋" w:hAnsi="仿宋" w:eastAsia="仿宋" w:cs="Arial"/>
          <w:b/>
          <w:color w:val="FF0000"/>
          <w:szCs w:val="21"/>
        </w:rPr>
        <w:t>说明：学生需修满写作表达能力类、艺术审美能力类、身心健康能力类、自科素养能力类、社科素养能力类、创新创业能力类、跨文化交际能力类、生涯规划能力类八大类通识选修课学分，每类型至少修读1个学分。</w:t>
      </w:r>
    </w:p>
    <w:p>
      <w:pPr>
        <w:widowControl/>
        <w:snapToGrid w:val="0"/>
        <w:spacing w:line="324" w:lineRule="auto"/>
        <w:ind w:firstLine="643" w:firstLineChars="200"/>
        <w:rPr>
          <w:rFonts w:ascii="宋体" w:hAnsi="宋体" w:eastAsia="宋体" w:cs="宋体"/>
          <w:b/>
          <w:bCs/>
          <w:kern w:val="0"/>
          <w:sz w:val="32"/>
          <w:szCs w:val="32"/>
        </w:rPr>
      </w:pPr>
      <w:r>
        <w:rPr>
          <w:rFonts w:hint="eastAsia" w:ascii="宋体" w:hAnsi="宋体" w:eastAsia="宋体" w:cs="宋体"/>
          <w:b/>
          <w:bCs/>
          <w:kern w:val="0"/>
          <w:sz w:val="32"/>
          <w:szCs w:val="32"/>
        </w:rPr>
        <w:t>三、</w:t>
      </w:r>
      <w:r>
        <w:rPr>
          <w:rFonts w:ascii="宋体" w:hAnsi="宋体" w:eastAsia="宋体" w:cs="宋体"/>
          <w:b/>
          <w:bCs/>
          <w:kern w:val="0"/>
          <w:sz w:val="32"/>
          <w:szCs w:val="32"/>
        </w:rPr>
        <w:t>注意事项</w:t>
      </w:r>
    </w:p>
    <w:p>
      <w:pPr>
        <w:snapToGrid w:val="0"/>
        <w:spacing w:line="324" w:lineRule="auto"/>
        <w:ind w:firstLine="643" w:firstLineChars="200"/>
        <w:rPr>
          <w:rFonts w:ascii="仿宋" w:hAnsi="仿宋" w:eastAsia="仿宋" w:cs="Arial"/>
          <w:b/>
          <w:bCs/>
          <w:color w:val="FF0000"/>
          <w:sz w:val="32"/>
          <w:szCs w:val="32"/>
          <w:highlight w:val="yellow"/>
        </w:rPr>
      </w:pPr>
      <w:r>
        <w:rPr>
          <w:rFonts w:hint="eastAsia" w:ascii="仿宋" w:hAnsi="仿宋" w:eastAsia="仿宋" w:cs="Arial"/>
          <w:b/>
          <w:bCs/>
          <w:color w:val="FF0000"/>
          <w:sz w:val="32"/>
          <w:szCs w:val="32"/>
          <w:highlight w:val="yellow"/>
        </w:rPr>
        <w:t>1.2023级转专业学生在开学初“补(退）选”阶段进行选课，不参与本次正选选课。</w:t>
      </w:r>
    </w:p>
    <w:p>
      <w:pPr>
        <w:snapToGrid w:val="0"/>
        <w:spacing w:line="324" w:lineRule="auto"/>
        <w:ind w:firstLine="640" w:firstLineChars="200"/>
        <w:rPr>
          <w:rFonts w:ascii="仿宋" w:hAnsi="仿宋" w:eastAsia="仿宋" w:cs="Arial"/>
          <w:b/>
          <w:bCs/>
          <w:color w:val="FF0000"/>
          <w:sz w:val="32"/>
          <w:szCs w:val="32"/>
          <w:highlight w:val="yellow"/>
        </w:rPr>
      </w:pPr>
      <w:r>
        <w:rPr>
          <w:rFonts w:hint="eastAsia" w:ascii="仿宋" w:hAnsi="仿宋" w:eastAsia="仿宋" w:cs="Arial"/>
          <w:sz w:val="32"/>
          <w:szCs w:val="32"/>
        </w:rPr>
        <w:t>2.</w:t>
      </w:r>
      <w:r>
        <w:rPr>
          <w:rFonts w:ascii="仿宋" w:hAnsi="仿宋" w:eastAsia="仿宋" w:cs="Arial"/>
          <w:sz w:val="32"/>
          <w:szCs w:val="32"/>
        </w:rPr>
        <w:t>学生</w:t>
      </w:r>
      <w:r>
        <w:rPr>
          <w:rFonts w:hint="eastAsia" w:ascii="仿宋" w:hAnsi="仿宋" w:eastAsia="仿宋" w:cs="Arial"/>
          <w:sz w:val="32"/>
          <w:szCs w:val="32"/>
        </w:rPr>
        <w:t>需</w:t>
      </w:r>
      <w:r>
        <w:rPr>
          <w:rFonts w:ascii="仿宋" w:hAnsi="仿宋" w:eastAsia="仿宋" w:cs="Arial"/>
          <w:sz w:val="32"/>
          <w:szCs w:val="32"/>
        </w:rPr>
        <w:t>根据专业培养方案认真核对课表，确保无漏选、错选、无上课时间段的冲突</w:t>
      </w:r>
      <w:r>
        <w:rPr>
          <w:rFonts w:hint="eastAsia" w:ascii="仿宋" w:hAnsi="仿宋" w:eastAsia="仿宋" w:cs="Arial"/>
          <w:sz w:val="32"/>
          <w:szCs w:val="32"/>
        </w:rPr>
        <w:t>等问题以免影响学业</w:t>
      </w:r>
      <w:r>
        <w:rPr>
          <w:rFonts w:ascii="仿宋" w:hAnsi="仿宋" w:eastAsia="仿宋" w:cs="Arial"/>
          <w:sz w:val="32"/>
          <w:szCs w:val="32"/>
        </w:rPr>
        <w:t>。若有课程漏选或选择不当，请</w:t>
      </w:r>
      <w:r>
        <w:rPr>
          <w:rFonts w:hint="eastAsia" w:ascii="仿宋" w:hAnsi="仿宋" w:eastAsia="仿宋" w:cs="Arial"/>
          <w:sz w:val="32"/>
          <w:szCs w:val="32"/>
        </w:rPr>
        <w:t>及时</w:t>
      </w:r>
      <w:r>
        <w:rPr>
          <w:rFonts w:ascii="仿宋" w:hAnsi="仿宋" w:eastAsia="仿宋" w:cs="Arial"/>
          <w:sz w:val="32"/>
          <w:szCs w:val="32"/>
        </w:rPr>
        <w:t>更正，也可在</w:t>
      </w:r>
      <w:r>
        <w:rPr>
          <w:rFonts w:hint="eastAsia" w:ascii="仿宋" w:hAnsi="仿宋" w:eastAsia="仿宋" w:cs="Arial"/>
          <w:sz w:val="32"/>
          <w:szCs w:val="32"/>
        </w:rPr>
        <w:t>补（退）选阶段</w:t>
      </w:r>
      <w:r>
        <w:rPr>
          <w:rFonts w:ascii="仿宋" w:hAnsi="仿宋" w:eastAsia="仿宋" w:cs="Arial"/>
          <w:sz w:val="32"/>
          <w:szCs w:val="32"/>
        </w:rPr>
        <w:t>进行调整，确保</w:t>
      </w:r>
      <w:r>
        <w:rPr>
          <w:rFonts w:hint="eastAsia" w:ascii="仿宋" w:hAnsi="仿宋" w:eastAsia="仿宋" w:cs="Arial"/>
          <w:sz w:val="32"/>
          <w:szCs w:val="32"/>
        </w:rPr>
        <w:t>顺利修满方案要求的课程和学分。《河海大学本科生选课指南》详见附件3。</w:t>
      </w:r>
    </w:p>
    <w:p>
      <w:pPr>
        <w:widowControl/>
        <w:snapToGrid w:val="0"/>
        <w:spacing w:line="324" w:lineRule="auto"/>
        <w:ind w:firstLine="640" w:firstLineChars="200"/>
        <w:rPr>
          <w:rFonts w:ascii="仿宋" w:hAnsi="仿宋" w:eastAsia="仿宋" w:cs="Arial"/>
          <w:sz w:val="32"/>
          <w:szCs w:val="32"/>
        </w:rPr>
      </w:pPr>
      <w:r>
        <w:rPr>
          <w:rFonts w:hint="eastAsia" w:ascii="仿宋" w:hAnsi="仿宋" w:eastAsia="仿宋" w:cs="Arial"/>
          <w:sz w:val="32"/>
          <w:szCs w:val="32"/>
        </w:rPr>
        <w:t>3.</w:t>
      </w:r>
      <w:r>
        <w:rPr>
          <w:rFonts w:ascii="仿宋" w:hAnsi="仿宋" w:eastAsia="仿宋" w:cs="Arial"/>
          <w:sz w:val="32"/>
          <w:szCs w:val="32"/>
        </w:rPr>
        <w:t>因学籍异动</w:t>
      </w:r>
      <w:r>
        <w:rPr>
          <w:rFonts w:hint="eastAsia" w:ascii="仿宋" w:hAnsi="仿宋" w:eastAsia="仿宋" w:cs="Arial"/>
          <w:sz w:val="32"/>
          <w:szCs w:val="32"/>
        </w:rPr>
        <w:t>等原因确需手工</w:t>
      </w:r>
      <w:r>
        <w:rPr>
          <w:rFonts w:ascii="仿宋" w:hAnsi="仿宋" w:eastAsia="仿宋" w:cs="Arial"/>
          <w:sz w:val="32"/>
          <w:szCs w:val="32"/>
        </w:rPr>
        <w:t>选课的学生，</w:t>
      </w:r>
      <w:r>
        <w:rPr>
          <w:rFonts w:hint="eastAsia" w:ascii="仿宋" w:hAnsi="仿宋" w:eastAsia="仿宋" w:cs="Arial"/>
          <w:sz w:val="32"/>
          <w:szCs w:val="32"/>
        </w:rPr>
        <w:t>请在新学期前两周内</w:t>
      </w:r>
      <w:r>
        <w:rPr>
          <w:rFonts w:ascii="仿宋" w:hAnsi="仿宋" w:eastAsia="仿宋" w:cs="Arial"/>
          <w:sz w:val="32"/>
          <w:szCs w:val="32"/>
        </w:rPr>
        <w:t>填写《学籍异动课程变更表》</w:t>
      </w:r>
      <w:r>
        <w:rPr>
          <w:rFonts w:hint="eastAsia" w:ascii="仿宋" w:hAnsi="仿宋" w:eastAsia="仿宋" w:cs="Arial"/>
          <w:sz w:val="32"/>
          <w:szCs w:val="32"/>
        </w:rPr>
        <w:t>(见</w:t>
      </w:r>
      <w:r>
        <w:rPr>
          <w:rFonts w:ascii="仿宋" w:hAnsi="仿宋" w:eastAsia="仿宋" w:cs="Arial"/>
          <w:sz w:val="32"/>
          <w:szCs w:val="32"/>
        </w:rPr>
        <w:t>附件4</w:t>
      </w:r>
      <w:r>
        <w:rPr>
          <w:rFonts w:hint="eastAsia" w:ascii="仿宋" w:hAnsi="仿宋" w:eastAsia="仿宋" w:cs="Arial"/>
          <w:sz w:val="32"/>
          <w:szCs w:val="32"/>
        </w:rPr>
        <w:t>)</w:t>
      </w:r>
      <w:r>
        <w:rPr>
          <w:rFonts w:ascii="仿宋" w:hAnsi="仿宋" w:eastAsia="仿宋" w:cs="Arial"/>
          <w:sz w:val="32"/>
          <w:szCs w:val="32"/>
        </w:rPr>
        <w:t>到学籍科手工选课</w:t>
      </w:r>
      <w:r>
        <w:rPr>
          <w:rFonts w:hint="eastAsia" w:ascii="仿宋" w:hAnsi="仿宋" w:eastAsia="仿宋" w:cs="Arial"/>
          <w:sz w:val="32"/>
          <w:szCs w:val="32"/>
        </w:rPr>
        <w:t>，以免影响学习进程</w:t>
      </w:r>
      <w:r>
        <w:rPr>
          <w:rFonts w:ascii="仿宋" w:hAnsi="仿宋" w:eastAsia="仿宋" w:cs="Arial"/>
          <w:sz w:val="32"/>
          <w:szCs w:val="32"/>
        </w:rPr>
        <w:t>。</w:t>
      </w:r>
    </w:p>
    <w:p>
      <w:pPr>
        <w:widowControl/>
        <w:snapToGrid w:val="0"/>
        <w:spacing w:line="324" w:lineRule="auto"/>
        <w:ind w:firstLine="640" w:firstLineChars="200"/>
        <w:rPr>
          <w:rFonts w:ascii="仿宋" w:hAnsi="仿宋" w:eastAsia="仿宋" w:cs="Arial"/>
          <w:sz w:val="32"/>
          <w:szCs w:val="32"/>
        </w:rPr>
      </w:pPr>
      <w:r>
        <w:rPr>
          <w:rFonts w:hint="eastAsia" w:ascii="仿宋" w:hAnsi="仿宋" w:eastAsia="仿宋" w:cs="Arial"/>
          <w:sz w:val="32"/>
          <w:szCs w:val="32"/>
        </w:rPr>
        <w:t>4</w:t>
      </w:r>
      <w:r>
        <w:rPr>
          <w:rFonts w:ascii="仿宋" w:hAnsi="仿宋" w:eastAsia="仿宋" w:cs="Arial"/>
          <w:sz w:val="32"/>
          <w:szCs w:val="32"/>
        </w:rPr>
        <w:t>.</w:t>
      </w:r>
      <w:r>
        <w:rPr>
          <w:rFonts w:hint="eastAsia" w:ascii="仿宋" w:hAnsi="仿宋" w:eastAsia="仿宋" w:cs="Arial"/>
          <w:sz w:val="32"/>
          <w:szCs w:val="32"/>
        </w:rPr>
        <w:t>关于《河海</w:t>
      </w:r>
      <w:r>
        <w:rPr>
          <w:rFonts w:ascii="仿宋" w:hAnsi="仿宋" w:eastAsia="仿宋" w:cs="Arial"/>
          <w:sz w:val="32"/>
          <w:szCs w:val="32"/>
        </w:rPr>
        <w:t>大学全日制本科生选课管理实施细则（</w:t>
      </w:r>
      <w:r>
        <w:rPr>
          <w:rFonts w:hint="eastAsia" w:ascii="仿宋" w:hAnsi="仿宋" w:eastAsia="仿宋" w:cs="Arial"/>
          <w:sz w:val="32"/>
          <w:szCs w:val="32"/>
        </w:rPr>
        <w:t>试行</w:t>
      </w:r>
      <w:r>
        <w:rPr>
          <w:rFonts w:ascii="仿宋" w:hAnsi="仿宋" w:eastAsia="仿宋" w:cs="Arial"/>
          <w:sz w:val="32"/>
          <w:szCs w:val="32"/>
        </w:rPr>
        <w:t>）</w:t>
      </w:r>
      <w:r>
        <w:rPr>
          <w:rFonts w:hint="eastAsia" w:ascii="仿宋" w:hAnsi="仿宋" w:eastAsia="仿宋" w:cs="Arial"/>
          <w:sz w:val="32"/>
          <w:szCs w:val="32"/>
        </w:rPr>
        <w:t>》</w:t>
      </w:r>
      <w:r>
        <w:rPr>
          <w:rFonts w:ascii="仿宋" w:hAnsi="仿宋" w:eastAsia="仿宋" w:cs="Arial"/>
          <w:sz w:val="32"/>
          <w:szCs w:val="32"/>
        </w:rPr>
        <w:t>详</w:t>
      </w:r>
      <w:r>
        <w:rPr>
          <w:rFonts w:hint="eastAsia" w:ascii="仿宋" w:hAnsi="仿宋" w:eastAsia="仿宋" w:cs="Arial"/>
          <w:sz w:val="32"/>
          <w:szCs w:val="32"/>
        </w:rPr>
        <w:t>见</w:t>
      </w:r>
      <w:r>
        <w:rPr>
          <w:rFonts w:ascii="仿宋" w:hAnsi="仿宋" w:eastAsia="仿宋" w:cs="Arial"/>
          <w:sz w:val="32"/>
          <w:szCs w:val="32"/>
        </w:rPr>
        <w:t>附件5。</w:t>
      </w:r>
    </w:p>
    <w:p>
      <w:pPr>
        <w:widowControl/>
        <w:snapToGrid w:val="0"/>
        <w:spacing w:line="324" w:lineRule="auto"/>
        <w:ind w:firstLine="643" w:firstLineChars="200"/>
        <w:rPr>
          <w:rFonts w:ascii="宋体" w:hAnsi="宋体" w:eastAsia="宋体" w:cs="宋体"/>
          <w:kern w:val="0"/>
          <w:sz w:val="32"/>
          <w:szCs w:val="32"/>
        </w:rPr>
      </w:pPr>
      <w:r>
        <w:rPr>
          <w:rFonts w:hint="eastAsia" w:ascii="宋体" w:hAnsi="宋体" w:eastAsia="宋体" w:cs="宋体"/>
          <w:b/>
          <w:bCs/>
          <w:kern w:val="0"/>
          <w:sz w:val="32"/>
          <w:szCs w:val="32"/>
        </w:rPr>
        <w:t>四、其他</w:t>
      </w:r>
    </w:p>
    <w:p>
      <w:pPr>
        <w:widowControl/>
        <w:snapToGrid w:val="0"/>
        <w:spacing w:line="324" w:lineRule="auto"/>
        <w:ind w:firstLine="640" w:firstLineChars="200"/>
        <w:rPr>
          <w:rFonts w:ascii="仿宋" w:hAnsi="仿宋" w:eastAsia="仿宋" w:cs="Arial"/>
          <w:sz w:val="32"/>
          <w:szCs w:val="32"/>
        </w:rPr>
      </w:pPr>
      <w:r>
        <w:rPr>
          <w:rFonts w:hint="eastAsia" w:ascii="仿宋" w:hAnsi="仿宋" w:eastAsia="仿宋" w:cs="Arial"/>
          <w:sz w:val="32"/>
          <w:szCs w:val="32"/>
        </w:rPr>
        <w:t>请及时关注教务处有关选课信息和通知，若有疑问请咨询班导师、教学秘书或教务处学籍科(南京：江宁校区行政楼203室；常州校区：34号楼508室)。</w:t>
      </w:r>
    </w:p>
    <w:p>
      <w:pPr>
        <w:widowControl/>
        <w:snapToGrid w:val="0"/>
        <w:spacing w:line="324" w:lineRule="auto"/>
        <w:ind w:firstLine="640" w:firstLineChars="200"/>
        <w:rPr>
          <w:rFonts w:ascii="仿宋" w:hAnsi="仿宋" w:eastAsia="仿宋" w:cs="Arial"/>
          <w:sz w:val="32"/>
          <w:szCs w:val="32"/>
        </w:rPr>
      </w:pPr>
      <w:r>
        <w:rPr>
          <w:rFonts w:hint="eastAsia" w:ascii="仿宋" w:hAnsi="仿宋" w:eastAsia="仿宋" w:cs="Arial"/>
          <w:sz w:val="32"/>
          <w:szCs w:val="32"/>
        </w:rPr>
        <w:t>教务处学籍科联系人：</w:t>
      </w:r>
    </w:p>
    <w:p>
      <w:pPr>
        <w:widowControl/>
        <w:snapToGrid w:val="0"/>
        <w:spacing w:line="324" w:lineRule="auto"/>
        <w:ind w:firstLine="640" w:firstLineChars="200"/>
        <w:rPr>
          <w:rFonts w:ascii="仿宋" w:hAnsi="仿宋" w:eastAsia="仿宋" w:cs="Arial"/>
          <w:sz w:val="32"/>
          <w:szCs w:val="32"/>
        </w:rPr>
      </w:pPr>
      <w:r>
        <w:rPr>
          <w:rFonts w:hint="eastAsia" w:ascii="仿宋" w:hAnsi="仿宋" w:eastAsia="仿宋" w:cs="Arial"/>
          <w:sz w:val="32"/>
          <w:szCs w:val="32"/>
        </w:rPr>
        <w:t>陈老师、汪老师，TEL：0519-85191908、0519-85191819，</w:t>
      </w:r>
      <w:r>
        <w:fldChar w:fldCharType="begin"/>
      </w:r>
      <w:r>
        <w:instrText xml:space="preserve"> HYPERLINK "mailto:%E6%95%99%E5%8A%A1%E5%A4%84%E6%95%99%E5%8A%A1%E7%AE%A1%E7%90%86%E5%8A%9E%E5%85%AC%E5%AE%A4Email:wping@hhu.edu.cn" </w:instrText>
      </w:r>
      <w:r>
        <w:fldChar w:fldCharType="separate"/>
      </w:r>
      <w:r>
        <w:rPr>
          <w:rFonts w:hint="eastAsia" w:ascii="仿宋" w:hAnsi="仿宋" w:eastAsia="仿宋" w:cs="Arial"/>
          <w:sz w:val="32"/>
          <w:szCs w:val="32"/>
        </w:rPr>
        <w:t>Email:</w:t>
      </w:r>
      <w:r>
        <w:rPr>
          <w:rFonts w:hint="eastAsia" w:ascii="仿宋" w:hAnsi="仿宋" w:eastAsia="仿宋" w:cs="Arial"/>
          <w:sz w:val="32"/>
          <w:szCs w:val="32"/>
        </w:rPr>
        <w:fldChar w:fldCharType="end"/>
      </w:r>
      <w:r>
        <w:rPr>
          <w:rFonts w:hint="eastAsia" w:ascii="仿宋" w:hAnsi="仿宋" w:eastAsia="仿宋" w:cs="Arial"/>
          <w:sz w:val="32"/>
          <w:szCs w:val="32"/>
        </w:rPr>
        <w:t> </w:t>
      </w:r>
      <w:r>
        <w:fldChar w:fldCharType="begin"/>
      </w:r>
      <w:r>
        <w:instrText xml:space="preserve"> HYPERLINK "mailto:jwcxjk@hhu.edu.cn" </w:instrText>
      </w:r>
      <w:r>
        <w:fldChar w:fldCharType="separate"/>
      </w:r>
      <w:r>
        <w:rPr>
          <w:rFonts w:hint="eastAsia" w:ascii="仿宋" w:hAnsi="仿宋" w:eastAsia="仿宋" w:cs="Arial"/>
          <w:sz w:val="32"/>
          <w:szCs w:val="32"/>
        </w:rPr>
        <w:t>jwcxjk@hhu.edu.cn</w:t>
      </w:r>
      <w:r>
        <w:rPr>
          <w:rFonts w:hint="eastAsia" w:ascii="仿宋" w:hAnsi="仿宋" w:eastAsia="仿宋" w:cs="Arial"/>
          <w:sz w:val="32"/>
          <w:szCs w:val="32"/>
        </w:rPr>
        <w:fldChar w:fldCharType="end"/>
      </w:r>
    </w:p>
    <w:p>
      <w:pPr>
        <w:widowControl/>
        <w:snapToGrid w:val="0"/>
        <w:spacing w:line="324" w:lineRule="auto"/>
        <w:ind w:firstLine="640" w:firstLineChars="200"/>
        <w:rPr>
          <w:rFonts w:ascii="微软雅黑" w:hAnsi="微软雅黑" w:eastAsia="微软雅黑" w:cs="微软雅黑"/>
          <w:color w:val="333333"/>
          <w:szCs w:val="21"/>
        </w:rPr>
      </w:pPr>
      <w:r>
        <w:rPr>
          <w:rFonts w:hint="eastAsia" w:ascii="仿宋" w:hAnsi="仿宋" w:eastAsia="仿宋" w:cs="Arial"/>
          <w:sz w:val="32"/>
          <w:szCs w:val="32"/>
        </w:rPr>
        <w:t>技术支持：刘工、徐工，TEL：025-58099196（内线：5196）</w:t>
      </w:r>
    </w:p>
    <w:p>
      <w:pPr>
        <w:snapToGrid w:val="0"/>
        <w:spacing w:line="324" w:lineRule="auto"/>
        <w:ind w:firstLine="640" w:firstLineChars="200"/>
        <w:rPr>
          <w:rStyle w:val="15"/>
          <w:rFonts w:ascii="仿宋" w:hAnsi="仿宋" w:eastAsia="仿宋" w:cs="Arial"/>
          <w:color w:val="auto"/>
          <w:sz w:val="32"/>
          <w:szCs w:val="32"/>
        </w:rPr>
      </w:pPr>
    </w:p>
    <w:p>
      <w:pPr>
        <w:snapToGrid w:val="0"/>
        <w:spacing w:line="324" w:lineRule="auto"/>
        <w:ind w:firstLine="420"/>
        <w:rPr>
          <w:rFonts w:ascii="仿宋" w:hAnsi="仿宋" w:eastAsia="仿宋" w:cs="Arial"/>
          <w:b/>
          <w:bCs/>
          <w:sz w:val="32"/>
          <w:szCs w:val="32"/>
        </w:rPr>
      </w:pPr>
    </w:p>
    <w:p>
      <w:pPr>
        <w:snapToGrid w:val="0"/>
        <w:spacing w:line="324" w:lineRule="auto"/>
        <w:rPr>
          <w:rFonts w:ascii="仿宋" w:hAnsi="仿宋" w:eastAsia="仿宋" w:cs="Arial"/>
          <w:sz w:val="32"/>
          <w:szCs w:val="32"/>
        </w:rPr>
      </w:pPr>
      <w:r>
        <w:rPr>
          <w:rFonts w:hint="eastAsia" w:ascii="仿宋" w:hAnsi="仿宋" w:eastAsia="仿宋" w:cs="Arial"/>
          <w:sz w:val="32"/>
          <w:szCs w:val="32"/>
        </w:rPr>
        <w:t>附件</w:t>
      </w:r>
      <w:r>
        <w:rPr>
          <w:rFonts w:ascii="仿宋" w:hAnsi="仿宋" w:eastAsia="仿宋" w:cs="Arial"/>
          <w:sz w:val="32"/>
          <w:szCs w:val="32"/>
        </w:rPr>
        <w:t>：</w:t>
      </w:r>
    </w:p>
    <w:p>
      <w:pPr>
        <w:ind w:firstLine="420"/>
        <w:rPr>
          <w:rFonts w:ascii="仿宋" w:hAnsi="仿宋" w:eastAsia="仿宋" w:cs="Arial"/>
          <w:sz w:val="32"/>
          <w:szCs w:val="32"/>
        </w:rPr>
      </w:pPr>
      <w:r>
        <w:rPr>
          <w:rFonts w:ascii="仿宋" w:hAnsi="仿宋" w:eastAsia="仿宋" w:cs="Arial"/>
          <w:sz w:val="32"/>
          <w:szCs w:val="32"/>
        </w:rPr>
        <w:t>1</w:t>
      </w:r>
      <w:r>
        <w:rPr>
          <w:rFonts w:hint="eastAsia" w:ascii="仿宋" w:hAnsi="仿宋" w:eastAsia="仿宋" w:cs="Arial"/>
          <w:sz w:val="32"/>
          <w:szCs w:val="32"/>
        </w:rPr>
        <w:t>.</w:t>
      </w:r>
      <w:r>
        <w:rPr>
          <w:rFonts w:ascii="仿宋" w:hAnsi="仿宋" w:eastAsia="仿宋" w:cs="Arial"/>
          <w:sz w:val="32"/>
          <w:szCs w:val="32"/>
        </w:rPr>
        <w:t>《</w:t>
      </w:r>
      <w:r>
        <w:rPr>
          <w:rFonts w:hint="eastAsia" w:ascii="仿宋" w:hAnsi="仿宋" w:eastAsia="仿宋" w:cs="Arial"/>
          <w:sz w:val="32"/>
          <w:szCs w:val="32"/>
        </w:rPr>
        <w:t>河海大学</w:t>
      </w:r>
      <w:r>
        <w:rPr>
          <w:rFonts w:ascii="仿宋" w:hAnsi="仿宋" w:eastAsia="仿宋" w:cs="Arial"/>
          <w:sz w:val="32"/>
          <w:szCs w:val="32"/>
        </w:rPr>
        <w:t>校内普通公选课开课目录</w:t>
      </w:r>
      <w:r>
        <w:rPr>
          <w:rFonts w:hint="eastAsia" w:ascii="仿宋" w:hAnsi="仿宋" w:eastAsia="仿宋" w:cs="Arial"/>
          <w:sz w:val="32"/>
          <w:szCs w:val="32"/>
        </w:rPr>
        <w:t>》</w:t>
      </w:r>
    </w:p>
    <w:p>
      <w:pPr>
        <w:ind w:firstLine="420"/>
        <w:rPr>
          <w:rFonts w:ascii="仿宋" w:hAnsi="仿宋" w:eastAsia="仿宋" w:cs="Arial"/>
          <w:sz w:val="32"/>
          <w:szCs w:val="32"/>
        </w:rPr>
      </w:pPr>
      <w:r>
        <w:rPr>
          <w:rFonts w:ascii="仿宋" w:hAnsi="仿宋" w:eastAsia="仿宋" w:cs="Arial"/>
          <w:sz w:val="32"/>
          <w:szCs w:val="32"/>
        </w:rPr>
        <w:t>2</w:t>
      </w:r>
      <w:r>
        <w:rPr>
          <w:rFonts w:hint="eastAsia" w:ascii="仿宋" w:hAnsi="仿宋" w:eastAsia="仿宋" w:cs="Arial"/>
          <w:sz w:val="32"/>
          <w:szCs w:val="32"/>
        </w:rPr>
        <w:t>.《河海大学网络</w:t>
      </w:r>
      <w:r>
        <w:rPr>
          <w:rFonts w:ascii="仿宋" w:hAnsi="仿宋" w:eastAsia="仿宋" w:cs="Arial"/>
          <w:sz w:val="32"/>
          <w:szCs w:val="32"/>
        </w:rPr>
        <w:t>视频课开课目录</w:t>
      </w:r>
      <w:r>
        <w:rPr>
          <w:rFonts w:hint="eastAsia" w:ascii="仿宋" w:hAnsi="仿宋" w:eastAsia="仿宋" w:cs="Arial"/>
          <w:sz w:val="32"/>
          <w:szCs w:val="32"/>
        </w:rPr>
        <w:t>》</w:t>
      </w:r>
    </w:p>
    <w:p>
      <w:pPr>
        <w:ind w:firstLine="420"/>
        <w:rPr>
          <w:rFonts w:ascii="仿宋" w:hAnsi="仿宋" w:eastAsia="仿宋" w:cs="Arial"/>
          <w:sz w:val="32"/>
          <w:szCs w:val="32"/>
        </w:rPr>
      </w:pPr>
      <w:r>
        <w:rPr>
          <w:rFonts w:ascii="仿宋" w:hAnsi="仿宋" w:eastAsia="仿宋" w:cs="Arial"/>
          <w:sz w:val="32"/>
          <w:szCs w:val="32"/>
        </w:rPr>
        <w:t>3</w:t>
      </w:r>
      <w:r>
        <w:rPr>
          <w:rFonts w:hint="eastAsia" w:ascii="仿宋" w:hAnsi="仿宋" w:eastAsia="仿宋" w:cs="Arial"/>
          <w:sz w:val="32"/>
          <w:szCs w:val="32"/>
        </w:rPr>
        <w:t>.</w:t>
      </w:r>
      <w:r>
        <w:rPr>
          <w:rFonts w:ascii="仿宋" w:hAnsi="仿宋" w:eastAsia="仿宋" w:cs="Arial"/>
          <w:sz w:val="32"/>
          <w:szCs w:val="32"/>
        </w:rPr>
        <w:t>《</w:t>
      </w:r>
      <w:r>
        <w:rPr>
          <w:rFonts w:hint="eastAsia" w:ascii="仿宋" w:hAnsi="仿宋" w:eastAsia="仿宋" w:cs="Arial"/>
          <w:sz w:val="32"/>
          <w:szCs w:val="32"/>
        </w:rPr>
        <w:t>河海大学本科生选课指南》</w:t>
      </w:r>
    </w:p>
    <w:p>
      <w:pPr>
        <w:ind w:firstLine="420"/>
        <w:rPr>
          <w:rFonts w:ascii="仿宋" w:hAnsi="仿宋" w:eastAsia="仿宋" w:cs="Arial"/>
          <w:sz w:val="32"/>
          <w:szCs w:val="32"/>
        </w:rPr>
      </w:pPr>
      <w:r>
        <w:rPr>
          <w:rFonts w:ascii="仿宋" w:hAnsi="仿宋" w:eastAsia="仿宋" w:cs="Arial"/>
          <w:sz w:val="32"/>
          <w:szCs w:val="32"/>
        </w:rPr>
        <w:t>4.《学籍异动课程变更表》</w:t>
      </w:r>
    </w:p>
    <w:p>
      <w:pPr>
        <w:ind w:firstLine="420"/>
        <w:rPr>
          <w:rFonts w:ascii="仿宋" w:hAnsi="仿宋" w:eastAsia="仿宋" w:cs="Arial"/>
          <w:sz w:val="32"/>
          <w:szCs w:val="32"/>
        </w:rPr>
      </w:pPr>
      <w:r>
        <w:rPr>
          <w:rFonts w:hint="eastAsia" w:ascii="仿宋" w:hAnsi="仿宋" w:eastAsia="仿宋" w:cs="Arial"/>
          <w:sz w:val="32"/>
          <w:szCs w:val="32"/>
        </w:rPr>
        <w:t>5.《河海大学全日制普通本科生选课管理实施细则（试行）</w:t>
      </w:r>
      <w:r>
        <w:rPr>
          <w:rFonts w:ascii="仿宋" w:hAnsi="仿宋" w:eastAsia="仿宋" w:cs="Arial"/>
          <w:sz w:val="32"/>
          <w:szCs w:val="32"/>
        </w:rPr>
        <w:t>》</w:t>
      </w:r>
    </w:p>
    <w:p>
      <w:pPr>
        <w:ind w:firstLine="420"/>
        <w:rPr>
          <w:rFonts w:ascii="仿宋" w:hAnsi="仿宋" w:eastAsia="仿宋" w:cs="Arial"/>
          <w:sz w:val="32"/>
          <w:szCs w:val="32"/>
        </w:rPr>
      </w:pPr>
      <w:r>
        <w:rPr>
          <w:rFonts w:hint="eastAsia" w:ascii="仿宋" w:hAnsi="仿宋" w:eastAsia="仿宋" w:cs="Arial"/>
          <w:sz w:val="32"/>
          <w:szCs w:val="32"/>
        </w:rPr>
        <w:t>（河海教务〔</w:t>
      </w:r>
      <w:r>
        <w:rPr>
          <w:rFonts w:ascii="仿宋" w:hAnsi="仿宋" w:eastAsia="仿宋" w:cs="Arial"/>
          <w:sz w:val="32"/>
          <w:szCs w:val="32"/>
        </w:rPr>
        <w:t>2019〕62号）</w:t>
      </w:r>
    </w:p>
    <w:p>
      <w:pPr>
        <w:snapToGrid w:val="0"/>
        <w:spacing w:line="324" w:lineRule="auto"/>
        <w:ind w:left="3990" w:leftChars="1900" w:firstLine="640" w:firstLineChars="200"/>
        <w:jc w:val="left"/>
        <w:rPr>
          <w:rFonts w:ascii="仿宋" w:hAnsi="仿宋" w:eastAsia="仿宋" w:cs="Arial"/>
          <w:sz w:val="32"/>
          <w:szCs w:val="32"/>
        </w:rPr>
      </w:pPr>
      <w:r>
        <w:rPr>
          <w:rFonts w:hint="eastAsia" w:ascii="仿宋" w:hAnsi="仿宋" w:eastAsia="仿宋" w:cs="Arial"/>
          <w:sz w:val="32"/>
          <w:szCs w:val="32"/>
        </w:rPr>
        <w:t xml:space="preserve">    </w:t>
      </w:r>
      <w:r>
        <w:rPr>
          <w:rFonts w:ascii="仿宋" w:hAnsi="仿宋" w:eastAsia="仿宋" w:cs="Arial"/>
          <w:sz w:val="32"/>
          <w:szCs w:val="32"/>
        </w:rPr>
        <w:t xml:space="preserve">     </w:t>
      </w:r>
      <w:r>
        <w:rPr>
          <w:rFonts w:hint="eastAsia" w:ascii="仿宋" w:hAnsi="仿宋" w:eastAsia="仿宋" w:cs="Arial"/>
          <w:sz w:val="32"/>
          <w:szCs w:val="32"/>
        </w:rPr>
        <w:t>教务处</w:t>
      </w:r>
    </w:p>
    <w:p>
      <w:pPr>
        <w:snapToGrid w:val="0"/>
        <w:spacing w:line="324" w:lineRule="auto"/>
        <w:ind w:right="640" w:firstLine="5280" w:firstLineChars="1650"/>
        <w:rPr>
          <w:rFonts w:ascii="仿宋" w:hAnsi="仿宋" w:eastAsia="仿宋" w:cs="Arial"/>
          <w:sz w:val="32"/>
          <w:szCs w:val="32"/>
        </w:rPr>
      </w:pPr>
      <w:r>
        <w:rPr>
          <w:rFonts w:hint="eastAsia" w:ascii="仿宋" w:hAnsi="仿宋" w:eastAsia="仿宋" w:cs="Arial"/>
          <w:sz w:val="32"/>
          <w:szCs w:val="32"/>
        </w:rPr>
        <w:t>2024年7月</w:t>
      </w:r>
      <w:r>
        <w:rPr>
          <w:rFonts w:hint="eastAsia" w:ascii="仿宋" w:hAnsi="仿宋" w:eastAsia="仿宋" w:cs="Arial"/>
          <w:sz w:val="32"/>
          <w:szCs w:val="32"/>
          <w:lang w:val="en-US" w:eastAsia="zh-CN"/>
        </w:rPr>
        <w:t>3</w:t>
      </w:r>
      <w:r>
        <w:rPr>
          <w:rFonts w:hint="eastAsia" w:ascii="仿宋" w:hAnsi="仿宋" w:eastAsia="仿宋" w:cs="Arial"/>
          <w:sz w:val="32"/>
          <w:szCs w:val="32"/>
        </w:rPr>
        <w:t>日</w:t>
      </w:r>
    </w:p>
    <w:p>
      <w:pPr>
        <w:rPr>
          <w:sz w:val="32"/>
          <w:szCs w:val="32"/>
        </w:rPr>
      </w:pPr>
      <w:r>
        <w:rPr>
          <w:rFonts w:hint="eastAsia"/>
          <w:sz w:val="32"/>
          <w:szCs w:val="32"/>
        </w:rPr>
        <w:t>附件1</w:t>
      </w:r>
      <w:r>
        <w:rPr>
          <w:sz w:val="32"/>
          <w:szCs w:val="32"/>
        </w:rPr>
        <w:t>:</w:t>
      </w:r>
    </w:p>
    <w:p>
      <w:pPr>
        <w:snapToGrid w:val="0"/>
        <w:spacing w:line="324" w:lineRule="auto"/>
        <w:ind w:right="640" w:firstLine="3465" w:firstLineChars="1650"/>
        <w:rPr>
          <w:rFonts w:ascii="仿宋" w:hAnsi="仿宋" w:eastAsia="仿宋" w:cs="Arial"/>
          <w:szCs w:val="21"/>
        </w:rPr>
      </w:pPr>
    </w:p>
    <w:p>
      <w:pPr>
        <w:snapToGrid w:val="0"/>
        <w:spacing w:line="324" w:lineRule="auto"/>
        <w:ind w:right="640" w:firstLine="3465" w:firstLineChars="1650"/>
        <w:rPr>
          <w:rFonts w:hint="eastAsia" w:ascii="仿宋" w:hAnsi="仿宋" w:eastAsia="仿宋" w:cs="Arial"/>
          <w:szCs w:val="21"/>
        </w:rPr>
      </w:pPr>
    </w:p>
    <w:p>
      <w:pPr>
        <w:jc w:val="center"/>
        <w:rPr>
          <w:rFonts w:ascii="宋体" w:hAnsi="宋体" w:eastAsia="宋体" w:cs="Arial"/>
          <w:b/>
          <w:bCs/>
          <w:kern w:val="0"/>
          <w:sz w:val="32"/>
          <w:szCs w:val="32"/>
        </w:rPr>
      </w:pPr>
      <w:r>
        <w:rPr>
          <w:rFonts w:hint="eastAsia" w:ascii="宋体" w:hAnsi="宋体" w:eastAsia="宋体" w:cs="Arial"/>
          <w:b/>
          <w:bCs/>
          <w:kern w:val="0"/>
          <w:sz w:val="32"/>
          <w:szCs w:val="32"/>
        </w:rPr>
        <w:t>河海大学校内普通公选课开课目录</w:t>
      </w:r>
    </w:p>
    <w:p>
      <w:pPr>
        <w:jc w:val="center"/>
        <w:rPr>
          <w:rFonts w:hint="eastAsia" w:ascii="宋体" w:hAnsi="宋体" w:eastAsia="宋体" w:cs="Arial"/>
          <w:b/>
          <w:bCs/>
          <w:kern w:val="0"/>
          <w:sz w:val="32"/>
          <w:szCs w:val="32"/>
        </w:rPr>
      </w:pPr>
      <w:r>
        <w:rPr>
          <w:rFonts w:hint="eastAsia" w:ascii="宋体" w:hAnsi="宋体" w:eastAsia="宋体" w:cs="Arial"/>
          <w:b/>
          <w:bCs/>
          <w:kern w:val="0"/>
          <w:sz w:val="32"/>
          <w:szCs w:val="32"/>
        </w:rPr>
        <w:t>（通识选修课/通识通选</w:t>
      </w:r>
      <w:r>
        <w:rPr>
          <w:rFonts w:ascii="宋体" w:hAnsi="宋体" w:eastAsia="宋体" w:cs="Arial"/>
          <w:b/>
          <w:bCs/>
          <w:kern w:val="0"/>
          <w:sz w:val="32"/>
          <w:szCs w:val="32"/>
        </w:rPr>
        <w:t>课</w:t>
      </w:r>
      <w:r>
        <w:rPr>
          <w:rFonts w:hint="eastAsia" w:ascii="宋体" w:hAnsi="宋体" w:eastAsia="宋体" w:cs="Arial"/>
          <w:b/>
          <w:bCs/>
          <w:kern w:val="0"/>
          <w:sz w:val="32"/>
          <w:szCs w:val="32"/>
        </w:rPr>
        <w:t>）</w:t>
      </w:r>
    </w:p>
    <w:p>
      <w:pPr>
        <w:jc w:val="left"/>
        <w:rPr>
          <w:rFonts w:ascii="宋体" w:hAnsi="宋体" w:eastAsia="宋体" w:cs="Arial"/>
          <w:b/>
          <w:bCs/>
          <w:kern w:val="0"/>
          <w:sz w:val="28"/>
          <w:szCs w:val="28"/>
        </w:rPr>
      </w:pPr>
      <w:r>
        <w:rPr>
          <w:rFonts w:hint="eastAsia" w:ascii="宋体" w:hAnsi="宋体" w:eastAsia="宋体" w:cs="Arial"/>
          <w:b/>
          <w:bCs/>
          <w:kern w:val="0"/>
          <w:sz w:val="28"/>
          <w:szCs w:val="28"/>
        </w:rPr>
        <w:t>南京：</w:t>
      </w:r>
    </w:p>
    <w:tbl>
      <w:tblPr>
        <w:tblStyle w:val="11"/>
        <w:tblW w:w="9620" w:type="dxa"/>
        <w:tblInd w:w="0" w:type="dxa"/>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04"/>
        <w:gridCol w:w="1276"/>
        <w:gridCol w:w="3397"/>
        <w:gridCol w:w="1984"/>
        <w:gridCol w:w="993"/>
        <w:gridCol w:w="1266"/>
      </w:tblGrid>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blHeader/>
        </w:trPr>
        <w:tc>
          <w:tcPr>
            <w:tcW w:w="704" w:type="dxa"/>
            <w:tcBorders>
              <w:top w:val="single" w:color="auto" w:sz="8" w:space="0"/>
            </w:tcBorders>
            <w:shd w:val="clear" w:color="auto" w:fill="auto"/>
            <w:vAlign w:val="center"/>
          </w:tcPr>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序号</w:t>
            </w:r>
          </w:p>
        </w:tc>
        <w:tc>
          <w:tcPr>
            <w:tcW w:w="1276" w:type="dxa"/>
            <w:tcBorders>
              <w:top w:val="single" w:color="auto" w:sz="8" w:space="0"/>
            </w:tcBorders>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课程号</w:t>
            </w:r>
          </w:p>
        </w:tc>
        <w:tc>
          <w:tcPr>
            <w:tcW w:w="3397" w:type="dxa"/>
            <w:tcBorders>
              <w:top w:val="single" w:color="auto" w:sz="8" w:space="0"/>
            </w:tcBorders>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课程名</w:t>
            </w:r>
          </w:p>
        </w:tc>
        <w:tc>
          <w:tcPr>
            <w:tcW w:w="1984" w:type="dxa"/>
            <w:tcBorders>
              <w:top w:val="single" w:color="auto" w:sz="8" w:space="0"/>
            </w:tcBorders>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开课院系</w:t>
            </w:r>
          </w:p>
        </w:tc>
        <w:tc>
          <w:tcPr>
            <w:tcW w:w="993" w:type="dxa"/>
            <w:tcBorders>
              <w:top w:val="single" w:color="auto" w:sz="8" w:space="0"/>
            </w:tcBorders>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学分</w:t>
            </w:r>
          </w:p>
        </w:tc>
        <w:tc>
          <w:tcPr>
            <w:tcW w:w="1266" w:type="dxa"/>
            <w:tcBorders>
              <w:top w:val="single" w:color="auto" w:sz="8" w:space="0"/>
            </w:tcBorders>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课程类别</w:t>
            </w: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075910</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数字信息资源检索与利用</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图书馆</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创新创业能力类</w:t>
            </w: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075947</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广告策划实务</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商学院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802994</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供应链管理</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商学院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802996</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漫话市场营销</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商学院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803948</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大学生创业指导</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学生处</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804918</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创业思维与实务</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商学院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809939</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谋取价值增值——战略管理</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商学院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075969</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德语简单会话200句</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外国语学院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跨文化交际能力类</w:t>
            </w: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9</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802950</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快乐日语</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外国语学院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10</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803916</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中西方精英教育漫谈</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公共管理学院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11</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803933</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中英爱情诗比较与赏析</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外国语学院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805917</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国际组织与全球治理</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马克思主义学院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13</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c64H5741</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英美文化概况</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外国语学院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26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14</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075978</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大学与大学精神</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马克思主义学院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社科素养能力类</w:t>
            </w: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15</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802933</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证券投资理论与实务</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商学院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16</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802957</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军事文化概论</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体育系</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17</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803912</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性别与发展</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公共管理学院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18</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803961</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河海校史与文化传承</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图书馆</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社科素养能力类</w:t>
            </w: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19</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803974</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中外大学校园文化研究</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马克思主义学院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805921</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教育学</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马克思主义学院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21</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805926</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习近平法治思想概论</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法学院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22</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803959</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形体训练</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团委</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身心健康能力类</w:t>
            </w: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23</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803980</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拖延心理学</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学生处</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24</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804936</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认识与发展情商</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学生处</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25</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804937</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爱的心理学</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学生处</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26</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804938</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沟通与人际交往</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学生处</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27</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804943</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台风灾害防范与自救</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港口海岸与近海工程学院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28</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805915</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压力管理心理学</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学生处</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29</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805916</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案例漫谈:心理学的一千零一夜</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学生处</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30</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801952</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面试辅导</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学生处</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生涯规划能力类</w:t>
            </w: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31</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801961</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大学生职业规划与就业指导</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学生处</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32</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075980</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礼仪与交往</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马克思主义学院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写作表达能力类</w:t>
            </w: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33</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801943</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毛泽东诗词赏析</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马克思主义学院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34</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802947</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普通话与语言表达</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公共管理学院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35</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803909</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手语入门</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公共管理学院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36</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804919</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即兴口语表达技巧</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公共管理学院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37</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804953</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国际商务礼仪</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商学院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38</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809916</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现代礼仪</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马克思主义学院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0.5</w:t>
            </w:r>
          </w:p>
        </w:tc>
        <w:tc>
          <w:tcPr>
            <w:tcW w:w="126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39</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803982</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石文化与宝玉石鉴赏</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地球科学与工程学院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艺术审美能力类</w:t>
            </w: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40</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074964</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素描</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团委</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艺术审美能力类</w:t>
            </w: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41</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075973</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珠宝鉴赏与珠宝文化</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地球科学与工程学院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42</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076990</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合唱艺术</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团委</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43</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077904</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舞蹈鉴赏</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团委</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44</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800996</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茶文化通识与习茶体验</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综合</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45</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802953</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生命-环境及影视鉴赏</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环境学院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46</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803943</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影视鉴赏</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公共管理学院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47</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803946</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基础音乐理论</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团委</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48</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803958</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影视音乐赏析</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团委</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49</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803983</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旅游地质学与山水文化赏析</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地球科学与工程学院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50</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803988</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声乐演唱</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团委</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51</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803989</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音乐鉴赏</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团委</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52</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804924</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速写</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团委</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53</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804929</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水利景观与建筑美学</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土木与交通学院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54</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805990</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戏剧表演与训练</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团委</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55</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805994</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中国音乐史</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团委</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56</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809904</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中华船文化</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港口海岸与近海工程学院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0.5</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57</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809927</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中国审美文化史</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土木与交通学院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58</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809936</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明式家具欣赏</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土木与交通学院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0.5</w:t>
            </w:r>
          </w:p>
        </w:tc>
        <w:tc>
          <w:tcPr>
            <w:tcW w:w="126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59</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021902</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水利工程概论</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水利水电学院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restart"/>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自科素养能力类</w:t>
            </w:r>
          </w:p>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60</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800991</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水资源与现代水利</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水文水资源学院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61</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802901</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生态学与人类未来</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水利水电学院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62</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802916</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海洋科学发展史</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港口海岸与近海工程学院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自科素养能力类</w:t>
            </w: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63</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802937</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生活中的化学</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环境学院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64</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802974</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水资源危机与保护概论</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水文水资源学院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65</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802980</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水处理理论与技术</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环境学院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66</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803941</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海洋资源开发与管理</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港口海岸与近海工程学院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67</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803968</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材料与人类文明</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材料科学与工程学院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68</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803981</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全球气候变化与水循环</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水文水资源学院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1.5</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69</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803986</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海洋与人类健康</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海洋学院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70</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803990</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海洋与大陆的起源</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海洋学院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71</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803991</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数学精英</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数学学院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72</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804912</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陶瓷艺术</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材料科学与工程学院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73</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804916</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战争、武器与材料</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材料科学与工程学院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804926</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人类与海洋</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港口海岸与近海工程学院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75</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804927</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河口与海岸重大工程解读</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港口海岸与近海工程学院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76</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804940</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人工智能应用于水领域的理论与技术</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水文水资源学院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77</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804942</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大江河口行</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港口海岸与近海工程学院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78</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804944</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由陆地走向海洋的材料奥秘</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港口海岸与近海工程学院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79</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804945</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交通发展前沿</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土木与交通学院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804947</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网络科学漫谈</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人工智能与自动化学院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81</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804950</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数学中的革命</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数学学院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1.5</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82</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804984</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实验室安全基础教育</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综合</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83</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809901</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环境保护与可持续发展</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环境学院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自科素养能力类</w:t>
            </w: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84</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809947</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统计、大数据与生活</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数学学院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none" w:color="auto" w:sz="0"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85</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809950</w:t>
            </w:r>
          </w:p>
        </w:tc>
        <w:tc>
          <w:tcPr>
            <w:tcW w:w="339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走近地下水</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水文水资源学院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66" w:type="dxa"/>
            <w:vMerge w:val="continue"/>
            <w:shd w:val="clear" w:color="auto" w:fill="auto"/>
            <w:vAlign w:val="center"/>
          </w:tcPr>
          <w:p>
            <w:pPr>
              <w:widowControl/>
              <w:jc w:val="center"/>
              <w:rPr>
                <w:rFonts w:hint="eastAsia" w:ascii="宋体" w:hAnsi="宋体" w:eastAsia="宋体" w:cs="宋体"/>
                <w:kern w:val="0"/>
                <w:sz w:val="24"/>
                <w:szCs w:val="24"/>
              </w:rPr>
            </w:pPr>
          </w:p>
        </w:tc>
      </w:tr>
    </w:tbl>
    <w:p>
      <w:pPr>
        <w:jc w:val="left"/>
        <w:rPr>
          <w:rFonts w:ascii="宋体" w:hAnsi="宋体" w:eastAsia="宋体" w:cs="Arial"/>
          <w:b/>
          <w:bCs/>
          <w:kern w:val="0"/>
          <w:sz w:val="28"/>
          <w:szCs w:val="28"/>
        </w:rPr>
      </w:pPr>
    </w:p>
    <w:p>
      <w:pPr>
        <w:jc w:val="left"/>
        <w:rPr>
          <w:rFonts w:ascii="宋体" w:hAnsi="宋体" w:eastAsia="宋体" w:cs="Arial"/>
          <w:b/>
          <w:bCs/>
          <w:kern w:val="0"/>
          <w:sz w:val="28"/>
          <w:szCs w:val="28"/>
        </w:rPr>
      </w:pPr>
      <w:r>
        <w:rPr>
          <w:rFonts w:hint="eastAsia" w:ascii="宋体" w:hAnsi="宋体" w:eastAsia="宋体" w:cs="Arial"/>
          <w:b/>
          <w:bCs/>
          <w:kern w:val="0"/>
          <w:sz w:val="28"/>
          <w:szCs w:val="28"/>
        </w:rPr>
        <w:t>金坛：</w:t>
      </w:r>
    </w:p>
    <w:tbl>
      <w:tblPr>
        <w:tblStyle w:val="11"/>
        <w:tblW w:w="9634"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04"/>
        <w:gridCol w:w="1276"/>
        <w:gridCol w:w="3402"/>
        <w:gridCol w:w="1984"/>
        <w:gridCol w:w="993"/>
        <w:gridCol w:w="127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blHeader/>
        </w:trPr>
        <w:tc>
          <w:tcPr>
            <w:tcW w:w="704" w:type="dxa"/>
            <w:shd w:val="clear" w:color="auto" w:fill="auto"/>
            <w:vAlign w:val="center"/>
          </w:tcPr>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序号</w:t>
            </w:r>
          </w:p>
        </w:tc>
        <w:tc>
          <w:tcPr>
            <w:tcW w:w="1276" w:type="dxa"/>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课程号</w:t>
            </w:r>
          </w:p>
        </w:tc>
        <w:tc>
          <w:tcPr>
            <w:tcW w:w="3402" w:type="dxa"/>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课程名</w:t>
            </w:r>
          </w:p>
        </w:tc>
        <w:tc>
          <w:tcPr>
            <w:tcW w:w="1984" w:type="dxa"/>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开课院系</w:t>
            </w:r>
          </w:p>
        </w:tc>
        <w:tc>
          <w:tcPr>
            <w:tcW w:w="993" w:type="dxa"/>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学分</w:t>
            </w:r>
          </w:p>
        </w:tc>
        <w:tc>
          <w:tcPr>
            <w:tcW w:w="1275" w:type="dxa"/>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课程类别</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804986</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创新工程实践</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力学与工程科学学院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1275"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创新创业能力类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802950</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快乐日语</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外国语学院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275"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跨文化交际能力类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803955</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国外名著影视欣赏与影评写作</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外国语学院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275"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2"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803956</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英文作品中的“孤独”</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外国语学院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c64H0326</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商务英语入门</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外国语学院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275"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c64H0327</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俄英双语（初级）</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外国语学院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275"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c64H5741</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英美文化概况</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外国语学院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275"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c67A0174</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游泳(蛙泳)</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体育系</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身心健康能力类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9</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c67A0243</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入门瑜伽</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体育系</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10</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c67A0271</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网球初级班</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体育系</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11</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c67A0283</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游泳(自由泳)</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体育系</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c67A0412</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足球提高班</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体育系</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13</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c67A5756</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交谊舞</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体育系</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14</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801992</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传染病的文化史及如何预防传染病</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校医院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15</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804937</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爱的心理学</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学生处</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16</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801952</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面试辅导</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学生处</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生涯规划能力类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17</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801961</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大学生职业规划与就业指导</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学生处</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18</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c64H3045</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英语口语</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外国语学院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275"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写作表达能力类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19</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805927</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环境保护</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环境学院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自科素养能力类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c66N0757</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物理思维与方法</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力学与工程科学学院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70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21</w:t>
            </w:r>
          </w:p>
        </w:tc>
        <w:tc>
          <w:tcPr>
            <w:tcW w:w="127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804906</w:t>
            </w:r>
          </w:p>
        </w:tc>
        <w:tc>
          <w:tcPr>
            <w:tcW w:w="3402"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地球表层关键带与水文科学</w:t>
            </w:r>
          </w:p>
        </w:tc>
        <w:tc>
          <w:tcPr>
            <w:tcW w:w="1984"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水文水资源学院</w:t>
            </w:r>
          </w:p>
        </w:tc>
        <w:tc>
          <w:tcPr>
            <w:tcW w:w="993"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75" w:type="dxa"/>
            <w:vMerge w:val="continue"/>
            <w:shd w:val="clear" w:color="auto" w:fill="auto"/>
            <w:vAlign w:val="center"/>
          </w:tcPr>
          <w:p>
            <w:pPr>
              <w:widowControl/>
              <w:jc w:val="center"/>
              <w:rPr>
                <w:rFonts w:hint="eastAsia" w:ascii="宋体" w:hAnsi="宋体" w:eastAsia="宋体" w:cs="宋体"/>
                <w:kern w:val="0"/>
                <w:sz w:val="24"/>
                <w:szCs w:val="24"/>
              </w:rPr>
            </w:pPr>
          </w:p>
        </w:tc>
      </w:tr>
    </w:tbl>
    <w:p>
      <w:pPr>
        <w:jc w:val="left"/>
        <w:rPr>
          <w:rFonts w:ascii="宋体" w:hAnsi="宋体" w:eastAsia="宋体" w:cs="Arial"/>
          <w:b/>
          <w:bCs/>
          <w:kern w:val="0"/>
          <w:sz w:val="28"/>
          <w:szCs w:val="28"/>
        </w:rPr>
      </w:pPr>
    </w:p>
    <w:p>
      <w:pPr>
        <w:jc w:val="left"/>
        <w:rPr>
          <w:rFonts w:ascii="宋体" w:hAnsi="宋体" w:eastAsia="宋体" w:cs="Arial"/>
          <w:b/>
          <w:bCs/>
          <w:kern w:val="0"/>
          <w:sz w:val="28"/>
          <w:szCs w:val="28"/>
        </w:rPr>
      </w:pPr>
    </w:p>
    <w:p>
      <w:pPr>
        <w:jc w:val="left"/>
        <w:rPr>
          <w:rFonts w:ascii="宋体" w:hAnsi="宋体" w:eastAsia="宋体" w:cs="Arial"/>
          <w:b/>
          <w:bCs/>
          <w:kern w:val="0"/>
          <w:sz w:val="28"/>
          <w:szCs w:val="28"/>
        </w:rPr>
      </w:pPr>
    </w:p>
    <w:p>
      <w:pPr>
        <w:jc w:val="left"/>
        <w:rPr>
          <w:rFonts w:ascii="宋体" w:hAnsi="宋体" w:eastAsia="宋体" w:cs="Arial"/>
          <w:b/>
          <w:bCs/>
          <w:kern w:val="0"/>
          <w:sz w:val="28"/>
          <w:szCs w:val="28"/>
        </w:rPr>
      </w:pPr>
    </w:p>
    <w:p>
      <w:pPr>
        <w:jc w:val="left"/>
        <w:rPr>
          <w:rFonts w:ascii="宋体" w:hAnsi="宋体" w:eastAsia="宋体" w:cs="Arial"/>
          <w:b/>
          <w:bCs/>
          <w:kern w:val="0"/>
          <w:sz w:val="28"/>
          <w:szCs w:val="28"/>
        </w:rPr>
      </w:pPr>
    </w:p>
    <w:p>
      <w:pPr>
        <w:jc w:val="left"/>
        <w:rPr>
          <w:rFonts w:ascii="宋体" w:hAnsi="宋体" w:eastAsia="宋体" w:cs="Arial"/>
          <w:b/>
          <w:bCs/>
          <w:kern w:val="0"/>
          <w:sz w:val="28"/>
          <w:szCs w:val="28"/>
        </w:rPr>
      </w:pPr>
    </w:p>
    <w:p>
      <w:pPr>
        <w:jc w:val="left"/>
        <w:rPr>
          <w:rFonts w:hint="eastAsia" w:ascii="宋体" w:hAnsi="宋体" w:eastAsia="宋体" w:cs="Arial"/>
          <w:b/>
          <w:bCs/>
          <w:kern w:val="0"/>
          <w:sz w:val="28"/>
          <w:szCs w:val="28"/>
        </w:rPr>
      </w:pPr>
    </w:p>
    <w:p>
      <w:pPr>
        <w:jc w:val="left"/>
        <w:rPr>
          <w:rFonts w:ascii="宋体" w:hAnsi="宋体" w:eastAsia="宋体" w:cs="Arial"/>
          <w:b/>
          <w:bCs/>
          <w:kern w:val="0"/>
          <w:sz w:val="28"/>
          <w:szCs w:val="28"/>
        </w:rPr>
      </w:pPr>
    </w:p>
    <w:p>
      <w:pPr>
        <w:widowControl/>
        <w:jc w:val="left"/>
        <w:rPr>
          <w:sz w:val="32"/>
          <w:szCs w:val="32"/>
        </w:rPr>
      </w:pPr>
    </w:p>
    <w:p>
      <w:pPr>
        <w:widowControl/>
        <w:jc w:val="left"/>
        <w:rPr>
          <w:sz w:val="32"/>
          <w:szCs w:val="32"/>
        </w:rPr>
      </w:pPr>
    </w:p>
    <w:p>
      <w:pPr>
        <w:widowControl/>
        <w:jc w:val="left"/>
        <w:rPr>
          <w:sz w:val="32"/>
          <w:szCs w:val="32"/>
        </w:rPr>
      </w:pPr>
    </w:p>
    <w:p>
      <w:pPr>
        <w:widowControl/>
        <w:jc w:val="left"/>
        <w:rPr>
          <w:sz w:val="32"/>
          <w:szCs w:val="32"/>
        </w:rPr>
      </w:pPr>
    </w:p>
    <w:p>
      <w:pPr>
        <w:widowControl/>
        <w:jc w:val="left"/>
        <w:rPr>
          <w:sz w:val="32"/>
          <w:szCs w:val="32"/>
        </w:rPr>
      </w:pPr>
    </w:p>
    <w:p>
      <w:pPr>
        <w:widowControl/>
        <w:jc w:val="left"/>
        <w:rPr>
          <w:sz w:val="32"/>
          <w:szCs w:val="32"/>
        </w:rPr>
      </w:pPr>
    </w:p>
    <w:p>
      <w:pPr>
        <w:widowControl/>
        <w:jc w:val="left"/>
        <w:rPr>
          <w:sz w:val="32"/>
          <w:szCs w:val="32"/>
        </w:rPr>
      </w:pPr>
    </w:p>
    <w:p>
      <w:pPr>
        <w:widowControl/>
        <w:jc w:val="left"/>
        <w:rPr>
          <w:sz w:val="32"/>
          <w:szCs w:val="32"/>
        </w:rPr>
      </w:pPr>
    </w:p>
    <w:p>
      <w:pPr>
        <w:widowControl/>
        <w:jc w:val="left"/>
        <w:rPr>
          <w:rFonts w:hint="eastAsia"/>
          <w:sz w:val="32"/>
          <w:szCs w:val="32"/>
        </w:rPr>
      </w:pPr>
    </w:p>
    <w:p>
      <w:pPr>
        <w:widowControl/>
        <w:jc w:val="left"/>
        <w:rPr>
          <w:sz w:val="32"/>
          <w:szCs w:val="32"/>
        </w:rPr>
      </w:pPr>
      <w:r>
        <w:rPr>
          <w:rFonts w:hint="eastAsia"/>
          <w:sz w:val="32"/>
          <w:szCs w:val="32"/>
        </w:rPr>
        <w:t>附件</w:t>
      </w:r>
      <w:r>
        <w:rPr>
          <w:sz w:val="32"/>
          <w:szCs w:val="32"/>
        </w:rPr>
        <w:t>2:</w:t>
      </w:r>
    </w:p>
    <w:p>
      <w:pPr>
        <w:jc w:val="center"/>
        <w:rPr>
          <w:rFonts w:ascii="宋体" w:hAnsi="宋体" w:eastAsia="宋体" w:cs="Arial"/>
          <w:b/>
          <w:bCs/>
          <w:kern w:val="0"/>
          <w:sz w:val="32"/>
          <w:szCs w:val="32"/>
        </w:rPr>
      </w:pPr>
      <w:r>
        <w:rPr>
          <w:rFonts w:hint="eastAsia" w:ascii="宋体" w:hAnsi="宋体" w:eastAsia="宋体" w:cs="Arial"/>
          <w:b/>
          <w:bCs/>
          <w:kern w:val="0"/>
          <w:sz w:val="32"/>
          <w:szCs w:val="32"/>
        </w:rPr>
        <w:t>河海大学网络视频课开课目录</w:t>
      </w:r>
    </w:p>
    <w:p>
      <w:pPr>
        <w:jc w:val="center"/>
        <w:rPr>
          <w:rFonts w:ascii="宋体" w:hAnsi="宋体" w:eastAsia="宋体" w:cs="Arial"/>
          <w:b/>
          <w:bCs/>
          <w:kern w:val="0"/>
          <w:sz w:val="32"/>
          <w:szCs w:val="32"/>
        </w:rPr>
      </w:pPr>
      <w:r>
        <w:rPr>
          <w:rFonts w:hint="eastAsia" w:ascii="宋体" w:hAnsi="宋体" w:eastAsia="宋体" w:cs="Arial"/>
          <w:b/>
          <w:bCs/>
          <w:kern w:val="0"/>
          <w:sz w:val="32"/>
          <w:szCs w:val="32"/>
        </w:rPr>
        <w:t>（通识选修课/通识通选</w:t>
      </w:r>
      <w:r>
        <w:rPr>
          <w:rFonts w:ascii="宋体" w:hAnsi="宋体" w:eastAsia="宋体" w:cs="Arial"/>
          <w:b/>
          <w:bCs/>
          <w:kern w:val="0"/>
          <w:sz w:val="32"/>
          <w:szCs w:val="32"/>
        </w:rPr>
        <w:t>课</w:t>
      </w:r>
      <w:r>
        <w:rPr>
          <w:rFonts w:hint="eastAsia" w:ascii="宋体" w:hAnsi="宋体" w:eastAsia="宋体" w:cs="Arial"/>
          <w:b/>
          <w:bCs/>
          <w:kern w:val="0"/>
          <w:sz w:val="32"/>
          <w:szCs w:val="32"/>
        </w:rPr>
        <w:t>）</w:t>
      </w:r>
    </w:p>
    <w:p>
      <w:pPr>
        <w:jc w:val="left"/>
        <w:rPr>
          <w:rFonts w:hint="eastAsia" w:ascii="宋体" w:hAnsi="宋体" w:eastAsia="宋体" w:cs="Arial"/>
          <w:b/>
          <w:bCs/>
          <w:kern w:val="0"/>
          <w:sz w:val="32"/>
          <w:szCs w:val="32"/>
        </w:rPr>
      </w:pPr>
    </w:p>
    <w:tbl>
      <w:tblPr>
        <w:tblStyle w:val="11"/>
        <w:tblW w:w="9040"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41"/>
        <w:gridCol w:w="1417"/>
        <w:gridCol w:w="3686"/>
        <w:gridCol w:w="850"/>
        <w:gridCol w:w="224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blHeader/>
        </w:trPr>
        <w:tc>
          <w:tcPr>
            <w:tcW w:w="841" w:type="dxa"/>
            <w:shd w:val="clear" w:color="auto" w:fill="auto"/>
            <w:vAlign w:val="center"/>
          </w:tcPr>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序号</w:t>
            </w:r>
          </w:p>
        </w:tc>
        <w:tc>
          <w:tcPr>
            <w:tcW w:w="1417" w:type="dxa"/>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课程号</w:t>
            </w:r>
          </w:p>
        </w:tc>
        <w:tc>
          <w:tcPr>
            <w:tcW w:w="3686" w:type="dxa"/>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课程名</w:t>
            </w:r>
          </w:p>
        </w:tc>
        <w:tc>
          <w:tcPr>
            <w:tcW w:w="850" w:type="dxa"/>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学分</w:t>
            </w:r>
          </w:p>
        </w:tc>
        <w:tc>
          <w:tcPr>
            <w:tcW w:w="2246" w:type="dxa"/>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课程类别</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800918</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商业计划书制作与演示</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创新创业能力类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800920</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创新思维训练</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800921</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创新创业大赛赛前特训</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800935</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走进创业</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804973</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批判与创意思考</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804974</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创新创业实战</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805902</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脑洞大开背后的创新思维</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800910</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东南亚文化</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跨文化交际能力类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9</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804975</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丝绸之路上的民族</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10</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804976</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海上丝绸之路</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11</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804977</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阿拉伯世界的历史、现状与前景</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804978</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拉美文化</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13</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804979</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走进东盟</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14</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805903</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中西文化比较</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跨文化交际能力类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15</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800947</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《孙子兵法》与执政艺术</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社科素养能力类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16</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800948</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组织行为学</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17</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804965</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纷争的年代：二十世纪西方思想文化潮流</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18</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804966</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对话诺奖大师</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19</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804967</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现代市场营销素质与能力提升</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804969</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媒体创意经济：玩转互联网时代</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21</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804970</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人人学点营销学</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22</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804971</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中国历史人文地理（上）</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23</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804972</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中国历史人文地理（下）</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24</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805900</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社会科学方法论</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25</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805901</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语言与文化</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26</w:t>
            </w:r>
          </w:p>
        </w:tc>
        <w:tc>
          <w:tcPr>
            <w:tcW w:w="1417" w:type="dxa"/>
            <w:shd w:val="clear" w:color="auto" w:fill="auto"/>
            <w:vAlign w:val="center"/>
          </w:tcPr>
          <w:p>
            <w:pPr>
              <w:widowControl/>
              <w:jc w:val="center"/>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800951</w:t>
            </w:r>
          </w:p>
        </w:tc>
        <w:tc>
          <w:tcPr>
            <w:tcW w:w="3686" w:type="dxa"/>
            <w:shd w:val="clear" w:color="auto" w:fill="auto"/>
            <w:vAlign w:val="center"/>
          </w:tcPr>
          <w:p>
            <w:pPr>
              <w:widowControl/>
              <w:jc w:val="center"/>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当代大学生国家安全教育</w:t>
            </w:r>
          </w:p>
        </w:tc>
        <w:tc>
          <w:tcPr>
            <w:tcW w:w="850" w:type="dxa"/>
            <w:shd w:val="clear" w:color="auto" w:fill="auto"/>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224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身心健康能力类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27</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cTS19920</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突发事件及自救互救（尔雅视频课程）</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28</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804981</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不负卿春-大学生职业生涯规划</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生涯规划能力类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29</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804982</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大学生就业指导</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30</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804955</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应用文写作</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写作表达能力类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31</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804956</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公文写作规范</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32</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804957</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论文写作初阶</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33</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804958</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大学生魅力讲话实操</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34</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804983</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学术基本要素：专业论文写作</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35</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804994</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高级英语写作</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36</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804995</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英语演讲技巧与实训</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37</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800902</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音乐鉴赏</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艺术审美能力类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38</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800903</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书法鉴赏</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39</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800904</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美术鉴赏</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40</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800907</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世界建筑史</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41</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800908</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漫画艺术欣赏与创作</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42</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800943</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艺术鉴赏</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43</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804996</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中华诗词之美</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44</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804997</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艺术哲学：美是如何诞生的</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45</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cTS192004</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戏剧鉴赏(尔雅视频课程)</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widowControl/>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46</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cTS192005</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戏曲鉴赏(尔雅视频课程)</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艺术审美能力类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47</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800946</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食品营养与食品安全</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restart"/>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自科素养能力类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48</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804959</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生态文明——撑起美丽中国梦</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49</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804960</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工程伦理</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50</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804961</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《植物知道生命的答案》导读</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51</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804962</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基因与人</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52</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804963</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航空与航天</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53</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804964</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能源中国</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54</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804998</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大数据算法</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55</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804999</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数学的奥秘：本质与思维</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56</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cTS013B101</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魅力科学（尔雅视频课程）</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jc w:val="center"/>
              <w:rPr>
                <w:rFonts w:hint="eastAsia" w:ascii="宋体" w:hAnsi="宋体" w:eastAsia="宋体" w:cs="宋体"/>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5" w:hRule="atLeast"/>
        </w:trPr>
        <w:tc>
          <w:tcPr>
            <w:tcW w:w="841"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57</w:t>
            </w:r>
          </w:p>
        </w:tc>
        <w:tc>
          <w:tcPr>
            <w:tcW w:w="1417"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cTS192006</w:t>
            </w:r>
          </w:p>
        </w:tc>
        <w:tc>
          <w:tcPr>
            <w:tcW w:w="3686"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人工智能(尔雅视频课程)</w:t>
            </w:r>
          </w:p>
        </w:tc>
        <w:tc>
          <w:tcPr>
            <w:tcW w:w="850" w:type="dxa"/>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246" w:type="dxa"/>
            <w:vMerge w:val="continue"/>
            <w:shd w:val="clear" w:color="auto" w:fill="auto"/>
            <w:vAlign w:val="center"/>
          </w:tcPr>
          <w:p>
            <w:pPr>
              <w:widowControl/>
              <w:jc w:val="center"/>
              <w:rPr>
                <w:rFonts w:hint="eastAsia" w:ascii="宋体" w:hAnsi="宋体" w:eastAsia="宋体" w:cs="宋体"/>
                <w:kern w:val="0"/>
                <w:sz w:val="24"/>
                <w:szCs w:val="24"/>
              </w:rPr>
            </w:pPr>
          </w:p>
        </w:tc>
      </w:tr>
    </w:tbl>
    <w:p>
      <w:pPr>
        <w:jc w:val="center"/>
        <w:rPr>
          <w:rFonts w:ascii="宋体" w:hAnsi="宋体" w:eastAsia="宋体" w:cs="Arial"/>
          <w:b/>
          <w:bCs/>
          <w:kern w:val="0"/>
          <w:sz w:val="32"/>
          <w:szCs w:val="32"/>
        </w:rPr>
      </w:pPr>
    </w:p>
    <w:p>
      <w:pPr>
        <w:jc w:val="center"/>
        <w:rPr>
          <w:rFonts w:ascii="宋体" w:hAnsi="宋体" w:eastAsia="宋体" w:cs="Arial"/>
          <w:b/>
          <w:bCs/>
          <w:kern w:val="0"/>
          <w:sz w:val="32"/>
          <w:szCs w:val="32"/>
        </w:rPr>
      </w:pPr>
    </w:p>
    <w:p>
      <w:pPr>
        <w:jc w:val="center"/>
        <w:rPr>
          <w:rFonts w:ascii="宋体" w:hAnsi="宋体" w:eastAsia="宋体" w:cs="Arial"/>
          <w:b/>
          <w:bCs/>
          <w:kern w:val="0"/>
          <w:sz w:val="32"/>
          <w:szCs w:val="32"/>
        </w:rPr>
      </w:pPr>
    </w:p>
    <w:p>
      <w:pPr>
        <w:jc w:val="center"/>
        <w:rPr>
          <w:rFonts w:ascii="宋体" w:hAnsi="宋体" w:eastAsia="宋体" w:cs="Arial"/>
          <w:b/>
          <w:bCs/>
          <w:kern w:val="0"/>
          <w:sz w:val="32"/>
          <w:szCs w:val="32"/>
        </w:rPr>
      </w:pPr>
    </w:p>
    <w:p>
      <w:pPr>
        <w:jc w:val="center"/>
        <w:rPr>
          <w:rFonts w:ascii="宋体" w:hAnsi="宋体" w:eastAsia="宋体" w:cs="Arial"/>
          <w:b/>
          <w:bCs/>
          <w:kern w:val="0"/>
          <w:sz w:val="32"/>
          <w:szCs w:val="32"/>
        </w:rPr>
      </w:pPr>
    </w:p>
    <w:p>
      <w:pPr>
        <w:widowControl/>
        <w:adjustRightInd w:val="0"/>
        <w:snapToGrid w:val="0"/>
        <w:spacing w:line="560" w:lineRule="exact"/>
        <w:rPr>
          <w:rFonts w:eastAsia="黑体"/>
          <w:kern w:val="0"/>
          <w:sz w:val="32"/>
          <w:szCs w:val="32"/>
        </w:rPr>
      </w:pPr>
      <w:r>
        <w:rPr>
          <w:rFonts w:eastAsia="黑体"/>
          <w:kern w:val="0"/>
          <w:sz w:val="32"/>
          <w:szCs w:val="32"/>
        </w:rPr>
        <w:t>附件3</w:t>
      </w:r>
      <w:r>
        <w:rPr>
          <w:rFonts w:hint="eastAsia" w:eastAsia="黑体"/>
          <w:kern w:val="0"/>
          <w:sz w:val="32"/>
          <w:szCs w:val="32"/>
        </w:rPr>
        <w:t>：</w:t>
      </w:r>
    </w:p>
    <w:p>
      <w:pPr>
        <w:jc w:val="center"/>
        <w:rPr>
          <w:rFonts w:ascii="仿宋_GB2312" w:hAnsi="宋体" w:eastAsia="仿宋_GB2312"/>
          <w:b/>
          <w:sz w:val="44"/>
          <w:szCs w:val="44"/>
        </w:rPr>
      </w:pPr>
      <w:r>
        <w:rPr>
          <w:rFonts w:hint="eastAsia" w:ascii="黑体" w:hAnsi="黑体" w:eastAsia="黑体" w:cs="黑体"/>
          <w:b/>
          <w:bCs/>
          <w:kern w:val="0"/>
          <w:sz w:val="32"/>
          <w:szCs w:val="32"/>
        </w:rPr>
        <w:t>河海大学本科生选课指南</w:t>
      </w:r>
    </w:p>
    <w:p>
      <w:pPr>
        <w:pStyle w:val="23"/>
        <w:numPr>
          <w:ilvl w:val="0"/>
          <w:numId w:val="1"/>
        </w:numPr>
        <w:ind w:firstLineChars="0"/>
        <w:jc w:val="left"/>
        <w:rPr>
          <w:rFonts w:ascii="宋体" w:hAnsi="宋体" w:cs="宋体"/>
          <w:sz w:val="28"/>
          <w:szCs w:val="28"/>
        </w:rPr>
      </w:pPr>
      <w:r>
        <w:rPr>
          <w:rFonts w:hint="eastAsia" w:ascii="宋体" w:hAnsi="宋体" w:cs="宋体"/>
          <w:sz w:val="28"/>
          <w:szCs w:val="28"/>
        </w:rPr>
        <w:t>登录教务系统</w:t>
      </w:r>
    </w:p>
    <w:p>
      <w:pPr>
        <w:pStyle w:val="23"/>
        <w:ind w:left="720" w:firstLine="0" w:firstLineChars="0"/>
        <w:jc w:val="left"/>
        <w:rPr>
          <w:rFonts w:ascii="宋体" w:hAnsi="宋体" w:cs="宋体"/>
          <w:b/>
          <w:sz w:val="28"/>
          <w:szCs w:val="28"/>
        </w:rPr>
      </w:pPr>
      <w:r>
        <w:rPr>
          <w:rFonts w:hint="eastAsia" w:ascii="宋体" w:hAnsi="宋体" w:cs="宋体"/>
          <w:b/>
          <w:sz w:val="28"/>
          <w:szCs w:val="28"/>
          <w:highlight w:val="yellow"/>
        </w:rPr>
        <w:t>建议</w:t>
      </w:r>
      <w:r>
        <w:rPr>
          <w:rFonts w:ascii="宋体" w:hAnsi="宋体" w:cs="宋体"/>
          <w:b/>
          <w:sz w:val="28"/>
          <w:szCs w:val="28"/>
          <w:highlight w:val="yellow"/>
        </w:rPr>
        <w:t>学生使用PC机登录教务系统选课</w:t>
      </w:r>
      <w:r>
        <w:rPr>
          <w:rFonts w:hint="eastAsia" w:ascii="宋体" w:hAnsi="宋体" w:cs="宋体"/>
          <w:b/>
          <w:sz w:val="28"/>
          <w:szCs w:val="28"/>
          <w:highlight w:val="yellow"/>
        </w:rPr>
        <w:t>！</w:t>
      </w:r>
    </w:p>
    <w:p>
      <w:pPr>
        <w:rPr>
          <w:rFonts w:ascii="仿宋" w:hAnsi="仿宋" w:eastAsia="仿宋" w:cs="仿宋"/>
          <w:b/>
          <w:sz w:val="28"/>
          <w:szCs w:val="28"/>
        </w:rPr>
      </w:pPr>
      <w:r>
        <w:rPr>
          <w:rFonts w:hint="eastAsia" w:ascii="仿宋" w:hAnsi="仿宋" w:eastAsia="仿宋" w:cs="仿宋"/>
          <w:b/>
          <w:sz w:val="28"/>
          <w:szCs w:val="28"/>
        </w:rPr>
        <w:t>方法一：</w:t>
      </w:r>
    </w:p>
    <w:p>
      <w:pPr>
        <w:ind w:firstLine="420"/>
        <w:rPr>
          <w:rFonts w:ascii="仿宋" w:hAnsi="仿宋" w:eastAsia="仿宋" w:cs="仿宋"/>
          <w:b/>
          <w:sz w:val="28"/>
          <w:szCs w:val="28"/>
        </w:rPr>
      </w:pPr>
      <w:r>
        <w:rPr>
          <w:rFonts w:hint="eastAsia" w:ascii="仿宋" w:hAnsi="仿宋" w:eastAsia="仿宋" w:cs="仿宋"/>
          <w:b/>
          <w:sz w:val="28"/>
          <w:szCs w:val="28"/>
          <w:highlight w:val="yellow"/>
        </w:rPr>
        <w:t>特别提醒：此通道进入教务系统只在选课阶段开放，选课结束后学生仍通过学校信息门户登录教务系统</w:t>
      </w:r>
    </w:p>
    <w:p>
      <w:pPr>
        <w:ind w:firstLine="420"/>
        <w:jc w:val="left"/>
        <w:rPr>
          <w:rFonts w:ascii="宋体" w:hAnsi="宋体" w:cs="宋体"/>
          <w:kern w:val="0"/>
          <w:sz w:val="28"/>
          <w:szCs w:val="28"/>
        </w:rPr>
      </w:pPr>
      <w:r>
        <w:rPr>
          <w:rFonts w:hint="eastAsia" w:ascii="宋体" w:hAnsi="宋体" w:cs="宋体"/>
          <w:sz w:val="28"/>
          <w:szCs w:val="28"/>
        </w:rPr>
        <w:t>使用谷歌、火狐或360极速版浏览器，</w:t>
      </w:r>
      <w:r>
        <w:rPr>
          <w:rFonts w:hint="eastAsia" w:ascii="宋体" w:hAnsi="宋体" w:cs="宋体"/>
          <w:kern w:val="0"/>
          <w:sz w:val="28"/>
          <w:szCs w:val="28"/>
        </w:rPr>
        <w:t>输入域名：jwxt.hhu.edu.cn/jsxsd登录教务系统，如图1-1。其中账号为：学号，初始密码为：学号@Hhdx。第一次登录教务系统须完善个人信息，如图1-5。</w:t>
      </w:r>
    </w:p>
    <w:p>
      <w:pPr>
        <w:ind w:firstLine="420"/>
        <w:jc w:val="left"/>
        <w:rPr>
          <w:rFonts w:ascii="仿宋" w:hAnsi="仿宋" w:eastAsia="仿宋" w:cs="宋体"/>
          <w:kern w:val="0"/>
          <w:sz w:val="28"/>
          <w:szCs w:val="28"/>
        </w:rPr>
      </w:pPr>
      <w:r>
        <w:rPr>
          <w:rFonts w:ascii="仿宋" w:hAnsi="仿宋" w:eastAsia="仿宋" w:cs="宋体"/>
          <w:kern w:val="0"/>
          <w:sz w:val="28"/>
          <w:szCs w:val="28"/>
        </w:rPr>
        <w:drawing>
          <wp:inline distT="0" distB="0" distL="0" distR="0">
            <wp:extent cx="5759450" cy="3828415"/>
            <wp:effectExtent l="0" t="0" r="12700" b="6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5" cstate="print"/>
                    <a:srcRect/>
                    <a:stretch>
                      <a:fillRect/>
                    </a:stretch>
                  </pic:blipFill>
                  <pic:spPr>
                    <a:xfrm>
                      <a:off x="0" y="0"/>
                      <a:ext cx="5759450" cy="3828531"/>
                    </a:xfrm>
                    <a:prstGeom prst="rect">
                      <a:avLst/>
                    </a:prstGeom>
                    <a:noFill/>
                    <a:ln w="9525">
                      <a:noFill/>
                      <a:miter lim="800000"/>
                      <a:headEnd/>
                      <a:tailEnd/>
                    </a:ln>
                  </pic:spPr>
                </pic:pic>
              </a:graphicData>
            </a:graphic>
          </wp:inline>
        </w:drawing>
      </w:r>
    </w:p>
    <w:p>
      <w:pPr>
        <w:jc w:val="center"/>
        <w:rPr>
          <w:rFonts w:ascii="仿宋" w:hAnsi="仿宋" w:eastAsia="仿宋" w:cs="仿宋"/>
          <w:b/>
          <w:sz w:val="28"/>
          <w:szCs w:val="28"/>
        </w:rPr>
      </w:pPr>
      <w:r>
        <w:rPr>
          <w:rFonts w:hint="eastAsia" w:ascii="宋体" w:hAnsi="宋体" w:cs="宋体"/>
          <w:kern w:val="0"/>
          <w:sz w:val="28"/>
          <w:szCs w:val="28"/>
        </w:rPr>
        <w:t>图1-1</w:t>
      </w:r>
    </w:p>
    <w:p>
      <w:pPr>
        <w:ind w:firstLine="560" w:firstLineChars="200"/>
        <w:jc w:val="left"/>
        <w:rPr>
          <w:rFonts w:ascii="宋体" w:hAnsi="宋体" w:cs="宋体"/>
          <w:sz w:val="28"/>
          <w:szCs w:val="28"/>
        </w:rPr>
      </w:pPr>
    </w:p>
    <w:p>
      <w:pPr>
        <w:ind w:firstLine="560" w:firstLineChars="200"/>
        <w:jc w:val="left"/>
        <w:rPr>
          <w:rFonts w:ascii="宋体" w:hAnsi="宋体" w:cs="宋体"/>
          <w:sz w:val="28"/>
          <w:szCs w:val="28"/>
        </w:rPr>
      </w:pPr>
      <w:r>
        <w:rPr>
          <w:rFonts w:hint="eastAsia" w:ascii="宋体" w:hAnsi="宋体" w:cs="宋体"/>
          <w:sz w:val="28"/>
          <w:szCs w:val="28"/>
        </w:rPr>
        <w:t>方法二：</w:t>
      </w:r>
    </w:p>
    <w:p>
      <w:pPr>
        <w:ind w:firstLine="560" w:firstLineChars="200"/>
        <w:jc w:val="left"/>
        <w:rPr>
          <w:rFonts w:ascii="仿宋" w:hAnsi="仿宋" w:eastAsia="仿宋" w:cs="宋体"/>
          <w:kern w:val="0"/>
          <w:sz w:val="28"/>
          <w:szCs w:val="28"/>
        </w:rPr>
      </w:pPr>
      <w:r>
        <w:rPr>
          <w:rFonts w:hint="eastAsia" w:ascii="宋体" w:hAnsi="宋体" w:cs="宋体"/>
          <w:sz w:val="28"/>
          <w:szCs w:val="28"/>
        </w:rPr>
        <w:t>使用谷歌、火狐或360极速版浏览器，</w:t>
      </w:r>
      <w:r>
        <w:rPr>
          <w:rFonts w:hint="eastAsia" w:ascii="宋体" w:hAnsi="宋体" w:cs="宋体"/>
          <w:kern w:val="0"/>
          <w:sz w:val="28"/>
          <w:szCs w:val="28"/>
        </w:rPr>
        <w:t>输入域名：my.hhu.edu.cn登录河海大学信息门户，如图1-2。</w:t>
      </w:r>
    </w:p>
    <w:p>
      <w:pPr>
        <w:jc w:val="center"/>
        <w:rPr>
          <w:rFonts w:ascii="仿宋" w:hAnsi="仿宋" w:eastAsia="仿宋" w:cs="宋体"/>
          <w:kern w:val="0"/>
          <w:sz w:val="28"/>
          <w:szCs w:val="28"/>
        </w:rPr>
      </w:pPr>
      <w:r>
        <w:drawing>
          <wp:inline distT="0" distB="0" distL="0" distR="0">
            <wp:extent cx="5939790" cy="2574925"/>
            <wp:effectExtent l="0" t="0" r="3810" b="15875"/>
            <wp:docPr id="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5"/>
                    <pic:cNvPicPr>
                      <a:picLocks noChangeAspect="1" noChangeArrowheads="1"/>
                    </pic:cNvPicPr>
                  </pic:nvPicPr>
                  <pic:blipFill>
                    <a:blip r:embed="rId6" cstate="print">
                      <a:extLst>
                        <a:ext uri="{28A0092B-C50C-407E-A947-70E740481C1C}">
                          <a14:useLocalDpi xmlns:a14="http://schemas.microsoft.com/office/drawing/2010/main" val="0"/>
                        </a:ext>
                      </a:extLst>
                    </a:blip>
                    <a:srcRect t="15083" b="2002"/>
                    <a:stretch>
                      <a:fillRect/>
                    </a:stretch>
                  </pic:blipFill>
                  <pic:spPr>
                    <a:xfrm>
                      <a:off x="0" y="0"/>
                      <a:ext cx="5939790" cy="2574925"/>
                    </a:xfrm>
                    <a:prstGeom prst="rect">
                      <a:avLst/>
                    </a:prstGeom>
                    <a:noFill/>
                    <a:ln>
                      <a:noFill/>
                    </a:ln>
                  </pic:spPr>
                </pic:pic>
              </a:graphicData>
            </a:graphic>
          </wp:inline>
        </w:drawing>
      </w:r>
    </w:p>
    <w:p>
      <w:pPr>
        <w:jc w:val="center"/>
        <w:rPr>
          <w:rFonts w:ascii="宋体" w:hAnsi="宋体" w:cs="宋体"/>
          <w:kern w:val="0"/>
          <w:szCs w:val="21"/>
        </w:rPr>
      </w:pPr>
      <w:r>
        <w:rPr>
          <w:rFonts w:hint="eastAsia" w:ascii="宋体" w:hAnsi="宋体" w:cs="宋体"/>
          <w:kern w:val="0"/>
          <w:szCs w:val="21"/>
        </w:rPr>
        <w:t>图1-2</w:t>
      </w:r>
    </w:p>
    <w:p>
      <w:pPr>
        <w:ind w:firstLine="560" w:firstLineChars="200"/>
        <w:rPr>
          <w:rFonts w:ascii="宋体" w:hAnsi="宋体" w:cs="宋体"/>
          <w:kern w:val="0"/>
          <w:sz w:val="28"/>
          <w:szCs w:val="28"/>
        </w:rPr>
      </w:pPr>
      <w:r>
        <w:rPr>
          <w:rFonts w:hint="eastAsia" w:ascii="宋体" w:hAnsi="宋体" w:cs="宋体"/>
          <w:kern w:val="0"/>
          <w:sz w:val="28"/>
          <w:szCs w:val="28"/>
        </w:rPr>
        <w:t>点击登录，进入登入界面，如图1-3。登录账号为学生学号，初始密码为身份证后六位。</w:t>
      </w:r>
    </w:p>
    <w:p>
      <w:pPr>
        <w:jc w:val="center"/>
        <w:rPr>
          <w:rFonts w:ascii="仿宋" w:hAnsi="仿宋" w:eastAsia="仿宋" w:cs="宋体"/>
          <w:kern w:val="0"/>
          <w:sz w:val="28"/>
          <w:szCs w:val="28"/>
        </w:rPr>
      </w:pPr>
      <w:r>
        <w:drawing>
          <wp:inline distT="0" distB="0" distL="0" distR="0">
            <wp:extent cx="5939790" cy="2458085"/>
            <wp:effectExtent l="0" t="0" r="3810" b="18415"/>
            <wp:docPr id="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4"/>
                    <pic:cNvPicPr>
                      <a:picLocks noChangeAspect="1" noChangeArrowheads="1"/>
                    </pic:cNvPicPr>
                  </pic:nvPicPr>
                  <pic:blipFill>
                    <a:blip r:embed="rId7" cstate="print">
                      <a:extLst>
                        <a:ext uri="{28A0092B-C50C-407E-A947-70E740481C1C}">
                          <a14:useLocalDpi xmlns:a14="http://schemas.microsoft.com/office/drawing/2010/main" val="0"/>
                        </a:ext>
                      </a:extLst>
                    </a:blip>
                    <a:srcRect t="13310" b="3380"/>
                    <a:stretch>
                      <a:fillRect/>
                    </a:stretch>
                  </pic:blipFill>
                  <pic:spPr>
                    <a:xfrm>
                      <a:off x="0" y="0"/>
                      <a:ext cx="5939790" cy="2458085"/>
                    </a:xfrm>
                    <a:prstGeom prst="rect">
                      <a:avLst/>
                    </a:prstGeom>
                    <a:noFill/>
                    <a:ln>
                      <a:noFill/>
                    </a:ln>
                    <a:effectLst/>
                  </pic:spPr>
                </pic:pic>
              </a:graphicData>
            </a:graphic>
          </wp:inline>
        </w:drawing>
      </w:r>
    </w:p>
    <w:p>
      <w:pPr>
        <w:jc w:val="center"/>
        <w:rPr>
          <w:rFonts w:ascii="宋体" w:hAnsi="宋体" w:cs="宋体"/>
          <w:kern w:val="0"/>
          <w:szCs w:val="21"/>
        </w:rPr>
      </w:pPr>
      <w:r>
        <w:rPr>
          <w:rFonts w:hint="eastAsia" w:ascii="宋体" w:hAnsi="宋体" w:cs="宋体"/>
          <w:kern w:val="0"/>
          <w:szCs w:val="21"/>
        </w:rPr>
        <w:t>图1-3</w:t>
      </w:r>
    </w:p>
    <w:p>
      <w:pPr>
        <w:jc w:val="left"/>
        <w:rPr>
          <w:rFonts w:ascii="宋体" w:hAnsi="宋体" w:cs="宋体"/>
          <w:kern w:val="0"/>
          <w:sz w:val="28"/>
          <w:szCs w:val="28"/>
        </w:rPr>
      </w:pPr>
      <w:r>
        <w:rPr>
          <w:rFonts w:hint="eastAsia" w:ascii="宋体" w:hAnsi="宋体" w:cs="宋体"/>
          <w:kern w:val="0"/>
          <w:sz w:val="28"/>
          <w:szCs w:val="28"/>
        </w:rPr>
        <w:t>在“应用系统”模块中点击教务系统图标（图1-4标记处）进入教务系统首页。</w:t>
      </w:r>
    </w:p>
    <w:p>
      <w:pPr>
        <w:jc w:val="center"/>
      </w:pPr>
      <w:r>
        <w:rPr>
          <w:rFonts w:hint="eastAsia"/>
        </w:rPr>
        <w:drawing>
          <wp:inline distT="0" distB="0" distL="114300" distR="114300">
            <wp:extent cx="5752465" cy="2670810"/>
            <wp:effectExtent l="0" t="0" r="635" b="15240"/>
            <wp:docPr id="12" name="图片 2" descr="1704876229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1704876229173"/>
                    <pic:cNvPicPr>
                      <a:picLocks noChangeAspect="1"/>
                    </pic:cNvPicPr>
                  </pic:nvPicPr>
                  <pic:blipFill>
                    <a:blip r:embed="rId8" cstate="print"/>
                    <a:stretch>
                      <a:fillRect/>
                    </a:stretch>
                  </pic:blipFill>
                  <pic:spPr>
                    <a:xfrm>
                      <a:off x="0" y="0"/>
                      <a:ext cx="5752465" cy="2670810"/>
                    </a:xfrm>
                    <a:prstGeom prst="rect">
                      <a:avLst/>
                    </a:prstGeom>
                  </pic:spPr>
                </pic:pic>
              </a:graphicData>
            </a:graphic>
          </wp:inline>
        </w:drawing>
      </w:r>
    </w:p>
    <w:p>
      <w:pPr>
        <w:jc w:val="center"/>
        <w:rPr>
          <w:rFonts w:ascii="宋体" w:hAnsi="宋体" w:cs="宋体"/>
        </w:rPr>
      </w:pPr>
      <w:r>
        <w:rPr>
          <w:rFonts w:hint="eastAsia" w:ascii="宋体" w:hAnsi="宋体" w:cs="宋体"/>
        </w:rPr>
        <w:t>图1-4</w:t>
      </w:r>
    </w:p>
    <w:p>
      <w:pPr>
        <w:rPr>
          <w:rFonts w:ascii="仿宋" w:hAnsi="仿宋" w:eastAsia="仿宋" w:cs="仿宋"/>
          <w:color w:val="FF0000"/>
          <w:sz w:val="28"/>
          <w:szCs w:val="28"/>
        </w:rPr>
      </w:pPr>
      <w:r>
        <w:rPr>
          <w:rFonts w:hint="eastAsia" w:ascii="仿宋" w:hAnsi="仿宋" w:eastAsia="仿宋" w:cs="仿宋"/>
          <w:b/>
          <w:color w:val="FF0000"/>
          <w:sz w:val="28"/>
          <w:szCs w:val="32"/>
        </w:rPr>
        <w:t>首次登录教务系统会要求完善个人信息，请各位同学在选课之前进入教务系统预先填写相关信息，如图1-5。</w:t>
      </w:r>
      <w:r>
        <w:rPr>
          <w:rFonts w:hint="eastAsia" w:ascii="仿宋" w:hAnsi="仿宋" w:eastAsia="仿宋" w:cs="仿宋"/>
          <w:b/>
          <w:color w:val="000000" w:themeColor="text1"/>
          <w:sz w:val="28"/>
          <w:szCs w:val="28"/>
          <w:highlight w:val="yellow"/>
          <w14:textFill>
            <w14:solidFill>
              <w14:schemeClr w14:val="tx1"/>
            </w14:solidFill>
          </w14:textFill>
        </w:rPr>
        <w:t>特别提醒：火车到站需要点击【选择】按钮，才能选择自己居住地的火车站；</w:t>
      </w:r>
    </w:p>
    <w:p>
      <w:pPr>
        <w:rPr>
          <w:rFonts w:ascii="仿宋" w:hAnsi="仿宋" w:eastAsia="仿宋" w:cs="仿宋"/>
          <w:sz w:val="28"/>
          <w:szCs w:val="32"/>
        </w:rPr>
      </w:pPr>
      <w:r>
        <w:rPr>
          <w:rFonts w:hint="eastAsia" w:ascii="仿宋" w:hAnsi="仿宋" w:eastAsia="仿宋" w:cs="仿宋"/>
          <w:sz w:val="28"/>
          <w:szCs w:val="32"/>
        </w:rPr>
        <w:drawing>
          <wp:inline distT="0" distB="0" distL="114300" distR="114300">
            <wp:extent cx="5755640" cy="2857500"/>
            <wp:effectExtent l="0" t="0" r="16510" b="0"/>
            <wp:docPr id="13" name="图片 6" descr="1704876570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descr="1704876570879"/>
                    <pic:cNvPicPr>
                      <a:picLocks noChangeAspect="1"/>
                    </pic:cNvPicPr>
                  </pic:nvPicPr>
                  <pic:blipFill>
                    <a:blip r:embed="rId9" cstate="print"/>
                    <a:stretch>
                      <a:fillRect/>
                    </a:stretch>
                  </pic:blipFill>
                  <pic:spPr>
                    <a:xfrm>
                      <a:off x="0" y="0"/>
                      <a:ext cx="5755640" cy="2857500"/>
                    </a:xfrm>
                    <a:prstGeom prst="rect">
                      <a:avLst/>
                    </a:prstGeom>
                  </pic:spPr>
                </pic:pic>
              </a:graphicData>
            </a:graphic>
          </wp:inline>
        </w:drawing>
      </w:r>
    </w:p>
    <w:p>
      <w:pPr>
        <w:ind w:left="432"/>
        <w:jc w:val="center"/>
        <w:rPr>
          <w:rFonts w:ascii="仿宋" w:hAnsi="仿宋" w:eastAsia="仿宋" w:cs="仿宋"/>
        </w:rPr>
      </w:pPr>
      <w:r>
        <w:rPr>
          <w:rFonts w:hint="eastAsia"/>
        </w:rPr>
        <w:t xml:space="preserve"> </w:t>
      </w:r>
      <w:r>
        <w:rPr>
          <w:rFonts w:hint="eastAsia" w:ascii="仿宋" w:hAnsi="仿宋" w:eastAsia="仿宋" w:cs="仿宋"/>
        </w:rPr>
        <w:t>图1-5</w:t>
      </w:r>
    </w:p>
    <w:p>
      <w:r>
        <w:drawing>
          <wp:inline distT="0" distB="0" distL="114300" distR="114300">
            <wp:extent cx="5755640" cy="2857500"/>
            <wp:effectExtent l="0" t="0" r="16510" b="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0" cstate="print"/>
                    <a:stretch>
                      <a:fillRect/>
                    </a:stretch>
                  </pic:blipFill>
                  <pic:spPr>
                    <a:xfrm>
                      <a:off x="0" y="0"/>
                      <a:ext cx="5755640" cy="2857500"/>
                    </a:xfrm>
                    <a:prstGeom prst="rect">
                      <a:avLst/>
                    </a:prstGeom>
                    <a:noFill/>
                    <a:ln>
                      <a:noFill/>
                    </a:ln>
                  </pic:spPr>
                </pic:pic>
              </a:graphicData>
            </a:graphic>
          </wp:inline>
        </w:drawing>
      </w:r>
    </w:p>
    <w:p>
      <w:pPr>
        <w:ind w:left="432"/>
        <w:jc w:val="center"/>
      </w:pPr>
      <w:r>
        <w:rPr>
          <w:rFonts w:hint="eastAsia" w:ascii="仿宋" w:hAnsi="仿宋" w:eastAsia="仿宋" w:cs="仿宋"/>
        </w:rPr>
        <w:t>图1-6</w:t>
      </w:r>
    </w:p>
    <w:p>
      <w:pPr>
        <w:rPr>
          <w:rFonts w:ascii="仿宋" w:hAnsi="仿宋" w:eastAsia="仿宋" w:cs="仿宋"/>
          <w:b/>
          <w:sz w:val="28"/>
          <w:szCs w:val="28"/>
        </w:rPr>
      </w:pPr>
      <w:r>
        <w:rPr>
          <w:rFonts w:hint="eastAsia" w:ascii="仿宋" w:hAnsi="仿宋" w:eastAsia="仿宋" w:cs="仿宋"/>
          <w:b/>
          <w:sz w:val="28"/>
          <w:szCs w:val="28"/>
        </w:rPr>
        <w:t>二、查询培养方案完成情况</w:t>
      </w:r>
    </w:p>
    <w:p>
      <w:pPr>
        <w:ind w:firstLine="420"/>
        <w:rPr>
          <w:rFonts w:ascii="仿宋" w:hAnsi="仿宋" w:eastAsia="仿宋" w:cs="仿宋"/>
          <w:sz w:val="28"/>
          <w:szCs w:val="28"/>
        </w:rPr>
      </w:pPr>
      <w:r>
        <w:rPr>
          <w:rFonts w:hint="eastAsia" w:ascii="仿宋" w:hAnsi="仿宋" w:eastAsia="仿宋" w:cs="仿宋"/>
          <w:sz w:val="28"/>
          <w:szCs w:val="28"/>
        </w:rPr>
        <w:t>1.在选课之前，同学们先查询一下专业培养方案学分完成情况，以便合理选择课程。</w:t>
      </w:r>
    </w:p>
    <w:p>
      <w:pPr>
        <w:ind w:firstLine="420"/>
        <w:rPr>
          <w:rFonts w:ascii="仿宋" w:hAnsi="仿宋" w:eastAsia="仿宋" w:cs="仿宋"/>
          <w:color w:val="FF0000"/>
          <w:sz w:val="28"/>
          <w:szCs w:val="28"/>
        </w:rPr>
      </w:pPr>
      <w:r>
        <w:rPr>
          <w:rFonts w:hint="eastAsia" w:ascii="仿宋" w:hAnsi="仿宋" w:eastAsia="仿宋" w:cs="仿宋"/>
          <w:sz w:val="28"/>
          <w:szCs w:val="28"/>
        </w:rPr>
        <w:t>2.查询方式：依次点击【培养管理】—【培养方案】—【培养方案及完成情况】，进行培养方案完成情况查询，如图2-1。完成情况中会表明该课程的修读情况，完成情况列显示空白则表示暂未修读。</w:t>
      </w:r>
    </w:p>
    <w:p>
      <w:pPr>
        <w:jc w:val="center"/>
        <w:rPr>
          <w:rFonts w:ascii="仿宋" w:hAnsi="仿宋" w:eastAsia="仿宋" w:cs="仿宋"/>
          <w:b/>
          <w:sz w:val="28"/>
          <w:szCs w:val="28"/>
        </w:rPr>
      </w:pPr>
      <w:r>
        <w:rPr>
          <w:rFonts w:hint="eastAsia"/>
        </w:rPr>
        <w:drawing>
          <wp:inline distT="0" distB="0" distL="114300" distR="114300">
            <wp:extent cx="5755640" cy="2857500"/>
            <wp:effectExtent l="0" t="0" r="16510" b="0"/>
            <wp:docPr id="16" name="图片 16" descr="1704877408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704877408212"/>
                    <pic:cNvPicPr>
                      <a:picLocks noChangeAspect="1"/>
                    </pic:cNvPicPr>
                  </pic:nvPicPr>
                  <pic:blipFill>
                    <a:blip r:embed="rId11" cstate="print"/>
                    <a:stretch>
                      <a:fillRect/>
                    </a:stretch>
                  </pic:blipFill>
                  <pic:spPr>
                    <a:xfrm>
                      <a:off x="0" y="0"/>
                      <a:ext cx="5755640" cy="2857500"/>
                    </a:xfrm>
                    <a:prstGeom prst="rect">
                      <a:avLst/>
                    </a:prstGeom>
                  </pic:spPr>
                </pic:pic>
              </a:graphicData>
            </a:graphic>
          </wp:inline>
        </w:drawing>
      </w:r>
      <w:r>
        <w:rPr>
          <w:rFonts w:hint="eastAsia" w:ascii="仿宋" w:hAnsi="仿宋" w:eastAsia="仿宋" w:cs="仿宋"/>
        </w:rPr>
        <w:t>图</w:t>
      </w:r>
      <w:r>
        <w:rPr>
          <w:rFonts w:ascii="仿宋" w:hAnsi="仿宋" w:eastAsia="仿宋" w:cs="仿宋"/>
        </w:rPr>
        <w:t>2-1</w:t>
      </w:r>
    </w:p>
    <w:p>
      <w:pPr>
        <w:rPr>
          <w:rFonts w:ascii="仿宋" w:hAnsi="仿宋" w:eastAsia="仿宋" w:cs="仿宋"/>
          <w:b/>
          <w:sz w:val="28"/>
          <w:szCs w:val="28"/>
        </w:rPr>
      </w:pPr>
      <w:r>
        <w:rPr>
          <w:rFonts w:hint="eastAsia" w:ascii="仿宋" w:hAnsi="仿宋" w:eastAsia="仿宋" w:cs="仿宋"/>
          <w:b/>
          <w:sz w:val="28"/>
          <w:szCs w:val="28"/>
        </w:rPr>
        <w:t>三、选课</w:t>
      </w:r>
    </w:p>
    <w:p>
      <w:pPr>
        <w:ind w:firstLine="420"/>
        <w:rPr>
          <w:rFonts w:ascii="仿宋" w:hAnsi="仿宋" w:eastAsia="仿宋" w:cs="仿宋"/>
          <w:bCs/>
          <w:sz w:val="28"/>
          <w:szCs w:val="28"/>
        </w:rPr>
      </w:pPr>
      <w:r>
        <w:rPr>
          <w:rFonts w:hint="eastAsia" w:ascii="仿宋" w:hAnsi="仿宋" w:eastAsia="仿宋" w:cs="仿宋"/>
          <w:bCs/>
          <w:sz w:val="28"/>
          <w:szCs w:val="28"/>
        </w:rPr>
        <w:t>点击图1-5中的【学生选课中心】，进入学生选课中心界面。</w:t>
      </w:r>
    </w:p>
    <w:p>
      <w:pPr>
        <w:ind w:firstLine="420"/>
        <w:rPr>
          <w:rFonts w:ascii="仿宋" w:hAnsi="仿宋" w:eastAsia="仿宋" w:cs="仿宋"/>
          <w:bCs/>
          <w:sz w:val="28"/>
          <w:szCs w:val="28"/>
        </w:rPr>
      </w:pPr>
      <w:r>
        <w:rPr>
          <w:rFonts w:hint="eastAsia" w:ascii="仿宋" w:hAnsi="仿宋" w:eastAsia="仿宋" w:cs="仿宋"/>
          <w:bCs/>
          <w:sz w:val="28"/>
          <w:szCs w:val="28"/>
        </w:rPr>
        <w:t>新系统将课程分为两类：</w:t>
      </w:r>
    </w:p>
    <w:p>
      <w:pPr>
        <w:ind w:firstLine="420"/>
        <w:rPr>
          <w:rFonts w:ascii="仿宋" w:hAnsi="仿宋" w:eastAsia="仿宋" w:cs="仿宋"/>
          <w:bCs/>
          <w:sz w:val="28"/>
          <w:szCs w:val="28"/>
        </w:rPr>
      </w:pPr>
      <w:r>
        <w:rPr>
          <w:rFonts w:hint="eastAsia" w:ascii="仿宋" w:hAnsi="仿宋" w:eastAsia="仿宋" w:cs="仿宋"/>
          <w:bCs/>
          <w:sz w:val="28"/>
          <w:szCs w:val="28"/>
        </w:rPr>
        <w:t>第一类是是方案课程,包括必修课和专业提升课(即专业内选修课)。必修课由系统置入；专业提升课需要学生在教务系统中选课成功后才能修读。</w:t>
      </w:r>
    </w:p>
    <w:p>
      <w:pPr>
        <w:ind w:firstLine="420"/>
        <w:rPr>
          <w:rFonts w:ascii="仿宋" w:hAnsi="仿宋" w:eastAsia="仿宋" w:cs="仿宋"/>
          <w:bCs/>
          <w:sz w:val="28"/>
          <w:szCs w:val="28"/>
        </w:rPr>
      </w:pPr>
      <w:r>
        <w:rPr>
          <w:rFonts w:hint="eastAsia" w:ascii="仿宋" w:hAnsi="仿宋" w:eastAsia="仿宋" w:cs="仿宋"/>
          <w:bCs/>
          <w:sz w:val="28"/>
          <w:szCs w:val="28"/>
        </w:rPr>
        <w:t>第二类统称为方案外课程，包括通识通选课程（即公选课课程）和专业拓展课程（即专业外选修课）专业外选修课。所有方案外课程均需学生在教务系统中选课成功后才能修读。</w:t>
      </w:r>
    </w:p>
    <w:p>
      <w:pPr>
        <w:ind w:firstLine="280" w:firstLineChars="100"/>
        <w:rPr>
          <w:rFonts w:ascii="仿宋" w:hAnsi="仿宋" w:eastAsia="仿宋" w:cs="仿宋"/>
          <w:bCs/>
          <w:sz w:val="28"/>
          <w:szCs w:val="28"/>
        </w:rPr>
      </w:pPr>
      <w:r>
        <w:rPr>
          <w:rFonts w:hint="eastAsia" w:ascii="仿宋" w:hAnsi="仿宋" w:eastAsia="仿宋" w:cs="仿宋"/>
          <w:bCs/>
          <w:sz w:val="28"/>
          <w:szCs w:val="28"/>
        </w:rPr>
        <w:t>新系统为上述两类课程建立不同的选课轮次，如图3-1。</w:t>
      </w:r>
    </w:p>
    <w:p>
      <w:pPr>
        <w:numPr>
          <w:ilvl w:val="0"/>
          <w:numId w:val="2"/>
        </w:numPr>
        <w:rPr>
          <w:rFonts w:ascii="仿宋" w:hAnsi="仿宋" w:eastAsia="仿宋" w:cs="仿宋"/>
          <w:b/>
          <w:sz w:val="28"/>
          <w:szCs w:val="28"/>
        </w:rPr>
      </w:pPr>
      <w:r>
        <w:rPr>
          <w:rFonts w:hint="eastAsia" w:ascii="仿宋" w:hAnsi="仿宋" w:eastAsia="仿宋" w:cs="仿宋"/>
          <w:b/>
          <w:sz w:val="28"/>
          <w:szCs w:val="28"/>
        </w:rPr>
        <w:t>进入选课页面</w:t>
      </w:r>
    </w:p>
    <w:p>
      <w:pPr>
        <w:ind w:firstLine="280" w:firstLineChars="100"/>
      </w:pPr>
      <w:r>
        <w:rPr>
          <w:rFonts w:hint="eastAsia" w:ascii="仿宋" w:hAnsi="仿宋" w:eastAsia="仿宋" w:cs="仿宋"/>
          <w:bCs/>
          <w:sz w:val="28"/>
          <w:szCs w:val="28"/>
        </w:rPr>
        <w:t>点击</w:t>
      </w:r>
      <w:r>
        <w:rPr>
          <w:rFonts w:hint="eastAsia" w:ascii="仿宋" w:hAnsi="仿宋" w:eastAsia="仿宋" w:cs="仿宋"/>
          <w:b/>
          <w:bCs/>
          <w:color w:val="FF0000"/>
          <w:sz w:val="28"/>
          <w:szCs w:val="28"/>
        </w:rPr>
        <w:t>【进入选课】</w:t>
      </w:r>
      <w:r>
        <w:rPr>
          <w:rFonts w:hint="eastAsia" w:ascii="仿宋" w:hAnsi="仿宋" w:eastAsia="仿宋" w:cs="仿宋"/>
          <w:bCs/>
          <w:sz w:val="28"/>
          <w:szCs w:val="28"/>
        </w:rPr>
        <w:t>可以进入当前选课活动规则查看页面，如图3-2。</w:t>
      </w:r>
    </w:p>
    <w:p>
      <w:pPr>
        <w:ind w:firstLine="420"/>
        <w:rPr>
          <w:rFonts w:ascii="仿宋" w:hAnsi="仿宋" w:eastAsia="仿宋" w:cs="仿宋"/>
          <w:bCs/>
          <w:sz w:val="28"/>
          <w:szCs w:val="28"/>
        </w:rPr>
      </w:pPr>
    </w:p>
    <w:p>
      <w:pPr>
        <w:jc w:val="center"/>
      </w:pPr>
      <w:r>
        <w:rPr>
          <w:rFonts w:hint="eastAsia"/>
        </w:rPr>
        <w:drawing>
          <wp:inline distT="0" distB="0" distL="114300" distR="114300">
            <wp:extent cx="5755640" cy="2857500"/>
            <wp:effectExtent l="0" t="0" r="16510" b="0"/>
            <wp:docPr id="19" name="图片 19" descr="56159a6a116f21acf8ddbb3faab9f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56159a6a116f21acf8ddbb3faab9f39"/>
                    <pic:cNvPicPr>
                      <a:picLocks noChangeAspect="1"/>
                    </pic:cNvPicPr>
                  </pic:nvPicPr>
                  <pic:blipFill>
                    <a:blip r:embed="rId12" cstate="print"/>
                    <a:stretch>
                      <a:fillRect/>
                    </a:stretch>
                  </pic:blipFill>
                  <pic:spPr>
                    <a:xfrm>
                      <a:off x="0" y="0"/>
                      <a:ext cx="5755640" cy="2857500"/>
                    </a:xfrm>
                    <a:prstGeom prst="rect">
                      <a:avLst/>
                    </a:prstGeom>
                  </pic:spPr>
                </pic:pic>
              </a:graphicData>
            </a:graphic>
          </wp:inline>
        </w:drawing>
      </w:r>
    </w:p>
    <w:p>
      <w:pPr>
        <w:ind w:firstLine="420"/>
        <w:jc w:val="center"/>
        <w:rPr>
          <w:rFonts w:ascii="仿宋" w:hAnsi="仿宋" w:eastAsia="仿宋" w:cs="仿宋"/>
          <w:bCs/>
          <w:szCs w:val="21"/>
        </w:rPr>
      </w:pPr>
      <w:r>
        <w:rPr>
          <w:rFonts w:hint="eastAsia" w:ascii="仿宋" w:hAnsi="仿宋" w:eastAsia="仿宋" w:cs="仿宋"/>
          <w:bCs/>
          <w:szCs w:val="21"/>
        </w:rPr>
        <w:t>图</w:t>
      </w:r>
      <w:r>
        <w:rPr>
          <w:rFonts w:ascii="仿宋" w:hAnsi="仿宋" w:eastAsia="仿宋" w:cs="仿宋"/>
          <w:bCs/>
          <w:szCs w:val="21"/>
        </w:rPr>
        <w:t>3-</w:t>
      </w:r>
      <w:r>
        <w:rPr>
          <w:rFonts w:hint="eastAsia" w:ascii="仿宋" w:hAnsi="仿宋" w:eastAsia="仿宋" w:cs="仿宋"/>
          <w:bCs/>
          <w:szCs w:val="21"/>
        </w:rPr>
        <w:t>1</w:t>
      </w:r>
    </w:p>
    <w:p>
      <w:r>
        <w:rPr>
          <w:rStyle w:val="16"/>
        </w:rPr>
        <w:drawing>
          <wp:inline distT="0" distB="0" distL="114300" distR="114300">
            <wp:extent cx="5744210" cy="1271905"/>
            <wp:effectExtent l="0" t="0" r="8890" b="4445"/>
            <wp:docPr id="24" name="图片 5" descr="1704935220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descr="1704935220713"/>
                    <pic:cNvPicPr>
                      <a:picLocks noChangeAspect="1"/>
                    </pic:cNvPicPr>
                  </pic:nvPicPr>
                  <pic:blipFill>
                    <a:blip r:embed="rId13" cstate="print"/>
                    <a:stretch>
                      <a:fillRect/>
                    </a:stretch>
                  </pic:blipFill>
                  <pic:spPr>
                    <a:xfrm>
                      <a:off x="0" y="0"/>
                      <a:ext cx="5744210" cy="1271905"/>
                    </a:xfrm>
                    <a:prstGeom prst="rect">
                      <a:avLst/>
                    </a:prstGeom>
                  </pic:spPr>
                </pic:pic>
              </a:graphicData>
            </a:graphic>
          </wp:inline>
        </w:drawing>
      </w:r>
    </w:p>
    <w:p>
      <w:pPr>
        <w:ind w:firstLine="420"/>
        <w:jc w:val="center"/>
        <w:rPr>
          <w:rFonts w:ascii="仿宋" w:hAnsi="仿宋" w:eastAsia="仿宋" w:cs="仿宋"/>
          <w:bCs/>
          <w:szCs w:val="21"/>
        </w:rPr>
      </w:pPr>
      <w:r>
        <w:rPr>
          <w:rFonts w:hint="eastAsia" w:ascii="仿宋" w:hAnsi="仿宋" w:eastAsia="仿宋" w:cs="仿宋"/>
          <w:bCs/>
          <w:szCs w:val="21"/>
        </w:rPr>
        <w:t>图</w:t>
      </w:r>
      <w:r>
        <w:rPr>
          <w:rFonts w:ascii="仿宋" w:hAnsi="仿宋" w:eastAsia="仿宋" w:cs="仿宋"/>
          <w:bCs/>
          <w:szCs w:val="21"/>
        </w:rPr>
        <w:t>3-</w:t>
      </w:r>
      <w:r>
        <w:rPr>
          <w:rFonts w:hint="eastAsia" w:ascii="仿宋" w:hAnsi="仿宋" w:eastAsia="仿宋" w:cs="仿宋"/>
          <w:bCs/>
          <w:szCs w:val="21"/>
        </w:rPr>
        <w:t>2</w:t>
      </w:r>
    </w:p>
    <w:p>
      <w:pPr>
        <w:ind w:firstLine="420"/>
        <w:rPr>
          <w:rFonts w:ascii="仿宋" w:hAnsi="仿宋" w:eastAsia="仿宋" w:cs="仿宋"/>
          <w:sz w:val="28"/>
          <w:szCs w:val="28"/>
        </w:rPr>
      </w:pPr>
      <w:r>
        <w:rPr>
          <w:rFonts w:hint="eastAsia" w:ascii="仿宋" w:hAnsi="仿宋" w:eastAsia="仿宋" w:cs="仿宋"/>
          <w:sz w:val="28"/>
          <w:szCs w:val="28"/>
        </w:rPr>
        <w:t>点击</w:t>
      </w:r>
      <w:r>
        <w:rPr>
          <w:rFonts w:hint="eastAsia" w:ascii="仿宋" w:hAnsi="仿宋" w:eastAsia="仿宋" w:cs="仿宋"/>
          <w:bCs/>
          <w:sz w:val="28"/>
          <w:szCs w:val="28"/>
        </w:rPr>
        <w:t>图3-2中的</w:t>
      </w:r>
      <w:r>
        <w:rPr>
          <w:rFonts w:hint="eastAsia" w:ascii="仿宋" w:hAnsi="仿宋" w:eastAsia="仿宋" w:cs="仿宋"/>
          <w:sz w:val="28"/>
          <w:szCs w:val="28"/>
        </w:rPr>
        <w:t>【进入选课】按钮，进入专业提升课（专业内选修课）选课界面，点击“本学期计划选课” 如图3-3，进入选课页面；或者进入通识通选课（公选课）选课界面，点击“公选课选课” 如图3-4，进入选课页面。</w:t>
      </w:r>
    </w:p>
    <w:p>
      <w:pPr>
        <w:ind w:firstLine="420"/>
        <w:jc w:val="center"/>
        <w:rPr>
          <w:rFonts w:ascii="仿宋" w:hAnsi="仿宋" w:eastAsia="仿宋" w:cs="仿宋"/>
          <w:color w:val="FF0000"/>
          <w:sz w:val="28"/>
          <w:szCs w:val="28"/>
        </w:rPr>
      </w:pPr>
      <w:r>
        <w:drawing>
          <wp:anchor distT="0" distB="0" distL="114300" distR="114300" simplePos="0" relativeHeight="251660288" behindDoc="0" locked="0" layoutInCell="1" allowOverlap="1">
            <wp:simplePos x="0" y="0"/>
            <wp:positionH relativeFrom="column">
              <wp:posOffset>5080</wp:posOffset>
            </wp:positionH>
            <wp:positionV relativeFrom="paragraph">
              <wp:posOffset>18415</wp:posOffset>
            </wp:positionV>
            <wp:extent cx="5574030" cy="2642870"/>
            <wp:effectExtent l="0" t="0" r="7620" b="508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574030" cy="2642870"/>
                    </a:xfrm>
                    <a:prstGeom prst="rect">
                      <a:avLst/>
                    </a:prstGeom>
                  </pic:spPr>
                </pic:pic>
              </a:graphicData>
            </a:graphic>
          </wp:anchor>
        </w:drawing>
      </w:r>
    </w:p>
    <w:p>
      <w:pPr>
        <w:jc w:val="center"/>
        <w:rPr>
          <w:rFonts w:ascii="仿宋" w:hAnsi="仿宋" w:eastAsia="仿宋" w:cs="仿宋"/>
          <w:color w:val="FF0000"/>
          <w:sz w:val="28"/>
          <w:szCs w:val="28"/>
        </w:rPr>
      </w:pPr>
      <w:r>
        <w:rPr>
          <w:rFonts w:hint="eastAsia" w:ascii="仿宋" w:hAnsi="仿宋" w:eastAsia="仿宋" w:cs="仿宋"/>
        </w:rPr>
        <w:t>图</w:t>
      </w:r>
      <w:r>
        <w:rPr>
          <w:rFonts w:ascii="仿宋" w:hAnsi="仿宋" w:eastAsia="仿宋" w:cs="仿宋"/>
        </w:rPr>
        <w:t>3-</w:t>
      </w:r>
      <w:r>
        <w:rPr>
          <w:rFonts w:hint="eastAsia" w:ascii="仿宋" w:hAnsi="仿宋" w:eastAsia="仿宋" w:cs="仿宋"/>
        </w:rPr>
        <w:t>3</w:t>
      </w:r>
    </w:p>
    <w:p>
      <w:pPr>
        <w:jc w:val="center"/>
        <w:rPr>
          <w:rFonts w:ascii="仿宋" w:hAnsi="仿宋" w:eastAsia="仿宋" w:cs="仿宋"/>
        </w:rPr>
      </w:pPr>
      <w:r>
        <w:rPr>
          <w:rFonts w:hint="eastAsia"/>
        </w:rPr>
        <w:drawing>
          <wp:inline distT="0" distB="0" distL="114300" distR="114300">
            <wp:extent cx="5482590" cy="2545715"/>
            <wp:effectExtent l="0" t="0" r="3810" b="6985"/>
            <wp:docPr id="26" name="图片 15" descr="170487907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5" descr="1704879074508"/>
                    <pic:cNvPicPr>
                      <a:picLocks noChangeAspect="1"/>
                    </pic:cNvPicPr>
                  </pic:nvPicPr>
                  <pic:blipFill>
                    <a:blip r:embed="rId15" cstate="print"/>
                    <a:stretch>
                      <a:fillRect/>
                    </a:stretch>
                  </pic:blipFill>
                  <pic:spPr>
                    <a:xfrm>
                      <a:off x="0" y="0"/>
                      <a:ext cx="5482590" cy="2545715"/>
                    </a:xfrm>
                    <a:prstGeom prst="rect">
                      <a:avLst/>
                    </a:prstGeom>
                  </pic:spPr>
                </pic:pic>
              </a:graphicData>
            </a:graphic>
          </wp:inline>
        </w:drawing>
      </w:r>
    </w:p>
    <w:p>
      <w:pPr>
        <w:jc w:val="center"/>
        <w:rPr>
          <w:rFonts w:ascii="仿宋" w:hAnsi="仿宋" w:eastAsia="仿宋" w:cs="仿宋"/>
        </w:rPr>
      </w:pPr>
      <w:r>
        <w:rPr>
          <w:rFonts w:hint="eastAsia" w:ascii="仿宋" w:hAnsi="仿宋" w:eastAsia="仿宋" w:cs="仿宋"/>
        </w:rPr>
        <w:t>图</w:t>
      </w:r>
      <w:r>
        <w:rPr>
          <w:rFonts w:ascii="仿宋" w:hAnsi="仿宋" w:eastAsia="仿宋" w:cs="仿宋"/>
        </w:rPr>
        <w:t>3-</w:t>
      </w:r>
      <w:r>
        <w:rPr>
          <w:rFonts w:hint="eastAsia" w:ascii="仿宋" w:hAnsi="仿宋" w:eastAsia="仿宋" w:cs="仿宋"/>
        </w:rPr>
        <w:t>4</w:t>
      </w:r>
    </w:p>
    <w:p>
      <w:pPr>
        <w:rPr>
          <w:rFonts w:ascii="仿宋" w:hAnsi="仿宋" w:eastAsia="仿宋" w:cs="仿宋"/>
        </w:rPr>
      </w:pPr>
    </w:p>
    <w:p>
      <w:pPr>
        <w:numPr>
          <w:ilvl w:val="0"/>
          <w:numId w:val="2"/>
        </w:numPr>
        <w:rPr>
          <w:rFonts w:ascii="仿宋" w:hAnsi="仿宋" w:eastAsia="仿宋" w:cs="仿宋"/>
          <w:b/>
          <w:sz w:val="28"/>
          <w:szCs w:val="28"/>
        </w:rPr>
      </w:pPr>
      <w:r>
        <w:rPr>
          <w:rFonts w:hint="eastAsia" w:ascii="仿宋" w:hAnsi="仿宋" w:eastAsia="仿宋" w:cs="仿宋"/>
          <w:b/>
          <w:sz w:val="28"/>
          <w:szCs w:val="28"/>
        </w:rPr>
        <w:t>选课</w:t>
      </w:r>
    </w:p>
    <w:p>
      <w:pPr>
        <w:ind w:firstLine="420"/>
        <w:rPr>
          <w:rFonts w:ascii="仿宋" w:hAnsi="仿宋" w:eastAsia="仿宋" w:cs="仿宋"/>
          <w:sz w:val="28"/>
          <w:szCs w:val="28"/>
        </w:rPr>
      </w:pPr>
      <w:r>
        <w:rPr>
          <w:rFonts w:hint="eastAsia" w:ascii="仿宋" w:hAnsi="仿宋" w:eastAsia="仿宋" w:cs="仿宋"/>
          <w:sz w:val="28"/>
          <w:szCs w:val="28"/>
        </w:rPr>
        <w:t>以图3-4选课活动为例，点击【公选课选课】，可输入相应的查询条件进行课程筛选，提供的条件有【通识课类别】选择、课程名称或课程号输入、教师姓名、上课时间段；等查询条件，如图3-5。查找到自己所想选择的课程后，点击课程后方【选课】按钮即可。</w:t>
      </w:r>
    </w:p>
    <w:p>
      <w:pPr>
        <w:rPr>
          <w:rFonts w:ascii="仿宋" w:hAnsi="仿宋" w:eastAsia="仿宋" w:cs="仿宋"/>
        </w:rPr>
      </w:pPr>
      <w:r>
        <w:rPr>
          <w:rFonts w:hint="eastAsia" w:ascii="仿宋" w:hAnsi="仿宋" w:eastAsia="仿宋" w:cs="仿宋"/>
        </w:rPr>
        <w:drawing>
          <wp:inline distT="0" distB="0" distL="114300" distR="114300">
            <wp:extent cx="5752465" cy="2668905"/>
            <wp:effectExtent l="0" t="0" r="635" b="17145"/>
            <wp:docPr id="27" name="图片 27" descr="1704879208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704879208903"/>
                    <pic:cNvPicPr>
                      <a:picLocks noChangeAspect="1"/>
                    </pic:cNvPicPr>
                  </pic:nvPicPr>
                  <pic:blipFill>
                    <a:blip r:embed="rId16" cstate="print"/>
                    <a:stretch>
                      <a:fillRect/>
                    </a:stretch>
                  </pic:blipFill>
                  <pic:spPr>
                    <a:xfrm>
                      <a:off x="0" y="0"/>
                      <a:ext cx="5752465" cy="2668905"/>
                    </a:xfrm>
                    <a:prstGeom prst="rect">
                      <a:avLst/>
                    </a:prstGeom>
                  </pic:spPr>
                </pic:pic>
              </a:graphicData>
            </a:graphic>
          </wp:inline>
        </w:drawing>
      </w:r>
    </w:p>
    <w:p>
      <w:pPr>
        <w:jc w:val="center"/>
        <w:rPr>
          <w:rFonts w:ascii="仿宋" w:hAnsi="仿宋" w:eastAsia="仿宋" w:cs="仿宋"/>
        </w:rPr>
      </w:pPr>
      <w:r>
        <w:rPr>
          <w:rFonts w:hint="eastAsia" w:ascii="仿宋" w:hAnsi="仿宋" w:eastAsia="仿宋" w:cs="仿宋"/>
        </w:rPr>
        <w:t>图</w:t>
      </w:r>
      <w:r>
        <w:rPr>
          <w:rFonts w:ascii="仿宋" w:hAnsi="仿宋" w:eastAsia="仿宋" w:cs="仿宋"/>
        </w:rPr>
        <w:t>3-</w:t>
      </w:r>
      <w:r>
        <w:rPr>
          <w:rFonts w:hint="eastAsia" w:ascii="仿宋" w:hAnsi="仿宋" w:eastAsia="仿宋" w:cs="仿宋"/>
        </w:rPr>
        <w:t>5</w:t>
      </w:r>
    </w:p>
    <w:p>
      <w:pPr>
        <w:ind w:firstLine="420"/>
        <w:rPr>
          <w:rFonts w:ascii="仿宋" w:hAnsi="仿宋" w:eastAsia="仿宋" w:cs="仿宋"/>
        </w:rPr>
      </w:pPr>
      <w:r>
        <w:rPr>
          <w:rFonts w:hint="eastAsia" w:ascii="仿宋" w:hAnsi="仿宋" w:eastAsia="仿宋" w:cs="仿宋"/>
          <w:sz w:val="28"/>
          <w:szCs w:val="28"/>
        </w:rPr>
        <w:t>当公选课（通识选修课）选课结束后，点击选课操作页面右上角【安全退出选课】按钮，如图3-5，回到图3-1页面。选择另一个选课活动进行选课。</w:t>
      </w:r>
    </w:p>
    <w:p>
      <w:pPr>
        <w:numPr>
          <w:ilvl w:val="0"/>
          <w:numId w:val="2"/>
        </w:numPr>
        <w:rPr>
          <w:rFonts w:ascii="仿宋" w:hAnsi="仿宋" w:eastAsia="仿宋" w:cs="仿宋"/>
          <w:b/>
          <w:sz w:val="28"/>
          <w:szCs w:val="28"/>
        </w:rPr>
      </w:pPr>
      <w:r>
        <w:rPr>
          <w:rFonts w:hint="eastAsia" w:ascii="仿宋" w:hAnsi="仿宋" w:eastAsia="仿宋" w:cs="仿宋"/>
          <w:b/>
          <w:sz w:val="28"/>
          <w:szCs w:val="28"/>
        </w:rPr>
        <w:t>选课结果查看及退选</w:t>
      </w:r>
    </w:p>
    <w:p>
      <w:pPr>
        <w:ind w:firstLine="420"/>
        <w:rPr>
          <w:rFonts w:ascii="仿宋" w:hAnsi="仿宋" w:eastAsia="仿宋" w:cs="仿宋"/>
          <w:b/>
          <w:bCs/>
          <w:sz w:val="28"/>
          <w:szCs w:val="28"/>
        </w:rPr>
      </w:pPr>
      <w:r>
        <w:rPr>
          <w:rFonts w:hint="eastAsia" w:ascii="仿宋" w:hAnsi="仿宋" w:eastAsia="仿宋" w:cs="仿宋"/>
          <w:sz w:val="28"/>
          <w:szCs w:val="28"/>
        </w:rPr>
        <w:t>点击【选课结果查看及退选】，可以查询选课结果，如图3-6。在选课时间范围内点击图中的【退选】按钮，即可完成退课。</w:t>
      </w:r>
    </w:p>
    <w:p>
      <w:pPr>
        <w:jc w:val="center"/>
      </w:pPr>
      <w:r>
        <w:rPr>
          <w:rFonts w:hint="eastAsia"/>
        </w:rPr>
        <w:drawing>
          <wp:inline distT="0" distB="0" distL="114300" distR="114300">
            <wp:extent cx="5752465" cy="2668905"/>
            <wp:effectExtent l="0" t="0" r="635" b="17145"/>
            <wp:docPr id="28" name="图片 19" descr="1704879254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9" descr="1704879254719"/>
                    <pic:cNvPicPr>
                      <a:picLocks noChangeAspect="1"/>
                    </pic:cNvPicPr>
                  </pic:nvPicPr>
                  <pic:blipFill>
                    <a:blip r:embed="rId17" cstate="print"/>
                    <a:stretch>
                      <a:fillRect/>
                    </a:stretch>
                  </pic:blipFill>
                  <pic:spPr>
                    <a:xfrm>
                      <a:off x="0" y="0"/>
                      <a:ext cx="5752465" cy="2668905"/>
                    </a:xfrm>
                    <a:prstGeom prst="rect">
                      <a:avLst/>
                    </a:prstGeom>
                  </pic:spPr>
                </pic:pic>
              </a:graphicData>
            </a:graphic>
          </wp:inline>
        </w:drawing>
      </w:r>
    </w:p>
    <w:p>
      <w:pPr>
        <w:jc w:val="center"/>
        <w:rPr>
          <w:rFonts w:ascii="仿宋" w:hAnsi="仿宋" w:eastAsia="仿宋" w:cs="仿宋"/>
        </w:rPr>
      </w:pPr>
      <w:r>
        <w:rPr>
          <w:rFonts w:ascii="仿宋" w:hAnsi="仿宋" w:eastAsia="仿宋" w:cs="仿宋"/>
        </w:rPr>
        <w:t>图3-</w:t>
      </w:r>
      <w:r>
        <w:rPr>
          <w:rFonts w:hint="eastAsia" w:ascii="仿宋" w:hAnsi="仿宋" w:eastAsia="仿宋" w:cs="仿宋"/>
        </w:rPr>
        <w:t>6</w:t>
      </w:r>
    </w:p>
    <w:p>
      <w:pPr>
        <w:ind w:left="400"/>
      </w:pPr>
    </w:p>
    <w:p>
      <w:pPr>
        <w:numPr>
          <w:ilvl w:val="0"/>
          <w:numId w:val="2"/>
        </w:numPr>
        <w:rPr>
          <w:rFonts w:ascii="仿宋" w:hAnsi="仿宋" w:eastAsia="仿宋" w:cs="仿宋"/>
          <w:b/>
          <w:sz w:val="28"/>
          <w:szCs w:val="28"/>
        </w:rPr>
      </w:pPr>
      <w:r>
        <w:rPr>
          <w:rFonts w:hint="eastAsia" w:ascii="仿宋" w:hAnsi="仿宋" w:eastAsia="仿宋" w:cs="仿宋"/>
          <w:b/>
          <w:sz w:val="28"/>
          <w:szCs w:val="28"/>
        </w:rPr>
        <w:t>选课/退课日志查看</w:t>
      </w:r>
    </w:p>
    <w:p>
      <w:pPr>
        <w:ind w:firstLine="420"/>
        <w:rPr>
          <w:rFonts w:ascii="仿宋" w:hAnsi="仿宋" w:eastAsia="仿宋" w:cs="仿宋"/>
          <w:sz w:val="28"/>
          <w:szCs w:val="28"/>
        </w:rPr>
      </w:pPr>
      <w:r>
        <w:rPr>
          <w:rFonts w:hint="eastAsia" w:ascii="仿宋" w:hAnsi="仿宋" w:eastAsia="仿宋" w:cs="仿宋"/>
          <w:sz w:val="28"/>
          <w:szCs w:val="28"/>
        </w:rPr>
        <w:t>点击【选课/退课日志查看】，即可查看选课和退课情况，如图3-7。</w:t>
      </w:r>
    </w:p>
    <w:p>
      <w:pPr>
        <w:jc w:val="center"/>
      </w:pPr>
      <w:r>
        <w:rPr>
          <w:rFonts w:hint="eastAsia"/>
        </w:rPr>
        <w:drawing>
          <wp:inline distT="0" distB="0" distL="114300" distR="114300">
            <wp:extent cx="5752465" cy="2668905"/>
            <wp:effectExtent l="0" t="0" r="635" b="17145"/>
            <wp:docPr id="29" name="图片 20" descr="1704879323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0" descr="1704879323452"/>
                    <pic:cNvPicPr>
                      <a:picLocks noChangeAspect="1"/>
                    </pic:cNvPicPr>
                  </pic:nvPicPr>
                  <pic:blipFill>
                    <a:blip r:embed="rId18" cstate="print"/>
                    <a:stretch>
                      <a:fillRect/>
                    </a:stretch>
                  </pic:blipFill>
                  <pic:spPr>
                    <a:xfrm>
                      <a:off x="0" y="0"/>
                      <a:ext cx="5752465" cy="2668905"/>
                    </a:xfrm>
                    <a:prstGeom prst="rect">
                      <a:avLst/>
                    </a:prstGeom>
                  </pic:spPr>
                </pic:pic>
              </a:graphicData>
            </a:graphic>
          </wp:inline>
        </w:drawing>
      </w:r>
    </w:p>
    <w:p>
      <w:pPr>
        <w:jc w:val="center"/>
        <w:rPr>
          <w:rFonts w:ascii="仿宋" w:hAnsi="仿宋" w:eastAsia="仿宋" w:cs="仿宋"/>
        </w:rPr>
      </w:pPr>
      <w:r>
        <w:rPr>
          <w:rFonts w:hint="eastAsia" w:ascii="仿宋" w:hAnsi="仿宋" w:eastAsia="仿宋" w:cs="仿宋"/>
        </w:rPr>
        <w:t>图</w:t>
      </w:r>
      <w:r>
        <w:rPr>
          <w:rFonts w:ascii="仿宋" w:hAnsi="仿宋" w:eastAsia="仿宋" w:cs="仿宋"/>
        </w:rPr>
        <w:t>3-7</w:t>
      </w:r>
    </w:p>
    <w:p>
      <w:pPr>
        <w:numPr>
          <w:ilvl w:val="0"/>
          <w:numId w:val="3"/>
        </w:numPr>
        <w:rPr>
          <w:rFonts w:ascii="Times New Roman" w:hAnsi="Times New Roman" w:eastAsia="仿宋"/>
          <w:b/>
          <w:bCs/>
          <w:sz w:val="32"/>
        </w:rPr>
      </w:pPr>
      <w:r>
        <w:rPr>
          <w:rFonts w:hint="eastAsia" w:ascii="Times New Roman" w:hAnsi="Times New Roman" w:eastAsia="仿宋"/>
          <w:b/>
          <w:bCs/>
          <w:sz w:val="32"/>
        </w:rPr>
        <w:t>退出</w:t>
      </w:r>
      <w:r>
        <w:rPr>
          <w:rFonts w:ascii="Times New Roman" w:hAnsi="Times New Roman" w:eastAsia="仿宋"/>
          <w:b/>
          <w:bCs/>
          <w:sz w:val="32"/>
        </w:rPr>
        <w:t>系统</w:t>
      </w:r>
    </w:p>
    <w:p>
      <w:pPr>
        <w:ind w:left="420"/>
        <w:rPr>
          <w:rFonts w:ascii="仿宋" w:hAnsi="仿宋" w:eastAsia="仿宋" w:cs="仿宋"/>
          <w:sz w:val="28"/>
          <w:szCs w:val="28"/>
        </w:rPr>
      </w:pPr>
      <w:r>
        <w:rPr>
          <w:rFonts w:hint="eastAsia" w:ascii="仿宋" w:hAnsi="仿宋" w:eastAsia="仿宋" w:cs="仿宋"/>
          <w:sz w:val="28"/>
          <w:szCs w:val="28"/>
        </w:rPr>
        <w:t>点击</w:t>
      </w:r>
      <w:r>
        <w:rPr>
          <w:rFonts w:ascii="仿宋" w:hAnsi="仿宋" w:eastAsia="仿宋" w:cs="仿宋"/>
          <w:sz w:val="28"/>
          <w:szCs w:val="28"/>
        </w:rPr>
        <w:t>右上角</w:t>
      </w:r>
      <w:r>
        <w:rPr>
          <w:rFonts w:hint="eastAsia" w:ascii="仿宋" w:hAnsi="仿宋" w:eastAsia="仿宋" w:cs="仿宋"/>
          <w:sz w:val="28"/>
          <w:szCs w:val="28"/>
        </w:rPr>
        <w:t>【安全退出选课】功能按钮，即可退出选课操作页面，如</w:t>
      </w:r>
      <w:r>
        <w:rPr>
          <w:rFonts w:ascii="仿宋" w:hAnsi="仿宋" w:eastAsia="仿宋" w:cs="仿宋"/>
          <w:sz w:val="28"/>
          <w:szCs w:val="28"/>
        </w:rPr>
        <w:t>图</w:t>
      </w:r>
      <w:r>
        <w:rPr>
          <w:rFonts w:hint="eastAsia" w:ascii="仿宋" w:hAnsi="仿宋" w:eastAsia="仿宋" w:cs="仿宋"/>
          <w:sz w:val="28"/>
          <w:szCs w:val="28"/>
        </w:rPr>
        <w:t>4</w:t>
      </w:r>
      <w:r>
        <w:rPr>
          <w:rFonts w:ascii="仿宋" w:hAnsi="仿宋" w:eastAsia="仿宋" w:cs="仿宋"/>
          <w:sz w:val="28"/>
          <w:szCs w:val="28"/>
        </w:rPr>
        <w:t>-1。</w:t>
      </w:r>
    </w:p>
    <w:p>
      <w:pPr>
        <w:ind w:left="420"/>
        <w:rPr>
          <w:rFonts w:ascii="Times New Roman" w:hAnsi="Times New Roman" w:eastAsia="仿宋"/>
          <w:b/>
          <w:bCs/>
          <w:sz w:val="32"/>
        </w:rPr>
      </w:pPr>
      <w:r>
        <w:rPr>
          <w:rFonts w:hint="eastAsia" w:ascii="Times New Roman" w:hAnsi="Times New Roman" w:eastAsia="仿宋"/>
          <w:b/>
          <w:bCs/>
          <w:sz w:val="32"/>
        </w:rPr>
        <w:drawing>
          <wp:inline distT="0" distB="0" distL="114300" distR="114300">
            <wp:extent cx="5752465" cy="2668905"/>
            <wp:effectExtent l="0" t="0" r="635" b="17145"/>
            <wp:docPr id="30" name="图片 23" descr="1704879429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3" descr="1704879429591"/>
                    <pic:cNvPicPr>
                      <a:picLocks noChangeAspect="1"/>
                    </pic:cNvPicPr>
                  </pic:nvPicPr>
                  <pic:blipFill>
                    <a:blip r:embed="rId19" cstate="print"/>
                    <a:stretch>
                      <a:fillRect/>
                    </a:stretch>
                  </pic:blipFill>
                  <pic:spPr>
                    <a:xfrm>
                      <a:off x="0" y="0"/>
                      <a:ext cx="5752465" cy="2668905"/>
                    </a:xfrm>
                    <a:prstGeom prst="rect">
                      <a:avLst/>
                    </a:prstGeom>
                  </pic:spPr>
                </pic:pic>
              </a:graphicData>
            </a:graphic>
          </wp:inline>
        </w:drawing>
      </w:r>
    </w:p>
    <w:p>
      <w:pPr>
        <w:ind w:left="420"/>
        <w:jc w:val="center"/>
        <w:rPr>
          <w:rFonts w:ascii="仿宋" w:hAnsi="仿宋" w:eastAsia="仿宋" w:cs="仿宋"/>
          <w:szCs w:val="21"/>
        </w:rPr>
      </w:pPr>
      <w:r>
        <w:rPr>
          <w:rFonts w:hint="eastAsia" w:ascii="仿宋" w:hAnsi="仿宋" w:eastAsia="仿宋" w:cs="仿宋"/>
          <w:szCs w:val="21"/>
        </w:rPr>
        <w:t>图</w:t>
      </w:r>
      <w:r>
        <w:rPr>
          <w:rFonts w:ascii="仿宋" w:hAnsi="仿宋" w:eastAsia="仿宋" w:cs="仿宋"/>
          <w:szCs w:val="21"/>
        </w:rPr>
        <w:t>4-1</w:t>
      </w:r>
    </w:p>
    <w:p>
      <w:pPr>
        <w:widowControl/>
        <w:jc w:val="left"/>
        <w:rPr>
          <w:rFonts w:ascii="仿宋_GB2312" w:hAnsi="仿宋_GB2312" w:eastAsia="仿宋_GB2312" w:cs="仿宋_GB2312"/>
          <w:sz w:val="32"/>
          <w:szCs w:val="32"/>
          <w:shd w:val="clear" w:color="auto" w:fill="FFFFFF"/>
        </w:rPr>
      </w:pPr>
    </w:p>
    <w:p>
      <w:pPr>
        <w:ind w:left="420"/>
        <w:rPr>
          <w:rFonts w:ascii="仿宋" w:hAnsi="仿宋" w:eastAsia="仿宋" w:cs="仿宋"/>
          <w:sz w:val="28"/>
          <w:szCs w:val="28"/>
        </w:rPr>
      </w:pPr>
      <w:r>
        <w:rPr>
          <w:rFonts w:hint="eastAsia" w:ascii="仿宋" w:hAnsi="仿宋" w:eastAsia="仿宋" w:cs="仿宋"/>
          <w:sz w:val="28"/>
          <w:szCs w:val="28"/>
        </w:rPr>
        <w:t>在教务系统个人首页，点击右上角</w:t>
      </w:r>
      <w:r>
        <w:rPr>
          <w:rFonts w:hint="eastAsia" w:ascii="仿宋" w:hAnsi="仿宋" w:eastAsia="仿宋" w:cs="仿宋"/>
          <w:sz w:val="28"/>
          <w:szCs w:val="28"/>
        </w:rPr>
        <w:drawing>
          <wp:inline distT="0" distB="0" distL="114300" distR="114300">
            <wp:extent cx="141605" cy="130175"/>
            <wp:effectExtent l="0" t="0" r="10795" b="3175"/>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20" cstate="print"/>
                    <a:stretch>
                      <a:fillRect/>
                    </a:stretch>
                  </pic:blipFill>
                  <pic:spPr>
                    <a:xfrm>
                      <a:off x="0" y="0"/>
                      <a:ext cx="141605" cy="130175"/>
                    </a:xfrm>
                    <a:prstGeom prst="rect">
                      <a:avLst/>
                    </a:prstGeom>
                    <a:noFill/>
                    <a:ln>
                      <a:noFill/>
                    </a:ln>
                  </pic:spPr>
                </pic:pic>
              </a:graphicData>
            </a:graphic>
          </wp:inline>
        </w:drawing>
      </w:r>
      <w:r>
        <w:rPr>
          <w:rFonts w:hint="eastAsia" w:ascii="仿宋" w:hAnsi="仿宋" w:eastAsia="仿宋" w:cs="仿宋"/>
          <w:sz w:val="28"/>
          <w:szCs w:val="28"/>
        </w:rPr>
        <w:t xml:space="preserve"> 按钮，点击【确认】，即可退出教</w:t>
      </w:r>
    </w:p>
    <w:p>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-14605</wp:posOffset>
            </wp:positionH>
            <wp:positionV relativeFrom="paragraph">
              <wp:posOffset>406400</wp:posOffset>
            </wp:positionV>
            <wp:extent cx="5755640" cy="2857500"/>
            <wp:effectExtent l="0" t="0" r="16510" b="0"/>
            <wp:wrapSquare wrapText="bothSides"/>
            <wp:docPr id="32" name="图片 24" descr="1704879464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4" descr="1704879464297"/>
                    <pic:cNvPicPr>
                      <a:picLocks noChangeAspect="1"/>
                    </pic:cNvPicPr>
                  </pic:nvPicPr>
                  <pic:blipFill>
                    <a:blip r:embed="rId21" cstate="print"/>
                    <a:stretch>
                      <a:fillRect/>
                    </a:stretch>
                  </pic:blipFill>
                  <pic:spPr>
                    <a:xfrm>
                      <a:off x="0" y="0"/>
                      <a:ext cx="5755640" cy="2857500"/>
                    </a:xfrm>
                    <a:prstGeom prst="rect">
                      <a:avLst/>
                    </a:prstGeom>
                  </pic:spPr>
                </pic:pic>
              </a:graphicData>
            </a:graphic>
          </wp:anchor>
        </w:drawing>
      </w:r>
      <w:r>
        <w:rPr>
          <w:rFonts w:hint="eastAsia" w:ascii="仿宋" w:hAnsi="仿宋" w:eastAsia="仿宋" w:cs="仿宋"/>
          <w:sz w:val="28"/>
          <w:szCs w:val="28"/>
        </w:rPr>
        <w:t>务系统，如图4-2。</w:t>
      </w:r>
    </w:p>
    <w:p>
      <w:pPr>
        <w:jc w:val="center"/>
        <w:rPr>
          <w:rFonts w:ascii="仿宋_GB2312" w:hAnsi="宋体" w:eastAsia="仿宋_GB2312"/>
          <w:sz w:val="32"/>
          <w:szCs w:val="32"/>
        </w:rPr>
      </w:pPr>
      <w:r>
        <w:rPr>
          <w:rFonts w:hint="eastAsia" w:ascii="仿宋" w:hAnsi="仿宋" w:eastAsia="仿宋" w:cs="仿宋"/>
          <w:szCs w:val="21"/>
        </w:rPr>
        <w:t>图4-2</w:t>
      </w:r>
      <w:r>
        <w:rPr>
          <w:rFonts w:hint="eastAsia" w:ascii="仿宋_GB2312" w:hAnsi="宋体" w:eastAsia="仿宋_GB2312"/>
          <w:sz w:val="32"/>
          <w:szCs w:val="32"/>
        </w:rPr>
        <w:br w:type="page"/>
      </w:r>
    </w:p>
    <w:p>
      <w:pPr>
        <w:spacing w:line="360" w:lineRule="auto"/>
        <w:rPr>
          <w:sz w:val="32"/>
          <w:szCs w:val="32"/>
        </w:rPr>
      </w:pPr>
      <w:r>
        <w:rPr>
          <w:rFonts w:hint="eastAsia"/>
          <w:sz w:val="32"/>
          <w:szCs w:val="32"/>
        </w:rPr>
        <w:t>附件</w:t>
      </w:r>
      <w:r>
        <w:rPr>
          <w:sz w:val="32"/>
          <w:szCs w:val="32"/>
        </w:rPr>
        <w:t>4</w:t>
      </w:r>
      <w:r>
        <w:rPr>
          <w:rFonts w:hint="eastAsia"/>
          <w:sz w:val="32"/>
          <w:szCs w:val="32"/>
        </w:rPr>
        <w:t>：</w:t>
      </w:r>
    </w:p>
    <w:p>
      <w:pPr>
        <w:jc w:val="center"/>
        <w:rPr>
          <w:b/>
          <w:bCs/>
          <w:sz w:val="36"/>
        </w:rPr>
      </w:pPr>
      <w:r>
        <w:rPr>
          <w:rFonts w:hint="eastAsia"/>
          <w:b/>
          <w:bCs/>
          <w:sz w:val="36"/>
        </w:rPr>
        <w:t>河海大学学生学籍异动课程变更表</w:t>
      </w:r>
    </w:p>
    <w:p>
      <w:pPr>
        <w:ind w:firstLine="4320" w:firstLineChars="1800"/>
        <w:rPr>
          <w:sz w:val="28"/>
        </w:rPr>
      </w:pPr>
      <w:r>
        <w:rPr>
          <w:sz w:val="24"/>
          <w:u w:val="single"/>
        </w:rPr>
        <w:t xml:space="preserve"> </w:t>
      </w:r>
      <w:r>
        <w:rPr>
          <w:sz w:val="28"/>
          <w:u w:val="single"/>
        </w:rPr>
        <w:t xml:space="preserve">       </w:t>
      </w:r>
      <w:r>
        <w:rPr>
          <w:rFonts w:hint="eastAsia"/>
          <w:sz w:val="28"/>
          <w:u w:val="single"/>
        </w:rPr>
        <w:t xml:space="preserve">      </w:t>
      </w:r>
      <w:r>
        <w:rPr>
          <w:rFonts w:hint="eastAsia"/>
          <w:sz w:val="28"/>
        </w:rPr>
        <w:t>学年第</w:t>
      </w:r>
      <w:r>
        <w:rPr>
          <w:sz w:val="28"/>
          <w:u w:val="single"/>
        </w:rPr>
        <w:t xml:space="preserve">    </w:t>
      </w:r>
      <w:r>
        <w:rPr>
          <w:rFonts w:hint="eastAsia"/>
          <w:sz w:val="28"/>
        </w:rPr>
        <w:t>学期</w:t>
      </w:r>
    </w:p>
    <w:p>
      <w:pPr>
        <w:rPr>
          <w:sz w:val="28"/>
        </w:rPr>
      </w:pPr>
      <w:r>
        <w:rPr>
          <w:rFonts w:hint="eastAsia"/>
          <w:sz w:val="28"/>
        </w:rPr>
        <w:t xml:space="preserve">学院（系）：                     </w:t>
      </w:r>
    </w:p>
    <w:p>
      <w:pPr>
        <w:rPr>
          <w:sz w:val="28"/>
        </w:rPr>
      </w:pPr>
      <w:r>
        <w:rPr>
          <w:rFonts w:hint="eastAsia"/>
          <w:sz w:val="28"/>
        </w:rPr>
        <w:t>姓名</w:t>
      </w:r>
      <w:r>
        <w:rPr>
          <w:rFonts w:hint="eastAsia"/>
          <w:sz w:val="28"/>
          <w:u w:val="single"/>
        </w:rPr>
        <w:t xml:space="preserve">          </w:t>
      </w:r>
      <w:r>
        <w:rPr>
          <w:rFonts w:hint="eastAsia"/>
          <w:sz w:val="28"/>
        </w:rPr>
        <w:t xml:space="preserve"> 学号</w:t>
      </w:r>
      <w:r>
        <w:rPr>
          <w:rFonts w:hint="eastAsia"/>
          <w:sz w:val="28"/>
          <w:u w:val="single"/>
        </w:rPr>
        <w:t xml:space="preserve">           </w:t>
      </w:r>
      <w:r>
        <w:rPr>
          <w:rFonts w:hint="eastAsia"/>
          <w:sz w:val="28"/>
        </w:rPr>
        <w:t xml:space="preserve"> 班级 </w:t>
      </w:r>
      <w:r>
        <w:rPr>
          <w:rFonts w:hint="eastAsia"/>
          <w:sz w:val="28"/>
          <w:u w:val="single"/>
        </w:rPr>
        <w:t xml:space="preserve">     </w:t>
      </w:r>
      <w:r>
        <w:rPr>
          <w:rFonts w:hint="eastAsia"/>
          <w:sz w:val="28"/>
        </w:rPr>
        <w:t xml:space="preserve">  变更原因 </w:t>
      </w:r>
      <w:r>
        <w:rPr>
          <w:rFonts w:hint="eastAsia"/>
          <w:sz w:val="28"/>
          <w:u w:val="single"/>
        </w:rPr>
        <w:t xml:space="preserve">      </w:t>
      </w:r>
      <w:r>
        <w:rPr>
          <w:rFonts w:hint="eastAsia"/>
          <w:sz w:val="28"/>
        </w:rPr>
        <w:t xml:space="preserve">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8"/>
        <w:gridCol w:w="1080"/>
        <w:gridCol w:w="2160"/>
        <w:gridCol w:w="180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jc w:val="center"/>
              <w:rPr>
                <w:sz w:val="28"/>
              </w:rPr>
            </w:pPr>
            <w:r>
              <w:rPr>
                <w:rFonts w:hint="eastAsia"/>
                <w:sz w:val="28"/>
              </w:rPr>
              <w:t>课程号</w:t>
            </w:r>
          </w:p>
        </w:tc>
        <w:tc>
          <w:tcPr>
            <w:tcW w:w="1080" w:type="dxa"/>
          </w:tcPr>
          <w:p>
            <w:pPr>
              <w:spacing w:line="480" w:lineRule="auto"/>
              <w:jc w:val="center"/>
              <w:rPr>
                <w:sz w:val="28"/>
              </w:rPr>
            </w:pPr>
            <w:r>
              <w:rPr>
                <w:rFonts w:hint="eastAsia"/>
                <w:sz w:val="28"/>
              </w:rPr>
              <w:t>课序号</w:t>
            </w:r>
          </w:p>
        </w:tc>
        <w:tc>
          <w:tcPr>
            <w:tcW w:w="2160" w:type="dxa"/>
          </w:tcPr>
          <w:p>
            <w:pPr>
              <w:spacing w:line="480" w:lineRule="auto"/>
              <w:jc w:val="center"/>
              <w:rPr>
                <w:sz w:val="28"/>
              </w:rPr>
            </w:pPr>
            <w:r>
              <w:rPr>
                <w:rFonts w:hint="eastAsia"/>
                <w:sz w:val="28"/>
              </w:rPr>
              <w:t>课程名称</w:t>
            </w:r>
          </w:p>
        </w:tc>
        <w:tc>
          <w:tcPr>
            <w:tcW w:w="1800" w:type="dxa"/>
          </w:tcPr>
          <w:p>
            <w:pPr>
              <w:spacing w:line="480" w:lineRule="auto"/>
              <w:jc w:val="center"/>
              <w:rPr>
                <w:sz w:val="28"/>
              </w:rPr>
            </w:pPr>
            <w:r>
              <w:rPr>
                <w:rFonts w:hint="eastAsia"/>
                <w:sz w:val="28"/>
              </w:rPr>
              <w:t>任课教师</w:t>
            </w:r>
          </w:p>
        </w:tc>
        <w:tc>
          <w:tcPr>
            <w:tcW w:w="1800" w:type="dxa"/>
          </w:tcPr>
          <w:p>
            <w:pPr>
              <w:spacing w:line="480" w:lineRule="auto"/>
              <w:jc w:val="center"/>
              <w:rPr>
                <w:sz w:val="28"/>
              </w:rPr>
            </w:pPr>
            <w:r>
              <w:rPr>
                <w:rFonts w:hint="eastAsia"/>
                <w:sz w:val="28"/>
              </w:rPr>
              <w:t>删除/增加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pPr>
          </w:p>
        </w:tc>
        <w:tc>
          <w:tcPr>
            <w:tcW w:w="1080" w:type="dxa"/>
          </w:tcPr>
          <w:p>
            <w:pPr>
              <w:spacing w:line="480" w:lineRule="auto"/>
            </w:pPr>
          </w:p>
        </w:tc>
        <w:tc>
          <w:tcPr>
            <w:tcW w:w="2160" w:type="dxa"/>
          </w:tcPr>
          <w:p>
            <w:pPr>
              <w:spacing w:line="480" w:lineRule="auto"/>
            </w:pPr>
          </w:p>
        </w:tc>
        <w:tc>
          <w:tcPr>
            <w:tcW w:w="1800" w:type="dxa"/>
          </w:tcPr>
          <w:p>
            <w:pPr>
              <w:spacing w:line="480" w:lineRule="auto"/>
            </w:pPr>
          </w:p>
        </w:tc>
        <w:tc>
          <w:tcPr>
            <w:tcW w:w="1800" w:type="dxa"/>
          </w:tcPr>
          <w:p>
            <w:pPr>
              <w:spacing w:line="48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pPr>
          </w:p>
        </w:tc>
        <w:tc>
          <w:tcPr>
            <w:tcW w:w="1080" w:type="dxa"/>
          </w:tcPr>
          <w:p>
            <w:pPr>
              <w:spacing w:line="480" w:lineRule="auto"/>
            </w:pPr>
          </w:p>
        </w:tc>
        <w:tc>
          <w:tcPr>
            <w:tcW w:w="2160" w:type="dxa"/>
          </w:tcPr>
          <w:p>
            <w:pPr>
              <w:spacing w:line="480" w:lineRule="auto"/>
            </w:pPr>
          </w:p>
        </w:tc>
        <w:tc>
          <w:tcPr>
            <w:tcW w:w="1800" w:type="dxa"/>
          </w:tcPr>
          <w:p>
            <w:pPr>
              <w:spacing w:line="480" w:lineRule="auto"/>
            </w:pPr>
          </w:p>
        </w:tc>
        <w:tc>
          <w:tcPr>
            <w:tcW w:w="1800" w:type="dxa"/>
          </w:tcPr>
          <w:p>
            <w:pPr>
              <w:spacing w:line="48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pPr>
          </w:p>
        </w:tc>
        <w:tc>
          <w:tcPr>
            <w:tcW w:w="1080" w:type="dxa"/>
          </w:tcPr>
          <w:p>
            <w:pPr>
              <w:spacing w:line="480" w:lineRule="auto"/>
            </w:pPr>
          </w:p>
        </w:tc>
        <w:tc>
          <w:tcPr>
            <w:tcW w:w="2160" w:type="dxa"/>
          </w:tcPr>
          <w:p>
            <w:pPr>
              <w:spacing w:line="480" w:lineRule="auto"/>
            </w:pPr>
          </w:p>
        </w:tc>
        <w:tc>
          <w:tcPr>
            <w:tcW w:w="1800" w:type="dxa"/>
          </w:tcPr>
          <w:p>
            <w:pPr>
              <w:spacing w:line="480" w:lineRule="auto"/>
            </w:pPr>
          </w:p>
        </w:tc>
        <w:tc>
          <w:tcPr>
            <w:tcW w:w="1800" w:type="dxa"/>
          </w:tcPr>
          <w:p>
            <w:pPr>
              <w:spacing w:line="48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pPr>
          </w:p>
        </w:tc>
        <w:tc>
          <w:tcPr>
            <w:tcW w:w="1080" w:type="dxa"/>
          </w:tcPr>
          <w:p>
            <w:pPr>
              <w:spacing w:line="480" w:lineRule="auto"/>
            </w:pPr>
          </w:p>
        </w:tc>
        <w:tc>
          <w:tcPr>
            <w:tcW w:w="2160" w:type="dxa"/>
          </w:tcPr>
          <w:p>
            <w:pPr>
              <w:spacing w:line="480" w:lineRule="auto"/>
            </w:pPr>
          </w:p>
        </w:tc>
        <w:tc>
          <w:tcPr>
            <w:tcW w:w="1800" w:type="dxa"/>
          </w:tcPr>
          <w:p>
            <w:pPr>
              <w:spacing w:line="480" w:lineRule="auto"/>
            </w:pPr>
          </w:p>
        </w:tc>
        <w:tc>
          <w:tcPr>
            <w:tcW w:w="1800" w:type="dxa"/>
          </w:tcPr>
          <w:p>
            <w:pPr>
              <w:spacing w:line="48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pPr>
          </w:p>
        </w:tc>
        <w:tc>
          <w:tcPr>
            <w:tcW w:w="1080" w:type="dxa"/>
          </w:tcPr>
          <w:p>
            <w:pPr>
              <w:spacing w:line="480" w:lineRule="auto"/>
            </w:pPr>
          </w:p>
        </w:tc>
        <w:tc>
          <w:tcPr>
            <w:tcW w:w="2160" w:type="dxa"/>
          </w:tcPr>
          <w:p>
            <w:pPr>
              <w:spacing w:line="480" w:lineRule="auto"/>
            </w:pPr>
          </w:p>
        </w:tc>
        <w:tc>
          <w:tcPr>
            <w:tcW w:w="1800" w:type="dxa"/>
          </w:tcPr>
          <w:p>
            <w:pPr>
              <w:spacing w:line="480" w:lineRule="auto"/>
            </w:pPr>
          </w:p>
        </w:tc>
        <w:tc>
          <w:tcPr>
            <w:tcW w:w="1800" w:type="dxa"/>
          </w:tcPr>
          <w:p>
            <w:pPr>
              <w:spacing w:line="48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pPr>
          </w:p>
        </w:tc>
        <w:tc>
          <w:tcPr>
            <w:tcW w:w="1080" w:type="dxa"/>
          </w:tcPr>
          <w:p>
            <w:pPr>
              <w:spacing w:line="480" w:lineRule="auto"/>
            </w:pPr>
          </w:p>
        </w:tc>
        <w:tc>
          <w:tcPr>
            <w:tcW w:w="2160" w:type="dxa"/>
          </w:tcPr>
          <w:p>
            <w:pPr>
              <w:spacing w:line="480" w:lineRule="auto"/>
            </w:pPr>
          </w:p>
        </w:tc>
        <w:tc>
          <w:tcPr>
            <w:tcW w:w="1800" w:type="dxa"/>
          </w:tcPr>
          <w:p>
            <w:pPr>
              <w:spacing w:line="480" w:lineRule="auto"/>
            </w:pPr>
          </w:p>
        </w:tc>
        <w:tc>
          <w:tcPr>
            <w:tcW w:w="1800" w:type="dxa"/>
          </w:tcPr>
          <w:p>
            <w:pPr>
              <w:spacing w:line="48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pPr>
          </w:p>
        </w:tc>
        <w:tc>
          <w:tcPr>
            <w:tcW w:w="1080" w:type="dxa"/>
          </w:tcPr>
          <w:p>
            <w:pPr>
              <w:spacing w:line="480" w:lineRule="auto"/>
            </w:pPr>
          </w:p>
        </w:tc>
        <w:tc>
          <w:tcPr>
            <w:tcW w:w="2160" w:type="dxa"/>
          </w:tcPr>
          <w:p>
            <w:pPr>
              <w:spacing w:line="480" w:lineRule="auto"/>
            </w:pPr>
          </w:p>
        </w:tc>
        <w:tc>
          <w:tcPr>
            <w:tcW w:w="1800" w:type="dxa"/>
          </w:tcPr>
          <w:p>
            <w:pPr>
              <w:spacing w:line="480" w:lineRule="auto"/>
            </w:pPr>
          </w:p>
        </w:tc>
        <w:tc>
          <w:tcPr>
            <w:tcW w:w="1800" w:type="dxa"/>
          </w:tcPr>
          <w:p>
            <w:pPr>
              <w:spacing w:line="48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pPr>
          </w:p>
        </w:tc>
        <w:tc>
          <w:tcPr>
            <w:tcW w:w="1080" w:type="dxa"/>
          </w:tcPr>
          <w:p>
            <w:pPr>
              <w:spacing w:line="480" w:lineRule="auto"/>
            </w:pPr>
          </w:p>
        </w:tc>
        <w:tc>
          <w:tcPr>
            <w:tcW w:w="2160" w:type="dxa"/>
          </w:tcPr>
          <w:p>
            <w:pPr>
              <w:spacing w:line="480" w:lineRule="auto"/>
            </w:pPr>
          </w:p>
        </w:tc>
        <w:tc>
          <w:tcPr>
            <w:tcW w:w="1800" w:type="dxa"/>
          </w:tcPr>
          <w:p>
            <w:pPr>
              <w:spacing w:line="480" w:lineRule="auto"/>
            </w:pPr>
          </w:p>
        </w:tc>
        <w:tc>
          <w:tcPr>
            <w:tcW w:w="1800" w:type="dxa"/>
          </w:tcPr>
          <w:p>
            <w:pPr>
              <w:spacing w:line="48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pPr>
          </w:p>
        </w:tc>
        <w:tc>
          <w:tcPr>
            <w:tcW w:w="1080" w:type="dxa"/>
          </w:tcPr>
          <w:p>
            <w:pPr>
              <w:spacing w:line="480" w:lineRule="auto"/>
            </w:pPr>
          </w:p>
        </w:tc>
        <w:tc>
          <w:tcPr>
            <w:tcW w:w="2160" w:type="dxa"/>
          </w:tcPr>
          <w:p>
            <w:pPr>
              <w:spacing w:line="480" w:lineRule="auto"/>
            </w:pPr>
          </w:p>
        </w:tc>
        <w:tc>
          <w:tcPr>
            <w:tcW w:w="1800" w:type="dxa"/>
          </w:tcPr>
          <w:p>
            <w:pPr>
              <w:spacing w:line="480" w:lineRule="auto"/>
            </w:pPr>
          </w:p>
        </w:tc>
        <w:tc>
          <w:tcPr>
            <w:tcW w:w="1800" w:type="dxa"/>
          </w:tcPr>
          <w:p>
            <w:pPr>
              <w:spacing w:line="48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pPr>
          </w:p>
        </w:tc>
        <w:tc>
          <w:tcPr>
            <w:tcW w:w="1080" w:type="dxa"/>
          </w:tcPr>
          <w:p>
            <w:pPr>
              <w:spacing w:line="480" w:lineRule="auto"/>
            </w:pPr>
          </w:p>
        </w:tc>
        <w:tc>
          <w:tcPr>
            <w:tcW w:w="2160" w:type="dxa"/>
          </w:tcPr>
          <w:p>
            <w:pPr>
              <w:spacing w:line="480" w:lineRule="auto"/>
            </w:pPr>
          </w:p>
        </w:tc>
        <w:tc>
          <w:tcPr>
            <w:tcW w:w="1800" w:type="dxa"/>
          </w:tcPr>
          <w:p>
            <w:pPr>
              <w:spacing w:line="480" w:lineRule="auto"/>
            </w:pPr>
          </w:p>
        </w:tc>
        <w:tc>
          <w:tcPr>
            <w:tcW w:w="1800" w:type="dxa"/>
          </w:tcPr>
          <w:p>
            <w:pPr>
              <w:spacing w:line="48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pPr>
          </w:p>
        </w:tc>
        <w:tc>
          <w:tcPr>
            <w:tcW w:w="1080" w:type="dxa"/>
          </w:tcPr>
          <w:p>
            <w:pPr>
              <w:spacing w:line="480" w:lineRule="auto"/>
            </w:pPr>
          </w:p>
        </w:tc>
        <w:tc>
          <w:tcPr>
            <w:tcW w:w="2160" w:type="dxa"/>
          </w:tcPr>
          <w:p>
            <w:pPr>
              <w:spacing w:line="480" w:lineRule="auto"/>
            </w:pPr>
          </w:p>
        </w:tc>
        <w:tc>
          <w:tcPr>
            <w:tcW w:w="1800" w:type="dxa"/>
          </w:tcPr>
          <w:p>
            <w:pPr>
              <w:spacing w:line="480" w:lineRule="auto"/>
            </w:pPr>
          </w:p>
        </w:tc>
        <w:tc>
          <w:tcPr>
            <w:tcW w:w="1800" w:type="dxa"/>
          </w:tcPr>
          <w:p>
            <w:pPr>
              <w:spacing w:line="48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pPr>
          </w:p>
        </w:tc>
        <w:tc>
          <w:tcPr>
            <w:tcW w:w="1080" w:type="dxa"/>
          </w:tcPr>
          <w:p>
            <w:pPr>
              <w:spacing w:line="480" w:lineRule="auto"/>
            </w:pPr>
          </w:p>
        </w:tc>
        <w:tc>
          <w:tcPr>
            <w:tcW w:w="2160" w:type="dxa"/>
          </w:tcPr>
          <w:p>
            <w:pPr>
              <w:spacing w:line="480" w:lineRule="auto"/>
            </w:pPr>
          </w:p>
        </w:tc>
        <w:tc>
          <w:tcPr>
            <w:tcW w:w="1800" w:type="dxa"/>
          </w:tcPr>
          <w:p>
            <w:pPr>
              <w:spacing w:line="480" w:lineRule="auto"/>
            </w:pPr>
          </w:p>
        </w:tc>
        <w:tc>
          <w:tcPr>
            <w:tcW w:w="1800" w:type="dxa"/>
          </w:tcPr>
          <w:p>
            <w:pPr>
              <w:spacing w:line="48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8" w:type="dxa"/>
          </w:tcPr>
          <w:p>
            <w:pPr>
              <w:spacing w:line="480" w:lineRule="auto"/>
            </w:pPr>
          </w:p>
        </w:tc>
        <w:tc>
          <w:tcPr>
            <w:tcW w:w="1080" w:type="dxa"/>
          </w:tcPr>
          <w:p>
            <w:pPr>
              <w:spacing w:line="480" w:lineRule="auto"/>
            </w:pPr>
          </w:p>
        </w:tc>
        <w:tc>
          <w:tcPr>
            <w:tcW w:w="2160" w:type="dxa"/>
          </w:tcPr>
          <w:p>
            <w:pPr>
              <w:spacing w:line="480" w:lineRule="auto"/>
            </w:pPr>
          </w:p>
        </w:tc>
        <w:tc>
          <w:tcPr>
            <w:tcW w:w="1800" w:type="dxa"/>
          </w:tcPr>
          <w:p>
            <w:pPr>
              <w:spacing w:line="480" w:lineRule="auto"/>
            </w:pPr>
          </w:p>
        </w:tc>
        <w:tc>
          <w:tcPr>
            <w:tcW w:w="1800" w:type="dxa"/>
          </w:tcPr>
          <w:p>
            <w:pPr>
              <w:spacing w:line="480" w:lineRule="auto"/>
            </w:pPr>
          </w:p>
        </w:tc>
      </w:tr>
    </w:tbl>
    <w:p>
      <w:pPr>
        <w:rPr>
          <w:sz w:val="28"/>
        </w:rPr>
      </w:pPr>
      <w:r>
        <w:rPr>
          <w:rFonts w:hint="eastAsia"/>
          <w:sz w:val="28"/>
        </w:rPr>
        <w:t>教学秘书签字：</w:t>
      </w:r>
    </w:p>
    <w:p>
      <w:pPr>
        <w:rPr>
          <w:sz w:val="28"/>
        </w:rPr>
      </w:pPr>
      <w:r>
        <w:rPr>
          <w:rFonts w:hint="eastAsia"/>
          <w:sz w:val="28"/>
        </w:rPr>
        <w:t>备注：本表一式两份，一份送教务处，一份送学生所在院。</w:t>
      </w:r>
    </w:p>
    <w:p>
      <w:pPr>
        <w:spacing w:line="360" w:lineRule="auto"/>
        <w:rPr>
          <w:sz w:val="28"/>
        </w:rPr>
      </w:pPr>
      <w:r>
        <w:rPr>
          <w:rFonts w:hint="eastAsia"/>
          <w:sz w:val="28"/>
        </w:rPr>
        <w:t xml:space="preserve">                                 </w:t>
      </w:r>
      <w:r>
        <w:rPr>
          <w:rFonts w:hint="eastAsia"/>
          <w:sz w:val="28"/>
          <w:u w:val="single"/>
        </w:rPr>
        <w:t xml:space="preserve">        </w:t>
      </w:r>
      <w:r>
        <w:rPr>
          <w:rFonts w:hint="eastAsia"/>
          <w:sz w:val="28"/>
        </w:rPr>
        <w:t>年</w:t>
      </w:r>
      <w:r>
        <w:rPr>
          <w:rFonts w:hint="eastAsia"/>
          <w:sz w:val="28"/>
          <w:u w:val="single"/>
        </w:rPr>
        <w:t xml:space="preserve">      </w:t>
      </w:r>
      <w:r>
        <w:rPr>
          <w:rFonts w:hint="eastAsia"/>
          <w:sz w:val="28"/>
        </w:rPr>
        <w:t>月</w:t>
      </w:r>
      <w:r>
        <w:rPr>
          <w:rFonts w:hint="eastAsia"/>
          <w:sz w:val="28"/>
          <w:u w:val="single"/>
        </w:rPr>
        <w:t xml:space="preserve">     </w:t>
      </w:r>
      <w:r>
        <w:rPr>
          <w:rFonts w:hint="eastAsia"/>
          <w:sz w:val="28"/>
        </w:rPr>
        <w:t>日</w:t>
      </w:r>
    </w:p>
    <w:p>
      <w:pPr>
        <w:spacing w:line="360" w:lineRule="auto"/>
        <w:rPr>
          <w:sz w:val="28"/>
        </w:rPr>
      </w:pPr>
      <w:r>
        <w:rPr>
          <w:rFonts w:hint="eastAsia"/>
          <w:sz w:val="32"/>
          <w:szCs w:val="32"/>
        </w:rPr>
        <w:t>附件</w:t>
      </w:r>
      <w:r>
        <w:rPr>
          <w:sz w:val="32"/>
          <w:szCs w:val="32"/>
        </w:rPr>
        <w:t>5</w:t>
      </w:r>
      <w:r>
        <w:rPr>
          <w:rFonts w:hint="eastAsia"/>
          <w:sz w:val="32"/>
          <w:szCs w:val="32"/>
        </w:rPr>
        <w:t>：</w:t>
      </w:r>
    </w:p>
    <w:p>
      <w:pPr>
        <w:widowControl/>
        <w:spacing w:line="560" w:lineRule="exact"/>
        <w:jc w:val="center"/>
        <w:rPr>
          <w:rFonts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Cs/>
          <w:kern w:val="0"/>
          <w:sz w:val="36"/>
          <w:szCs w:val="36"/>
        </w:rPr>
        <w:t>河海大学全日制普通本科生选课管理实施细则</w:t>
      </w:r>
      <w:r>
        <w:rPr>
          <w:rFonts w:hint="eastAsia" w:ascii="方正小标宋简体" w:hAnsi="宋体" w:eastAsia="方正小标宋简体"/>
          <w:sz w:val="36"/>
          <w:szCs w:val="36"/>
        </w:rPr>
        <w:t>（试行）</w:t>
      </w:r>
    </w:p>
    <w:p>
      <w:pPr>
        <w:pStyle w:val="10"/>
        <w:spacing w:before="0" w:beforeAutospacing="0" w:after="0" w:afterAutospacing="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 </w:t>
      </w:r>
    </w:p>
    <w:p>
      <w:pPr>
        <w:pStyle w:val="10"/>
        <w:spacing w:before="0" w:beforeAutospacing="0" w:after="0" w:afterAutospacing="0" w:line="560" w:lineRule="exact"/>
        <w:jc w:val="center"/>
        <w:rPr>
          <w:rFonts w:ascii="仿宋_GB2312" w:hAnsi="仿宋_GB2312" w:eastAsia="仿宋_GB2312" w:cs="仿宋_GB2312"/>
          <w:b/>
          <w:bCs/>
          <w:sz w:val="32"/>
          <w:szCs w:val="32"/>
        </w:rPr>
      </w:pPr>
      <w:r>
        <w:rPr>
          <w:rStyle w:val="14"/>
          <w:rFonts w:hint="eastAsia" w:ascii="仿宋_GB2312" w:hAnsi="仿宋_GB2312" w:eastAsia="仿宋_GB2312" w:cs="仿宋_GB2312"/>
          <w:b/>
          <w:bCs/>
          <w:sz w:val="32"/>
          <w:szCs w:val="32"/>
          <w:shd w:val="clear" w:color="auto" w:fill="FFFFFF"/>
        </w:rPr>
        <w:t>第一章 总则</w:t>
      </w:r>
    </w:p>
    <w:p>
      <w:pPr>
        <w:pStyle w:val="10"/>
        <w:spacing w:before="0" w:beforeAutospacing="0" w:after="0" w:afterAutospacing="0" w:line="560" w:lineRule="exact"/>
        <w:rPr>
          <w:rFonts w:ascii="仿宋_GB2312" w:hAnsi="仿宋_GB2312" w:eastAsia="仿宋_GB2312" w:cs="仿宋_GB2312"/>
          <w:sz w:val="32"/>
          <w:szCs w:val="32"/>
        </w:rPr>
      </w:pPr>
    </w:p>
    <w:p>
      <w:pPr>
        <w:pStyle w:val="10"/>
        <w:numPr>
          <w:ilvl w:val="0"/>
          <w:numId w:val="4"/>
        </w:numPr>
        <w:spacing w:before="0" w:beforeAutospacing="0" w:after="0" w:afterAutospacing="0" w:line="560" w:lineRule="exact"/>
        <w:ind w:firstLine="57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选课是学生取得课程修读资格所履行的必要手续，是教学运行管理的重要环节，根据《河海大学全日制普通本科生学籍管理办法》及有关规定，为进一步规范我校本科生选课工作，</w:t>
      </w:r>
      <w:bookmarkStart w:id="0" w:name="_GoBack"/>
      <w:bookmarkEnd w:id="0"/>
      <w:r>
        <w:rPr>
          <w:rFonts w:hint="eastAsia" w:ascii="仿宋_GB2312" w:hAnsi="仿宋_GB2312" w:eastAsia="仿宋_GB2312" w:cs="仿宋_GB2312"/>
          <w:sz w:val="32"/>
          <w:szCs w:val="32"/>
          <w:shd w:val="clear" w:color="auto" w:fill="FFFFFF"/>
        </w:rPr>
        <w:t>加强选课管理，特制定本细则。</w:t>
      </w:r>
    </w:p>
    <w:p>
      <w:pPr>
        <w:pStyle w:val="10"/>
        <w:numPr>
          <w:ilvl w:val="0"/>
          <w:numId w:val="4"/>
        </w:numPr>
        <w:spacing w:before="0" w:beforeAutospacing="0" w:after="0" w:afterAutospacing="0" w:line="560" w:lineRule="exact"/>
        <w:ind w:firstLine="570"/>
        <w:rPr>
          <w:rStyle w:val="14"/>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本细则适用于我校全日制普通本科生。</w:t>
      </w:r>
    </w:p>
    <w:p>
      <w:pPr>
        <w:pStyle w:val="10"/>
        <w:spacing w:before="0" w:beforeAutospacing="0" w:after="0" w:afterAutospacing="0" w:line="560" w:lineRule="exact"/>
        <w:ind w:left="570"/>
        <w:rPr>
          <w:rStyle w:val="14"/>
          <w:rFonts w:ascii="仿宋_GB2312" w:hAnsi="仿宋_GB2312" w:eastAsia="仿宋_GB2312" w:cs="仿宋_GB2312"/>
          <w:sz w:val="32"/>
          <w:szCs w:val="32"/>
          <w:shd w:val="clear" w:color="auto" w:fill="FFFFFF"/>
        </w:rPr>
      </w:pPr>
    </w:p>
    <w:p>
      <w:pPr>
        <w:pStyle w:val="10"/>
        <w:spacing w:before="0" w:beforeAutospacing="0" w:after="0" w:afterAutospacing="0" w:line="560" w:lineRule="exact"/>
        <w:jc w:val="center"/>
        <w:rPr>
          <w:rStyle w:val="14"/>
          <w:rFonts w:ascii="仿宋_GB2312" w:hAnsi="仿宋_GB2312" w:eastAsia="仿宋_GB2312" w:cs="仿宋_GB2312"/>
          <w:b/>
          <w:bCs/>
          <w:sz w:val="32"/>
          <w:szCs w:val="32"/>
          <w:shd w:val="clear" w:color="auto" w:fill="FFFFFF"/>
        </w:rPr>
      </w:pPr>
      <w:r>
        <w:rPr>
          <w:rStyle w:val="14"/>
          <w:rFonts w:hint="eastAsia" w:ascii="仿宋_GB2312" w:hAnsi="仿宋_GB2312" w:eastAsia="仿宋_GB2312" w:cs="仿宋_GB2312"/>
          <w:b/>
          <w:bCs/>
          <w:sz w:val="32"/>
          <w:szCs w:val="32"/>
          <w:shd w:val="clear" w:color="auto" w:fill="FFFFFF"/>
        </w:rPr>
        <w:t>第二章  选课原则</w:t>
      </w:r>
    </w:p>
    <w:p>
      <w:pPr>
        <w:pStyle w:val="10"/>
        <w:spacing w:before="0" w:beforeAutospacing="0" w:after="0" w:afterAutospacing="0" w:line="560" w:lineRule="exact"/>
        <w:jc w:val="both"/>
        <w:rPr>
          <w:rStyle w:val="14"/>
          <w:rFonts w:ascii="仿宋_GB2312" w:hAnsi="仿宋_GB2312" w:eastAsia="仿宋_GB2312" w:cs="仿宋_GB2312"/>
          <w:sz w:val="32"/>
          <w:szCs w:val="32"/>
          <w:shd w:val="clear" w:color="auto" w:fill="FFFFFF"/>
        </w:rPr>
      </w:pPr>
    </w:p>
    <w:p>
      <w:pPr>
        <w:pStyle w:val="10"/>
        <w:numPr>
          <w:ilvl w:val="0"/>
          <w:numId w:val="4"/>
        </w:numPr>
        <w:spacing w:before="0" w:beforeAutospacing="0" w:after="0" w:afterAutospacing="0" w:line="560" w:lineRule="exact"/>
        <w:ind w:firstLine="57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培养方案是学生选课的重要依据，学生须以本专业年级培养方案为依据，结合指导性教学进度制定学习方案、安排学习进度。</w:t>
      </w:r>
    </w:p>
    <w:p>
      <w:pPr>
        <w:pStyle w:val="10"/>
        <w:numPr>
          <w:ilvl w:val="0"/>
          <w:numId w:val="4"/>
        </w:numPr>
        <w:spacing w:before="0" w:beforeAutospacing="0" w:after="0" w:afterAutospacing="0" w:line="560" w:lineRule="exact"/>
        <w:ind w:firstLine="57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学生应在选课截止日期之前，通过学校的选课系统进行选课。学生修读课程，应当按照要求完成选课、上课、作业、实验、实习、考核等教学环节。</w:t>
      </w:r>
    </w:p>
    <w:p>
      <w:pPr>
        <w:pStyle w:val="10"/>
        <w:spacing w:before="0" w:beforeAutospacing="0" w:after="0" w:afterAutospacing="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 </w:t>
      </w:r>
    </w:p>
    <w:p>
      <w:pPr>
        <w:pStyle w:val="10"/>
        <w:spacing w:before="0" w:beforeAutospacing="0" w:after="0" w:afterAutospacing="0" w:line="560" w:lineRule="exact"/>
        <w:jc w:val="center"/>
        <w:rPr>
          <w:rStyle w:val="14"/>
          <w:rFonts w:ascii="仿宋_GB2312" w:hAnsi="仿宋_GB2312" w:eastAsia="仿宋_GB2312" w:cs="仿宋_GB2312"/>
          <w:b/>
          <w:bCs/>
          <w:sz w:val="32"/>
          <w:szCs w:val="32"/>
          <w:shd w:val="clear" w:color="auto" w:fill="FFFFFF"/>
        </w:rPr>
      </w:pPr>
      <w:r>
        <w:rPr>
          <w:rStyle w:val="14"/>
          <w:rFonts w:hint="eastAsia" w:ascii="仿宋_GB2312" w:hAnsi="仿宋_GB2312" w:eastAsia="仿宋_GB2312" w:cs="仿宋_GB2312"/>
          <w:b/>
          <w:bCs/>
          <w:sz w:val="32"/>
          <w:szCs w:val="32"/>
          <w:shd w:val="clear" w:color="auto" w:fill="FFFFFF"/>
        </w:rPr>
        <w:t>第三章 选课方式</w:t>
      </w:r>
    </w:p>
    <w:p>
      <w:pPr>
        <w:pStyle w:val="10"/>
        <w:spacing w:before="0" w:beforeAutospacing="0" w:after="0" w:afterAutospacing="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 </w:t>
      </w:r>
    </w:p>
    <w:p>
      <w:pPr>
        <w:pStyle w:val="10"/>
        <w:numPr>
          <w:ilvl w:val="0"/>
          <w:numId w:val="4"/>
        </w:numPr>
        <w:spacing w:before="0" w:beforeAutospacing="0" w:after="0" w:afterAutospacing="0" w:line="560" w:lineRule="exact"/>
        <w:ind w:firstLine="570"/>
        <w:rPr>
          <w:rStyle w:val="14"/>
          <w:rFonts w:ascii="仿宋_GB2312" w:hAnsi="仿宋_GB2312" w:eastAsia="仿宋_GB2312" w:cs="仿宋_GB2312"/>
          <w:sz w:val="32"/>
          <w:szCs w:val="32"/>
          <w:shd w:val="clear" w:color="auto" w:fill="FFFFFF"/>
        </w:rPr>
      </w:pPr>
      <w:r>
        <w:rPr>
          <w:rStyle w:val="14"/>
          <w:rFonts w:hint="eastAsia" w:ascii="仿宋_GB2312" w:hAnsi="仿宋_GB2312" w:eastAsia="仿宋_GB2312" w:cs="仿宋_GB2312"/>
          <w:sz w:val="32"/>
          <w:szCs w:val="32"/>
          <w:shd w:val="clear" w:color="auto" w:fill="FFFFFF"/>
        </w:rPr>
        <w:t>学校实行网上选课模式，所有课程以河海大学教务管理系统选课结果为准。</w:t>
      </w:r>
    </w:p>
    <w:p>
      <w:pPr>
        <w:pStyle w:val="10"/>
        <w:spacing w:before="0" w:beforeAutospacing="0" w:after="0" w:afterAutospacing="0" w:line="560" w:lineRule="exact"/>
        <w:ind w:left="570"/>
        <w:jc w:val="both"/>
        <w:rPr>
          <w:rFonts w:ascii="仿宋_GB2312" w:hAnsi="仿宋_GB2312" w:eastAsia="仿宋_GB2312" w:cs="仿宋_GB2312"/>
          <w:sz w:val="32"/>
          <w:szCs w:val="32"/>
          <w:shd w:val="clear" w:color="auto" w:fill="FFFFFF"/>
        </w:rPr>
      </w:pPr>
    </w:p>
    <w:p>
      <w:pPr>
        <w:pStyle w:val="10"/>
        <w:numPr>
          <w:ilvl w:val="0"/>
          <w:numId w:val="4"/>
        </w:numPr>
        <w:spacing w:before="0" w:beforeAutospacing="0" w:after="0" w:afterAutospacing="0" w:line="560" w:lineRule="exact"/>
        <w:ind w:firstLine="570"/>
        <w:rPr>
          <w:rFonts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color="auto" w:fill="FFFFFF"/>
        </w:rPr>
        <w:t xml:space="preserve">学生在每学期开学时必须办理注册手续，取得学籍，方能取得选课资格。 </w:t>
      </w:r>
    </w:p>
    <w:p>
      <w:pPr>
        <w:pStyle w:val="10"/>
        <w:numPr>
          <w:ilvl w:val="0"/>
          <w:numId w:val="4"/>
        </w:numPr>
        <w:spacing w:before="0" w:beforeAutospacing="0" w:after="0" w:afterAutospacing="0" w:line="560" w:lineRule="exact"/>
        <w:ind w:firstLine="570"/>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学生应在每学期学校规定的选课时间内，依据教务处发布的选课通知，使用自己的账号、密码登录河海大学综合教务系统进行选课，并及时了解课程变动情况。学生应妥善保管自己的账号和密码，不得替他人代选或借用、盗用他人账号及密码选课。一旦发生密码遗忘或泄露，应尽快联系所在学院教学秘书或学籍科进行密码初始化。由账号和密码遗忘或泄露引起的选课问题，由学生本人承担相关责任。</w:t>
      </w:r>
    </w:p>
    <w:p>
      <w:pPr>
        <w:pStyle w:val="10"/>
        <w:numPr>
          <w:ilvl w:val="0"/>
          <w:numId w:val="4"/>
        </w:numPr>
        <w:spacing w:before="0" w:beforeAutospacing="0" w:after="0" w:afterAutospacing="0" w:line="560" w:lineRule="exact"/>
        <w:ind w:firstLine="57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学生在选课前应检查本人学习进度，特别要检查是否有前期应修读而尚未修读的课程，或已修读但未取得学分的课程。如有此类课程，应在本学年跟班重修，以免影响正常的学习进程。</w:t>
      </w:r>
    </w:p>
    <w:p>
      <w:pPr>
        <w:pStyle w:val="10"/>
        <w:numPr>
          <w:ilvl w:val="0"/>
          <w:numId w:val="4"/>
        </w:numPr>
        <w:spacing w:before="0" w:beforeAutospacing="0" w:after="0" w:afterAutospacing="0" w:line="560" w:lineRule="exact"/>
        <w:ind w:firstLine="570"/>
        <w:rPr>
          <w:rFonts w:ascii="仿宋_GB2312" w:hAnsi="仿宋_GB2312" w:eastAsia="仿宋_GB2312" w:cs="仿宋_GB2312"/>
          <w:spacing w:val="3"/>
          <w:sz w:val="32"/>
          <w:szCs w:val="32"/>
        </w:rPr>
      </w:pPr>
      <w:r>
        <w:rPr>
          <w:rFonts w:hint="eastAsia" w:ascii="仿宋_GB2312" w:hAnsi="仿宋_GB2312" w:eastAsia="仿宋_GB2312" w:cs="仿宋_GB2312"/>
          <w:sz w:val="32"/>
          <w:szCs w:val="32"/>
          <w:shd w:val="clear" w:color="auto" w:fill="FFFFFF"/>
        </w:rPr>
        <w:t>新生第一学期须按照学校排定的课表上课，并依照教务处的统一安排对部分课程自行选课。</w:t>
      </w:r>
    </w:p>
    <w:p>
      <w:pPr>
        <w:pStyle w:val="10"/>
        <w:numPr>
          <w:ilvl w:val="0"/>
          <w:numId w:val="4"/>
        </w:numPr>
        <w:spacing w:before="0" w:beforeAutospacing="0" w:after="0" w:afterAutospacing="0" w:line="560" w:lineRule="exact"/>
        <w:ind w:firstLine="570"/>
        <w:rPr>
          <w:rFonts w:ascii="仿宋_GB2312" w:hAnsi="仿宋_GB2312" w:eastAsia="仿宋_GB2312" w:cs="仿宋_GB2312"/>
          <w:sz w:val="32"/>
          <w:szCs w:val="32"/>
        </w:rPr>
      </w:pPr>
      <w:r>
        <w:rPr>
          <w:rFonts w:hint="eastAsia" w:ascii="仿宋_GB2312" w:hAnsi="仿宋_GB2312" w:eastAsia="仿宋_GB2312" w:cs="仿宋_GB2312"/>
          <w:spacing w:val="3"/>
          <w:sz w:val="32"/>
          <w:szCs w:val="32"/>
          <w:shd w:val="clear" w:color="auto" w:fill="FFFFFF"/>
        </w:rPr>
        <w:t>必修课补考不及格必须重修；选修课不及格，可以重修，</w:t>
      </w:r>
      <w:r>
        <w:rPr>
          <w:rFonts w:hint="eastAsia" w:ascii="仿宋_GB2312" w:eastAsia="仿宋_GB2312"/>
          <w:sz w:val="32"/>
          <w:szCs w:val="32"/>
        </w:rPr>
        <w:t>也可以根据培养方案选修其他可替代课程补足学分</w:t>
      </w:r>
      <w:r>
        <w:rPr>
          <w:rFonts w:hint="eastAsia" w:ascii="仿宋_GB2312" w:hAnsi="仿宋_GB2312" w:eastAsia="仿宋_GB2312" w:cs="仿宋_GB2312"/>
          <w:spacing w:val="3"/>
          <w:sz w:val="32"/>
          <w:szCs w:val="32"/>
          <w:shd w:val="clear" w:color="auto" w:fill="FFFFFF"/>
        </w:rPr>
        <w:t>。学生未在规定时间内选修专业选修课，又没有在规定时间内办理专业选修课补选手续，导致专业选修课漏选，学生须进行重修。</w:t>
      </w:r>
    </w:p>
    <w:p>
      <w:pPr>
        <w:pStyle w:val="10"/>
        <w:spacing w:before="0" w:beforeAutospacing="0" w:after="0" w:afterAutospacing="0" w:line="560" w:lineRule="exact"/>
        <w:ind w:left="570"/>
        <w:rPr>
          <w:rFonts w:ascii="仿宋_GB2312" w:hAnsi="仿宋_GB2312" w:eastAsia="仿宋_GB2312" w:cs="仿宋_GB2312"/>
          <w:sz w:val="32"/>
          <w:szCs w:val="32"/>
        </w:rPr>
      </w:pPr>
    </w:p>
    <w:p>
      <w:pPr>
        <w:pStyle w:val="10"/>
        <w:spacing w:before="0" w:beforeAutospacing="0" w:after="0" w:afterAutospacing="0" w:line="560" w:lineRule="exact"/>
        <w:jc w:val="center"/>
        <w:rPr>
          <w:rStyle w:val="14"/>
          <w:rFonts w:ascii="仿宋_GB2312" w:hAnsi="仿宋_GB2312" w:eastAsia="仿宋_GB2312" w:cs="仿宋_GB2312"/>
          <w:b/>
          <w:bCs/>
          <w:sz w:val="32"/>
          <w:szCs w:val="32"/>
          <w:shd w:val="clear" w:color="auto" w:fill="FFFFFF"/>
        </w:rPr>
      </w:pPr>
      <w:r>
        <w:rPr>
          <w:rStyle w:val="14"/>
          <w:rFonts w:hint="eastAsia" w:ascii="仿宋_GB2312" w:hAnsi="仿宋_GB2312" w:eastAsia="仿宋_GB2312" w:cs="仿宋_GB2312"/>
          <w:b/>
          <w:bCs/>
          <w:sz w:val="32"/>
          <w:szCs w:val="32"/>
          <w:shd w:val="clear" w:color="auto" w:fill="FFFFFF"/>
        </w:rPr>
        <w:t>第四章 选课流程</w:t>
      </w:r>
    </w:p>
    <w:p>
      <w:pPr>
        <w:pStyle w:val="10"/>
        <w:spacing w:before="0" w:beforeAutospacing="0" w:after="0" w:afterAutospacing="0" w:line="560" w:lineRule="exact"/>
        <w:jc w:val="both"/>
        <w:rPr>
          <w:rStyle w:val="14"/>
          <w:rFonts w:ascii="仿宋_GB2312" w:hAnsi="仿宋_GB2312" w:eastAsia="仿宋_GB2312" w:cs="仿宋_GB2312"/>
          <w:sz w:val="32"/>
          <w:szCs w:val="32"/>
          <w:shd w:val="clear" w:color="auto" w:fill="FFFFFF"/>
        </w:rPr>
      </w:pPr>
    </w:p>
    <w:p>
      <w:pPr>
        <w:pStyle w:val="10"/>
        <w:numPr>
          <w:ilvl w:val="0"/>
          <w:numId w:val="4"/>
        </w:numPr>
        <w:spacing w:before="0" w:beforeAutospacing="0" w:after="0" w:afterAutospacing="0" w:line="560" w:lineRule="exact"/>
        <w:ind w:firstLine="570"/>
        <w:rPr>
          <w:rFonts w:ascii="仿宋_GB2312" w:hAnsi="仿宋_GB2312" w:eastAsia="仿宋_GB2312" w:cs="仿宋_GB2312"/>
          <w:sz w:val="32"/>
          <w:szCs w:val="32"/>
        </w:rPr>
      </w:pPr>
      <w:r>
        <w:rPr>
          <w:rFonts w:hint="eastAsia" w:ascii="仿宋_GB2312" w:hAnsi="仿宋_GB2312" w:eastAsia="仿宋_GB2312" w:cs="仿宋_GB2312"/>
          <w:sz w:val="32"/>
          <w:szCs w:val="32"/>
        </w:rPr>
        <w:t>各学院应在学生选课前，以讲座和师生见面会等形式向学生提供有关课程和任课教师的介绍，并委派班导师对学生进行选课指导。学生对选课操作或教务处发布的选课信息存在疑问，可及时联系本学院的教学秘书或教务处。</w:t>
      </w:r>
    </w:p>
    <w:p>
      <w:pPr>
        <w:pStyle w:val="10"/>
        <w:numPr>
          <w:ilvl w:val="0"/>
          <w:numId w:val="4"/>
        </w:numPr>
        <w:spacing w:before="0" w:beforeAutospacing="0" w:after="0" w:afterAutospacing="0" w:line="560" w:lineRule="exact"/>
        <w:ind w:firstLine="570"/>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教务处负责发布选课通知、控制教务管理系统各选课阶段、处理选课过程中的各种情况等。</w:t>
      </w:r>
    </w:p>
    <w:p>
      <w:pPr>
        <w:pStyle w:val="10"/>
        <w:numPr>
          <w:ilvl w:val="0"/>
          <w:numId w:val="4"/>
        </w:numPr>
        <w:spacing w:before="0" w:beforeAutospacing="0" w:after="0" w:afterAutospacing="0" w:line="560" w:lineRule="exact"/>
        <w:ind w:firstLine="570"/>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选课阶段分为正选、补退选、</w:t>
      </w:r>
      <w:r>
        <w:rPr>
          <w:rFonts w:hint="eastAsia" w:ascii="仿宋_GB2312" w:hAnsi="仿宋_GB2312" w:eastAsia="仿宋_GB2312" w:cs="仿宋_GB2312"/>
          <w:sz w:val="32"/>
          <w:szCs w:val="32"/>
        </w:rPr>
        <w:t>跨专业选修课选课、</w:t>
      </w:r>
      <w:r>
        <w:rPr>
          <w:rFonts w:hint="eastAsia" w:ascii="仿宋_GB2312" w:hAnsi="仿宋_GB2312" w:eastAsia="仿宋_GB2312" w:cs="仿宋_GB2312"/>
          <w:sz w:val="32"/>
          <w:szCs w:val="32"/>
          <w:shd w:val="clear" w:color="auto" w:fill="FFFFFF"/>
        </w:rPr>
        <w:t>重修选课等。学生通过登录“综合教务系统”进行选课（选课具体方法可见“河海大学本科选课系统操作指南”），每学期不同阶段选课的具体时间由教务处另行通知。</w:t>
      </w:r>
    </w:p>
    <w:p>
      <w:pPr>
        <w:pStyle w:val="10"/>
        <w:numPr>
          <w:ilvl w:val="0"/>
          <w:numId w:val="4"/>
        </w:numPr>
        <w:spacing w:before="0" w:beforeAutospacing="0" w:after="0" w:afterAutospacing="0" w:line="560" w:lineRule="exact"/>
        <w:ind w:firstLine="570"/>
        <w:rPr>
          <w:rFonts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color="auto" w:fill="FFFFFF"/>
        </w:rPr>
        <w:t>正选阶段</w:t>
      </w:r>
      <w:r>
        <w:rPr>
          <w:rFonts w:hint="eastAsia" w:ascii="仿宋_GB2312" w:hAnsi="仿宋_GB2312" w:eastAsia="仿宋_GB2312" w:cs="仿宋_GB2312"/>
          <w:sz w:val="32"/>
          <w:szCs w:val="32"/>
          <w:shd w:val="clear" w:color="auto" w:fill="FFFFFF"/>
        </w:rPr>
        <w:t>     </w:t>
      </w:r>
    </w:p>
    <w:p>
      <w:pPr>
        <w:widowControl/>
        <w:spacing w:line="560" w:lineRule="exact"/>
        <w:ind w:firstLine="640" w:firstLineChars="200"/>
        <w:rPr>
          <w:rFonts w:ascii="仿宋_GB2312" w:hAnsi="仿宋_GB2312" w:eastAsia="仿宋_GB2312" w:cs="仿宋_GB2312"/>
          <w:kern w:val="0"/>
          <w:sz w:val="32"/>
          <w:szCs w:val="32"/>
          <w:shd w:val="clear" w:color="auto" w:fill="FFFFFF"/>
        </w:rPr>
      </w:pPr>
      <w:r>
        <w:rPr>
          <w:rStyle w:val="14"/>
          <w:rFonts w:hint="eastAsia" w:ascii="仿宋_GB2312" w:hAnsi="仿宋_GB2312" w:eastAsia="仿宋_GB2312" w:cs="仿宋_GB2312"/>
          <w:sz w:val="32"/>
          <w:szCs w:val="32"/>
          <w:shd w:val="clear" w:color="auto" w:fill="FFFFFF"/>
        </w:rPr>
        <w:t>正选阶段</w:t>
      </w:r>
      <w:r>
        <w:rPr>
          <w:rFonts w:hint="eastAsia" w:ascii="仿宋_GB2312" w:hAnsi="仿宋_GB2312" w:eastAsia="仿宋_GB2312" w:cs="仿宋_GB2312"/>
          <w:kern w:val="0"/>
          <w:sz w:val="32"/>
          <w:szCs w:val="32"/>
          <w:shd w:val="clear" w:color="auto" w:fill="FFFFFF"/>
        </w:rPr>
        <w:t>在学期末进行，所选课程包括公共必修课、专业必修课、专业选修课和通识选修课。学生在选课系统提供的课表中自主选择教师及课程。</w:t>
      </w:r>
    </w:p>
    <w:p>
      <w:pPr>
        <w:widowControl/>
        <w:spacing w:line="560" w:lineRule="exact"/>
        <w:ind w:firstLine="640" w:firstLineChars="200"/>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部分公共必修课、专业必修课由系统提前预置到每位学生课表中，学生无需在网上进行选课；思政课程、大学英语及拓展英语课程、体育课程等部分公共必修课由</w:t>
      </w:r>
      <w:r>
        <w:rPr>
          <w:rFonts w:hint="eastAsia" w:ascii="仿宋_GB2312" w:eastAsia="仿宋_GB2312"/>
          <w:sz w:val="32"/>
          <w:szCs w:val="32"/>
        </w:rPr>
        <w:t>学生根据选课要求在相应的选课阶段进行自主选课；</w:t>
      </w:r>
      <w:r>
        <w:rPr>
          <w:rFonts w:hint="eastAsia" w:ascii="仿宋_GB2312" w:hAnsi="仿宋_GB2312" w:eastAsia="仿宋_GB2312" w:cs="仿宋_GB2312"/>
          <w:kern w:val="0"/>
          <w:sz w:val="32"/>
          <w:szCs w:val="32"/>
          <w:shd w:val="clear" w:color="auto" w:fill="FFFFFF"/>
        </w:rPr>
        <w:t>对于专业选修课及通识选修课，学生可根据本专业教学计划要求、个人课表、自己的学习能力、兴趣和选课限制条件等进行自主选课。</w:t>
      </w:r>
    </w:p>
    <w:p>
      <w:pPr>
        <w:pStyle w:val="4"/>
        <w:spacing w:line="560" w:lineRule="exact"/>
        <w:ind w:firstLine="640"/>
        <w:rPr>
          <w:rStyle w:val="14"/>
          <w:rFonts w:ascii="仿宋_GB2312" w:hAnsi="仿宋_GB2312" w:eastAsia="仿宋_GB2312" w:cs="仿宋_GB2312"/>
          <w:sz w:val="32"/>
          <w:szCs w:val="32"/>
          <w:shd w:val="clear" w:color="auto" w:fill="FFFFFF"/>
        </w:rPr>
      </w:pPr>
      <w:r>
        <w:rPr>
          <w:rFonts w:hint="eastAsia" w:ascii="仿宋_GB2312" w:hAnsi="仿宋_GB2312" w:eastAsia="仿宋_GB2312" w:cs="仿宋_GB2312"/>
          <w:kern w:val="0"/>
          <w:sz w:val="32"/>
          <w:szCs w:val="32"/>
          <w:shd w:val="clear" w:color="auto" w:fill="FFFFFF"/>
        </w:rPr>
        <w:t>通识选修课分为</w:t>
      </w:r>
      <w:r>
        <w:rPr>
          <w:rFonts w:hint="eastAsia" w:ascii="仿宋_GB2312" w:eastAsia="仿宋_GB2312"/>
          <w:sz w:val="32"/>
          <w:szCs w:val="32"/>
        </w:rPr>
        <w:t>普通公选课、网络公选课等类型，限大二、大三、大四学生修读，</w:t>
      </w:r>
      <w:r>
        <w:rPr>
          <w:rFonts w:hint="eastAsia" w:ascii="仿宋_GB2312" w:hAnsi="仿宋_GB2312" w:eastAsia="仿宋_GB2312" w:cs="仿宋_GB2312"/>
          <w:sz w:val="32"/>
          <w:szCs w:val="32"/>
        </w:rPr>
        <w:t>不可跨校区选课</w:t>
      </w:r>
      <w:r>
        <w:rPr>
          <w:rFonts w:hint="eastAsia" w:ascii="仿宋_GB2312" w:eastAsia="仿宋_GB2312"/>
          <w:sz w:val="32"/>
          <w:szCs w:val="32"/>
        </w:rPr>
        <w:t>，为保证学习效果，每个学生每个类型最多可选两门。</w:t>
      </w:r>
    </w:p>
    <w:p>
      <w:pPr>
        <w:widowControl/>
        <w:spacing w:line="560" w:lineRule="exact"/>
        <w:ind w:firstLine="640" w:firstLineChars="200"/>
        <w:rPr>
          <w:rStyle w:val="14"/>
          <w:rFonts w:ascii="仿宋_GB2312" w:hAnsi="仿宋_GB2312" w:eastAsia="仿宋_GB2312" w:cs="仿宋_GB2312"/>
          <w:sz w:val="32"/>
          <w:szCs w:val="32"/>
          <w:shd w:val="clear" w:color="auto" w:fill="FFFFFF"/>
        </w:rPr>
      </w:pPr>
      <w:r>
        <w:rPr>
          <w:rStyle w:val="14"/>
          <w:rFonts w:hint="eastAsia" w:ascii="仿宋_GB2312" w:hAnsi="仿宋_GB2312" w:eastAsia="仿宋_GB2312" w:cs="仿宋_GB2312"/>
          <w:sz w:val="32"/>
          <w:szCs w:val="32"/>
          <w:shd w:val="clear" w:color="auto" w:fill="FFFFFF"/>
        </w:rPr>
        <w:t>原则上不允许删除系统预置的必修课，学生只需进入综合教务系统的“选课结果”页面，核对系统预置的必修课是否正确。如需删改（如学籍异动学生、国内交流生等），请填写《学籍异动课程变更表》，由教务处统一处理。</w:t>
      </w:r>
    </w:p>
    <w:p>
      <w:pPr>
        <w:pStyle w:val="10"/>
        <w:spacing w:before="0" w:beforeAutospacing="0" w:after="0" w:afterAutospacing="0" w:line="560" w:lineRule="exact"/>
        <w:ind w:firstLine="640" w:firstLineChars="200"/>
        <w:jc w:val="both"/>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正选结束后，教务处将根据选课情况和任课教师的意见对课容量进行微调，并按照学生选课优先级和课容量进行抽签，抽签结束后学生可以在教务系统中查看抽签结果。</w:t>
      </w:r>
    </w:p>
    <w:p>
      <w:pPr>
        <w:pStyle w:val="1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正选结束后，原则上教务处将取消选课人数不足10人的课程并删除相应选课名单，对个别专业人数少或课容量低的课程视具体情况而定。因课程被取消导致选课无效的学生，可在补退选阶段补选其他课程。</w:t>
      </w:r>
    </w:p>
    <w:p>
      <w:pPr>
        <w:pStyle w:val="10"/>
        <w:numPr>
          <w:ilvl w:val="0"/>
          <w:numId w:val="4"/>
        </w:numPr>
        <w:spacing w:before="0" w:beforeAutospacing="0" w:after="0" w:afterAutospacing="0" w:line="560" w:lineRule="exact"/>
        <w:ind w:firstLine="640" w:firstLineChars="200"/>
        <w:rPr>
          <w:rFonts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color="auto" w:fill="FFFFFF"/>
        </w:rPr>
        <w:t>补退选阶段</w:t>
      </w:r>
      <w:r>
        <w:rPr>
          <w:rFonts w:hint="eastAsia" w:ascii="仿宋_GB2312" w:hAnsi="仿宋_GB2312" w:eastAsia="仿宋_GB2312" w:cs="仿宋_GB2312"/>
          <w:sz w:val="32"/>
          <w:szCs w:val="32"/>
          <w:shd w:val="clear" w:color="auto" w:fill="FFFFFF"/>
        </w:rPr>
        <w:t> </w:t>
      </w:r>
    </w:p>
    <w:p>
      <w:pPr>
        <w:pStyle w:val="1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补退选阶段安排在每学期开学初进行，</w:t>
      </w:r>
      <w:r>
        <w:rPr>
          <w:rFonts w:hint="eastAsia" w:ascii="仿宋_GB2312" w:hAnsi="仿宋_GB2312" w:eastAsia="仿宋_GB2312" w:cs="仿宋_GB2312"/>
          <w:spacing w:val="3"/>
          <w:sz w:val="32"/>
          <w:szCs w:val="32"/>
          <w:shd w:val="clear" w:color="auto" w:fill="FFFFFF"/>
        </w:rPr>
        <w:t>学生可以在网上查看自己的已选课程记录，并可退课或补选。</w:t>
      </w:r>
      <w:r>
        <w:rPr>
          <w:rFonts w:hint="eastAsia" w:ascii="仿宋_GB2312" w:hAnsi="仿宋_GB2312" w:eastAsia="仿宋_GB2312" w:cs="仿宋_GB2312"/>
          <w:sz w:val="32"/>
          <w:szCs w:val="32"/>
        </w:rPr>
        <w:t>学生可根据第一周上课的情况，适当调整自己的选课；因错选、漏选未选上课程的学生应及时补选。如未在规定时间补退选，则视为放弃或同意修读该门课程，逾期不予进行补退选处理。</w:t>
      </w:r>
    </w:p>
    <w:p>
      <w:pPr>
        <w:pStyle w:val="10"/>
        <w:spacing w:before="0" w:beforeAutospacing="0" w:after="0" w:afterAutospacing="0" w:line="560" w:lineRule="exact"/>
        <w:ind w:firstLine="640" w:firstLineChars="200"/>
        <w:jc w:val="both"/>
        <w:rPr>
          <w:rStyle w:val="14"/>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在补退选结束以后，学生应及时在教务系统中的“选课结果”查看自己最新的课表，核对每门课程的上课时间和地点。</w:t>
      </w:r>
    </w:p>
    <w:p>
      <w:pPr>
        <w:pStyle w:val="10"/>
        <w:numPr>
          <w:ilvl w:val="0"/>
          <w:numId w:val="4"/>
        </w:numPr>
        <w:spacing w:before="0" w:beforeAutospacing="0" w:after="0" w:afterAutospacing="0" w:line="560" w:lineRule="exact"/>
        <w:ind w:firstLine="640" w:firstLineChars="200"/>
        <w:rPr>
          <w:rFonts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color="auto" w:fill="FFFFFF"/>
        </w:rPr>
        <w:t>跨专业选修课选课阶段</w:t>
      </w:r>
    </w:p>
    <w:p>
      <w:pPr>
        <w:pStyle w:val="10"/>
        <w:spacing w:before="0" w:beforeAutospacing="0" w:after="0" w:afterAutospacing="0" w:line="560" w:lineRule="exact"/>
        <w:ind w:firstLine="640" w:firstLineChars="200"/>
        <w:jc w:val="both"/>
        <w:rPr>
          <w:rStyle w:val="14"/>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跨专业选修课的选课对象为大二、大三、大四的学生。跨专业选修课选课时不能跨校区选课，但允许跨年级选课。</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学生应结合自身兴趣，充分考虑知识基础、确保上课时间不冲突的前提下选择跨专业选修课，合理分配专业内课程和跨专业选修课程的学习时间。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跨专业选修课选课结束后，跨专业选课的学生应与专业内选课的学生一起参加该课程的学习和考核，考核要求与专业内选课学生一致。</w:t>
      </w:r>
    </w:p>
    <w:p>
      <w:pPr>
        <w:spacing w:line="560" w:lineRule="exact"/>
        <w:ind w:firstLine="640" w:firstLineChars="200"/>
        <w:rPr>
          <w:rStyle w:val="14"/>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跨专业选修课考核不及格，学生可报名参加重修，或下学期选课时另选其他跨专业选修课，不及格成绩计入学生成绩档案。</w:t>
      </w:r>
    </w:p>
    <w:p>
      <w:pPr>
        <w:pStyle w:val="10"/>
        <w:numPr>
          <w:ilvl w:val="0"/>
          <w:numId w:val="4"/>
        </w:numPr>
        <w:spacing w:before="0" w:beforeAutospacing="0" w:after="0" w:afterAutospacing="0" w:line="560" w:lineRule="exact"/>
        <w:ind w:firstLine="640" w:firstLineChars="200"/>
        <w:rPr>
          <w:rStyle w:val="14"/>
          <w:rFonts w:ascii="仿宋_GB2312" w:hAnsi="仿宋_GB2312" w:eastAsia="仿宋_GB2312" w:cs="仿宋_GB2312"/>
          <w:sz w:val="32"/>
          <w:szCs w:val="32"/>
          <w:shd w:val="clear" w:color="auto" w:fill="FFFFFF"/>
        </w:rPr>
      </w:pPr>
      <w:r>
        <w:rPr>
          <w:rStyle w:val="14"/>
          <w:rFonts w:hint="eastAsia" w:ascii="仿宋_GB2312" w:hAnsi="仿宋_GB2312" w:eastAsia="仿宋_GB2312" w:cs="仿宋_GB2312"/>
          <w:sz w:val="32"/>
          <w:szCs w:val="32"/>
          <w:shd w:val="clear" w:color="auto" w:fill="FFFFFF"/>
        </w:rPr>
        <w:t>重修选课阶段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重修选课阶段，在校生自行登录“综合教务系统”进行重修选课，</w:t>
      </w:r>
      <w:r>
        <w:rPr>
          <w:rFonts w:hint="eastAsia" w:ascii="仿宋_GB2312" w:hAnsi="仿宋_GB2312" w:eastAsia="仿宋_GB2312" w:cs="仿宋_GB2312"/>
          <w:sz w:val="32"/>
          <w:szCs w:val="32"/>
        </w:rPr>
        <w:t>并全部采取网上报名、网上缴费的方</w:t>
      </w:r>
      <w:r>
        <w:rPr>
          <w:rFonts w:hint="eastAsia" w:ascii="仿宋_GB2312" w:hAnsi="仿宋_GB2312" w:eastAsia="仿宋_GB2312" w:cs="仿宋_GB2312"/>
          <w:sz w:val="32"/>
          <w:szCs w:val="32"/>
          <w:shd w:val="clear" w:color="auto" w:fill="FFFFFF"/>
        </w:rPr>
        <w:t>式进行，重修选课不受课容量限制。无法网上报名的结业换证、非在籍学生到所在学院教学秘书处手工报名并根据通知在规定时间内进行网上缴费。</w:t>
      </w:r>
    </w:p>
    <w:p>
      <w:pPr>
        <w:pStyle w:val="10"/>
        <w:spacing w:before="0" w:beforeAutospacing="0" w:after="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申请重修者需根据本人本学期学习任务、学习能力，计划好本次申请重修的课程数目，原则上最多不得超过6门，以免影响正常课程学习。</w:t>
      </w:r>
    </w:p>
    <w:p>
      <w:pPr>
        <w:pStyle w:val="10"/>
        <w:spacing w:before="0" w:beforeAutospacing="0" w:after="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根据学籍管理规定，所有报名重修的学生均需跟班学习、考核，若与本学期所选课程相冲突，需向重修课程任课教师请假，并按时参加期中考试、课程测验、实践教学考核等环节。</w:t>
      </w:r>
    </w:p>
    <w:p>
      <w:pPr>
        <w:pStyle w:val="10"/>
        <w:spacing w:before="0" w:beforeAutospacing="0" w:after="0" w:afterAutospacing="0" w:line="560" w:lineRule="exact"/>
        <w:ind w:firstLine="640" w:firstLineChars="200"/>
        <w:jc w:val="both"/>
        <w:rPr>
          <w:rStyle w:val="14"/>
          <w:rFonts w:ascii="仿宋_GB2312" w:hAnsi="仿宋_GB2312" w:eastAsia="仿宋_GB2312" w:cs="仿宋_GB2312"/>
          <w:sz w:val="32"/>
          <w:szCs w:val="32"/>
          <w:shd w:val="clear" w:color="auto" w:fill="FFFFFF"/>
        </w:rPr>
      </w:pPr>
      <w:r>
        <w:rPr>
          <w:rStyle w:val="14"/>
          <w:rFonts w:hint="eastAsia" w:ascii="仿宋_GB2312" w:hAnsi="仿宋_GB2312" w:eastAsia="仿宋_GB2312" w:cs="仿宋_GB2312"/>
          <w:sz w:val="32"/>
          <w:szCs w:val="32"/>
          <w:shd w:val="clear" w:color="auto" w:fill="FFFFFF"/>
        </w:rPr>
        <w:t>重修选课结束后，教务处根据选课情况和任课教师意见，可对课程的教室安排进行微调，学生可自行登录综合教务系统查看课程安排。</w:t>
      </w:r>
    </w:p>
    <w:p>
      <w:pPr>
        <w:pStyle w:val="10"/>
        <w:spacing w:before="0" w:beforeAutospacing="0" w:after="0" w:afterAutospacing="0" w:line="560" w:lineRule="exact"/>
        <w:ind w:firstLine="640" w:firstLineChars="200"/>
        <w:jc w:val="both"/>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若学生无法继续修读选课课程或者因特殊原因需要补（退）选课程，须在规定时间内（一般在开学五周之内）填写“河海大学学生补（退）选课程申请表”，交至教务处教务科统一处理。</w:t>
      </w:r>
    </w:p>
    <w:p>
      <w:pPr>
        <w:pStyle w:val="10"/>
        <w:spacing w:before="0" w:beforeAutospacing="0" w:after="0" w:afterAutospacing="0" w:line="560" w:lineRule="exact"/>
        <w:ind w:firstLine="640" w:firstLineChars="200"/>
        <w:jc w:val="both"/>
        <w:rPr>
          <w:rFonts w:ascii="仿宋_GB2312" w:hAnsi="仿宋_GB2312" w:eastAsia="仿宋_GB2312" w:cs="仿宋_GB2312"/>
          <w:sz w:val="32"/>
          <w:szCs w:val="32"/>
          <w:shd w:val="clear" w:color="auto" w:fill="FFFFFF"/>
        </w:rPr>
      </w:pPr>
    </w:p>
    <w:p>
      <w:pPr>
        <w:pStyle w:val="10"/>
        <w:spacing w:before="0" w:beforeAutospacing="0" w:after="0" w:afterAutospacing="0" w:line="560" w:lineRule="exact"/>
        <w:jc w:val="center"/>
        <w:rPr>
          <w:rStyle w:val="14"/>
          <w:rFonts w:ascii="仿宋_GB2312" w:hAnsi="仿宋_GB2312" w:eastAsia="仿宋_GB2312" w:cs="仿宋_GB2312"/>
          <w:b/>
          <w:bCs/>
          <w:sz w:val="32"/>
          <w:szCs w:val="32"/>
          <w:shd w:val="clear" w:color="auto" w:fill="FFFFFF"/>
        </w:rPr>
      </w:pPr>
      <w:r>
        <w:rPr>
          <w:rStyle w:val="14"/>
          <w:rFonts w:hint="eastAsia" w:ascii="仿宋_GB2312" w:hAnsi="仿宋_GB2312" w:eastAsia="仿宋_GB2312" w:cs="仿宋_GB2312"/>
          <w:b/>
          <w:bCs/>
          <w:sz w:val="32"/>
          <w:szCs w:val="32"/>
          <w:shd w:val="clear" w:color="auto" w:fill="FFFFFF"/>
        </w:rPr>
        <w:t>第五章 选课要求</w:t>
      </w:r>
    </w:p>
    <w:p>
      <w:pPr>
        <w:pStyle w:val="10"/>
        <w:spacing w:before="0" w:beforeAutospacing="0" w:after="0" w:afterAutospacing="0" w:line="560" w:lineRule="exact"/>
        <w:jc w:val="both"/>
        <w:rPr>
          <w:rStyle w:val="14"/>
          <w:rFonts w:ascii="仿宋_GB2312" w:hAnsi="仿宋_GB2312" w:eastAsia="仿宋_GB2312" w:cs="仿宋_GB2312"/>
          <w:b/>
          <w:bCs/>
          <w:sz w:val="32"/>
          <w:szCs w:val="32"/>
          <w:shd w:val="clear" w:color="auto" w:fill="FFFFFF"/>
        </w:rPr>
      </w:pPr>
    </w:p>
    <w:p>
      <w:pPr>
        <w:pStyle w:val="10"/>
        <w:numPr>
          <w:ilvl w:val="0"/>
          <w:numId w:val="4"/>
        </w:numPr>
        <w:spacing w:before="0" w:beforeAutospacing="0" w:after="0" w:afterAutospacing="0" w:line="560" w:lineRule="exact"/>
        <w:ind w:firstLine="640" w:firstLineChars="200"/>
        <w:rPr>
          <w:rFonts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color="auto" w:fill="FFFFFF"/>
        </w:rPr>
        <w:t>对于设置选课限制条件的课程，学生选课应满足课程限制条件。</w:t>
      </w:r>
    </w:p>
    <w:p>
      <w:pPr>
        <w:pStyle w:val="10"/>
        <w:numPr>
          <w:ilvl w:val="0"/>
          <w:numId w:val="4"/>
        </w:numPr>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无特殊情况，</w:t>
      </w:r>
      <w:r>
        <w:rPr>
          <w:rFonts w:hint="eastAsia" w:ascii="仿宋_GB2312" w:hAnsi="仿宋_GB2312" w:eastAsia="仿宋_GB2312" w:cs="仿宋_GB2312"/>
          <w:sz w:val="32"/>
          <w:szCs w:val="32"/>
          <w:shd w:val="clear" w:color="auto" w:fill="FFFFFF"/>
        </w:rPr>
        <w:t>同一授课时段，学生只能选修一门课程。</w:t>
      </w:r>
    </w:p>
    <w:p>
      <w:pPr>
        <w:pStyle w:val="10"/>
        <w:numPr>
          <w:ilvl w:val="0"/>
          <w:numId w:val="4"/>
        </w:numPr>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对休学、复学、转下和转专业等学生，教务处集中办理课程异动变更，学生需及时核对选课结果，如有问题可联系所在院系教学秘书或教务处咨询解决。</w:t>
      </w:r>
    </w:p>
    <w:p>
      <w:pPr>
        <w:pStyle w:val="10"/>
        <w:numPr>
          <w:ilvl w:val="0"/>
          <w:numId w:val="4"/>
        </w:numPr>
        <w:spacing w:before="0" w:beforeAutospacing="0" w:after="0" w:afterAutospacing="0"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学生申请免听、免修的课程，必须履行选课手续，并按有关规定参加相关考核。</w:t>
      </w:r>
      <w:r>
        <w:rPr>
          <w:rStyle w:val="14"/>
          <w:rFonts w:hint="eastAsia" w:ascii="仿宋_GB2312" w:hAnsi="仿宋_GB2312" w:eastAsia="仿宋_GB2312" w:cs="仿宋_GB2312"/>
          <w:sz w:val="32"/>
          <w:szCs w:val="32"/>
          <w:shd w:val="clear" w:color="auto" w:fill="FFFFFF"/>
        </w:rPr>
        <w:t xml:space="preserve"> </w:t>
      </w:r>
    </w:p>
    <w:p>
      <w:pPr>
        <w:pStyle w:val="10"/>
        <w:numPr>
          <w:ilvl w:val="0"/>
          <w:numId w:val="4"/>
        </w:numPr>
        <w:spacing w:before="0"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学生选课、听课、考核必须一致。未经选课程序而参与课程学习、考核的，该课程成绩不予记载；选课后未在规定时间内办理退选手续而无故不参加课程学习和考核者，该课程成绩登记为“旷考”，不得参加补考。</w:t>
      </w:r>
    </w:p>
    <w:p>
      <w:pPr>
        <w:pStyle w:val="10"/>
        <w:spacing w:before="0" w:beforeAutospacing="0" w:after="0" w:afterAutospacing="0" w:line="560" w:lineRule="exact"/>
        <w:rPr>
          <w:rStyle w:val="14"/>
          <w:rFonts w:ascii="仿宋_GB2312" w:hAnsi="仿宋_GB2312" w:eastAsia="仿宋_GB2312" w:cs="仿宋_GB2312"/>
          <w:b/>
          <w:bCs/>
          <w:sz w:val="32"/>
          <w:szCs w:val="32"/>
          <w:shd w:val="clear" w:color="auto" w:fill="FFFFFF"/>
        </w:rPr>
      </w:pPr>
    </w:p>
    <w:p>
      <w:pPr>
        <w:pStyle w:val="10"/>
        <w:spacing w:before="0" w:beforeAutospacing="0" w:after="0" w:afterAutospacing="0" w:line="560" w:lineRule="exact"/>
        <w:jc w:val="center"/>
        <w:rPr>
          <w:rStyle w:val="14"/>
          <w:rFonts w:ascii="仿宋_GB2312" w:hAnsi="仿宋_GB2312" w:eastAsia="仿宋_GB2312" w:cs="仿宋_GB2312"/>
          <w:b/>
          <w:bCs/>
          <w:sz w:val="32"/>
          <w:szCs w:val="32"/>
          <w:shd w:val="clear" w:color="auto" w:fill="FFFFFF"/>
        </w:rPr>
      </w:pPr>
      <w:r>
        <w:rPr>
          <w:rStyle w:val="14"/>
          <w:rFonts w:hint="eastAsia" w:ascii="仿宋_GB2312" w:hAnsi="仿宋_GB2312" w:eastAsia="仿宋_GB2312" w:cs="仿宋_GB2312"/>
          <w:b/>
          <w:bCs/>
          <w:sz w:val="32"/>
          <w:szCs w:val="32"/>
          <w:shd w:val="clear" w:color="auto" w:fill="FFFFFF"/>
        </w:rPr>
        <w:t>第六章 附则</w:t>
      </w:r>
    </w:p>
    <w:p>
      <w:pPr>
        <w:pStyle w:val="10"/>
        <w:spacing w:before="0" w:beforeAutospacing="0" w:after="0" w:afterAutospacing="0" w:line="560" w:lineRule="exact"/>
        <w:jc w:val="both"/>
        <w:rPr>
          <w:rStyle w:val="14"/>
          <w:rFonts w:ascii="仿宋_GB2312" w:hAnsi="仿宋_GB2312" w:eastAsia="仿宋_GB2312" w:cs="仿宋_GB2312"/>
          <w:b/>
          <w:bCs/>
          <w:sz w:val="32"/>
          <w:szCs w:val="32"/>
          <w:shd w:val="clear" w:color="auto" w:fill="FFFFFF"/>
        </w:rPr>
      </w:pPr>
    </w:p>
    <w:p>
      <w:pPr>
        <w:pStyle w:val="10"/>
        <w:numPr>
          <w:ilvl w:val="0"/>
          <w:numId w:val="4"/>
        </w:numPr>
        <w:spacing w:before="0" w:beforeAutospacing="0" w:after="0" w:afterAutospacing="0" w:line="560" w:lineRule="exact"/>
        <w:ind w:firstLine="640" w:firstLineChars="200"/>
        <w:rPr>
          <w:rFonts w:ascii="仿宋_GB2312" w:hAnsi="仿宋_GB2312" w:eastAsia="仿宋_GB2312" w:cs="仿宋_GB2312"/>
          <w:sz w:val="32"/>
          <w:szCs w:val="32"/>
        </w:rPr>
      </w:pPr>
      <w:r>
        <w:rPr>
          <w:rStyle w:val="14"/>
          <w:rFonts w:hint="eastAsia" w:ascii="仿宋_GB2312" w:hAnsi="仿宋_GB2312" w:eastAsia="仿宋_GB2312" w:cs="仿宋_GB2312"/>
          <w:sz w:val="32"/>
          <w:szCs w:val="32"/>
          <w:shd w:val="clear" w:color="auto" w:fill="FFFFFF"/>
        </w:rPr>
        <w:t>具体选课操作流程及注意事项参见每学期选课通知及选课指南。</w:t>
      </w:r>
    </w:p>
    <w:p>
      <w:pPr>
        <w:ind w:firstLine="640" w:firstLineChars="200"/>
        <w:jc w:val="lef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本细则由教务处负责解释，自颁布之日起执行。</w:t>
      </w:r>
    </w:p>
    <w:p>
      <w:pPr>
        <w:spacing w:line="360" w:lineRule="auto"/>
        <w:rPr>
          <w:rFonts w:ascii="仿宋" w:hAnsi="仿宋" w:eastAsia="仿宋" w:cs="Arial"/>
          <w:szCs w:val="21"/>
        </w:rPr>
      </w:pPr>
    </w:p>
    <w:sectPr>
      <w:footerReference r:id="rId3" w:type="default"/>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669706"/>
    </w:sdtPr>
    <w:sdtContent>
      <w:p>
        <w:pPr>
          <w:pStyle w:val="7"/>
          <w:jc w:val="center"/>
        </w:pPr>
        <w:r>
          <w:fldChar w:fldCharType="begin"/>
        </w:r>
        <w:r>
          <w:instrText xml:space="preserve">PAGE   \* MERGEFORMAT</w:instrText>
        </w:r>
        <w:r>
          <w:fldChar w:fldCharType="separate"/>
        </w:r>
        <w:r>
          <w:rPr>
            <w:lang w:val="zh-CN"/>
          </w:rPr>
          <w:t>29</w:t>
        </w:r>
        <w:r>
          <w:fldChar w:fldCharType="end"/>
        </w:r>
      </w:p>
    </w:sdtContent>
  </w:sdt>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7EA6EF"/>
    <w:multiLevelType w:val="singleLevel"/>
    <w:tmpl w:val="C57EA6EF"/>
    <w:lvl w:ilvl="0" w:tentative="0">
      <w:start w:val="1"/>
      <w:numFmt w:val="chineseCounting"/>
      <w:suff w:val="space"/>
      <w:lvlText w:val="第%1条"/>
      <w:lvlJc w:val="left"/>
      <w:rPr>
        <w:rFonts w:hint="eastAsia"/>
      </w:rPr>
    </w:lvl>
  </w:abstractNum>
  <w:abstractNum w:abstractNumId="1">
    <w:nsid w:val="CC391CDA"/>
    <w:multiLevelType w:val="singleLevel"/>
    <w:tmpl w:val="CC391CDA"/>
    <w:lvl w:ilvl="0" w:tentative="0">
      <w:start w:val="1"/>
      <w:numFmt w:val="decimal"/>
      <w:suff w:val="nothing"/>
      <w:lvlText w:val="%1．"/>
      <w:lvlJc w:val="left"/>
      <w:pPr>
        <w:ind w:left="0" w:firstLine="400"/>
      </w:pPr>
      <w:rPr>
        <w:rFonts w:hint="default"/>
      </w:rPr>
    </w:lvl>
  </w:abstractNum>
  <w:abstractNum w:abstractNumId="2">
    <w:nsid w:val="29F02122"/>
    <w:multiLevelType w:val="multilevel"/>
    <w:tmpl w:val="29F02122"/>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B3EB9CA"/>
    <w:multiLevelType w:val="singleLevel"/>
    <w:tmpl w:val="6B3EB9CA"/>
    <w:lvl w:ilvl="0" w:tentative="0">
      <w:start w:val="4"/>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ViODZkYWFkMWVlYTYxODM5NmIwODNhNjE3MjE2NjAifQ=="/>
  </w:docVars>
  <w:rsids>
    <w:rsidRoot w:val="004A5C72"/>
    <w:rsid w:val="00000987"/>
    <w:rsid w:val="00011B67"/>
    <w:rsid w:val="000137F6"/>
    <w:rsid w:val="000231EB"/>
    <w:rsid w:val="000451D9"/>
    <w:rsid w:val="000508FE"/>
    <w:rsid w:val="00066E4E"/>
    <w:rsid w:val="00071260"/>
    <w:rsid w:val="000A25D0"/>
    <w:rsid w:val="000C6438"/>
    <w:rsid w:val="000E4B27"/>
    <w:rsid w:val="0010136E"/>
    <w:rsid w:val="001035E6"/>
    <w:rsid w:val="00136DB6"/>
    <w:rsid w:val="0014486F"/>
    <w:rsid w:val="001520C3"/>
    <w:rsid w:val="001562E4"/>
    <w:rsid w:val="00176032"/>
    <w:rsid w:val="00182B37"/>
    <w:rsid w:val="00182D0C"/>
    <w:rsid w:val="0018537C"/>
    <w:rsid w:val="0019217B"/>
    <w:rsid w:val="00192E4C"/>
    <w:rsid w:val="001D21E7"/>
    <w:rsid w:val="001D5770"/>
    <w:rsid w:val="001E0D62"/>
    <w:rsid w:val="001E7CD4"/>
    <w:rsid w:val="001F5AF6"/>
    <w:rsid w:val="00211F81"/>
    <w:rsid w:val="00213F92"/>
    <w:rsid w:val="00246EE8"/>
    <w:rsid w:val="00271FAD"/>
    <w:rsid w:val="00271FAE"/>
    <w:rsid w:val="00274551"/>
    <w:rsid w:val="002A1653"/>
    <w:rsid w:val="002A58D5"/>
    <w:rsid w:val="002F0151"/>
    <w:rsid w:val="00302A83"/>
    <w:rsid w:val="0030319F"/>
    <w:rsid w:val="003064DC"/>
    <w:rsid w:val="00322E7D"/>
    <w:rsid w:val="00331C0A"/>
    <w:rsid w:val="00331D68"/>
    <w:rsid w:val="00332BAA"/>
    <w:rsid w:val="003446E0"/>
    <w:rsid w:val="00344B52"/>
    <w:rsid w:val="003475AB"/>
    <w:rsid w:val="003559B4"/>
    <w:rsid w:val="00360903"/>
    <w:rsid w:val="003660E2"/>
    <w:rsid w:val="00381FD7"/>
    <w:rsid w:val="00390CDF"/>
    <w:rsid w:val="003A2689"/>
    <w:rsid w:val="003B7D8A"/>
    <w:rsid w:val="003C74D8"/>
    <w:rsid w:val="003E54F3"/>
    <w:rsid w:val="003F577F"/>
    <w:rsid w:val="00400717"/>
    <w:rsid w:val="00407C59"/>
    <w:rsid w:val="00422437"/>
    <w:rsid w:val="00451F0C"/>
    <w:rsid w:val="0045551E"/>
    <w:rsid w:val="004563BB"/>
    <w:rsid w:val="004745F8"/>
    <w:rsid w:val="00475070"/>
    <w:rsid w:val="004751E3"/>
    <w:rsid w:val="00477430"/>
    <w:rsid w:val="00486DE6"/>
    <w:rsid w:val="004872D0"/>
    <w:rsid w:val="004A0ABD"/>
    <w:rsid w:val="004A5C72"/>
    <w:rsid w:val="004C3455"/>
    <w:rsid w:val="004C450F"/>
    <w:rsid w:val="004D000F"/>
    <w:rsid w:val="004D24FB"/>
    <w:rsid w:val="004D6AEF"/>
    <w:rsid w:val="004F3B0B"/>
    <w:rsid w:val="005567E0"/>
    <w:rsid w:val="005A3532"/>
    <w:rsid w:val="005C04FF"/>
    <w:rsid w:val="005D1DEA"/>
    <w:rsid w:val="005E3660"/>
    <w:rsid w:val="006005F5"/>
    <w:rsid w:val="00607480"/>
    <w:rsid w:val="00654EE7"/>
    <w:rsid w:val="00670104"/>
    <w:rsid w:val="006A25AE"/>
    <w:rsid w:val="006B2171"/>
    <w:rsid w:val="006D041E"/>
    <w:rsid w:val="006D465A"/>
    <w:rsid w:val="007074AF"/>
    <w:rsid w:val="00741512"/>
    <w:rsid w:val="00752E93"/>
    <w:rsid w:val="0076090F"/>
    <w:rsid w:val="007703FD"/>
    <w:rsid w:val="00773FCB"/>
    <w:rsid w:val="00796B27"/>
    <w:rsid w:val="007A33F9"/>
    <w:rsid w:val="007A4014"/>
    <w:rsid w:val="007B79E4"/>
    <w:rsid w:val="007B7F6B"/>
    <w:rsid w:val="007C1F7B"/>
    <w:rsid w:val="007C2E6E"/>
    <w:rsid w:val="007D44D0"/>
    <w:rsid w:val="007D722C"/>
    <w:rsid w:val="007E5D70"/>
    <w:rsid w:val="007F0A78"/>
    <w:rsid w:val="00806DCD"/>
    <w:rsid w:val="00826971"/>
    <w:rsid w:val="008352C0"/>
    <w:rsid w:val="00846330"/>
    <w:rsid w:val="008668F9"/>
    <w:rsid w:val="00867479"/>
    <w:rsid w:val="00887EE9"/>
    <w:rsid w:val="0089590B"/>
    <w:rsid w:val="008A5563"/>
    <w:rsid w:val="008B2562"/>
    <w:rsid w:val="008C625B"/>
    <w:rsid w:val="008C67AE"/>
    <w:rsid w:val="008D35B3"/>
    <w:rsid w:val="00926A57"/>
    <w:rsid w:val="009337C2"/>
    <w:rsid w:val="0094596E"/>
    <w:rsid w:val="0096687C"/>
    <w:rsid w:val="0098579E"/>
    <w:rsid w:val="009F759F"/>
    <w:rsid w:val="00A16EFA"/>
    <w:rsid w:val="00A30C18"/>
    <w:rsid w:val="00A34D4B"/>
    <w:rsid w:val="00A3579C"/>
    <w:rsid w:val="00A365C1"/>
    <w:rsid w:val="00A4325A"/>
    <w:rsid w:val="00A50B6C"/>
    <w:rsid w:val="00A54ECC"/>
    <w:rsid w:val="00A72B05"/>
    <w:rsid w:val="00A82AA8"/>
    <w:rsid w:val="00A84AE3"/>
    <w:rsid w:val="00A84D3D"/>
    <w:rsid w:val="00A97D71"/>
    <w:rsid w:val="00AA34D0"/>
    <w:rsid w:val="00AA3BC8"/>
    <w:rsid w:val="00AA54DF"/>
    <w:rsid w:val="00AA685E"/>
    <w:rsid w:val="00AB5689"/>
    <w:rsid w:val="00AF1D51"/>
    <w:rsid w:val="00B17496"/>
    <w:rsid w:val="00B23D51"/>
    <w:rsid w:val="00B37D44"/>
    <w:rsid w:val="00B45825"/>
    <w:rsid w:val="00B53447"/>
    <w:rsid w:val="00B60670"/>
    <w:rsid w:val="00B87348"/>
    <w:rsid w:val="00B90591"/>
    <w:rsid w:val="00B94647"/>
    <w:rsid w:val="00BA0B01"/>
    <w:rsid w:val="00BA22B1"/>
    <w:rsid w:val="00BA52D1"/>
    <w:rsid w:val="00BA6885"/>
    <w:rsid w:val="00BB2EBD"/>
    <w:rsid w:val="00BC0497"/>
    <w:rsid w:val="00BE36E3"/>
    <w:rsid w:val="00BF22B6"/>
    <w:rsid w:val="00BF3B38"/>
    <w:rsid w:val="00C05493"/>
    <w:rsid w:val="00C47BB3"/>
    <w:rsid w:val="00C5763B"/>
    <w:rsid w:val="00C612D7"/>
    <w:rsid w:val="00C70E90"/>
    <w:rsid w:val="00C72FB1"/>
    <w:rsid w:val="00C91288"/>
    <w:rsid w:val="00CC3084"/>
    <w:rsid w:val="00CE2D29"/>
    <w:rsid w:val="00CE49DA"/>
    <w:rsid w:val="00CF5227"/>
    <w:rsid w:val="00D06EE4"/>
    <w:rsid w:val="00D366C8"/>
    <w:rsid w:val="00D43421"/>
    <w:rsid w:val="00D62BF7"/>
    <w:rsid w:val="00D6458D"/>
    <w:rsid w:val="00D65EEF"/>
    <w:rsid w:val="00D75078"/>
    <w:rsid w:val="00D77CF2"/>
    <w:rsid w:val="00D855BA"/>
    <w:rsid w:val="00DA2345"/>
    <w:rsid w:val="00DA49F0"/>
    <w:rsid w:val="00DB367E"/>
    <w:rsid w:val="00DD04A9"/>
    <w:rsid w:val="00DD7D58"/>
    <w:rsid w:val="00DE60D4"/>
    <w:rsid w:val="00DF062C"/>
    <w:rsid w:val="00DF1721"/>
    <w:rsid w:val="00DF6DB2"/>
    <w:rsid w:val="00E12BB0"/>
    <w:rsid w:val="00E34A39"/>
    <w:rsid w:val="00E4219F"/>
    <w:rsid w:val="00E4621E"/>
    <w:rsid w:val="00E53542"/>
    <w:rsid w:val="00E53CD5"/>
    <w:rsid w:val="00E85D63"/>
    <w:rsid w:val="00E93A87"/>
    <w:rsid w:val="00EA0C73"/>
    <w:rsid w:val="00EA3D54"/>
    <w:rsid w:val="00EA5A3C"/>
    <w:rsid w:val="00EB6DD5"/>
    <w:rsid w:val="00EC3DA9"/>
    <w:rsid w:val="00ED6281"/>
    <w:rsid w:val="00EE4899"/>
    <w:rsid w:val="00EE751C"/>
    <w:rsid w:val="00EF7A02"/>
    <w:rsid w:val="00F03007"/>
    <w:rsid w:val="00F04267"/>
    <w:rsid w:val="00F12BBC"/>
    <w:rsid w:val="00F142A5"/>
    <w:rsid w:val="00F17F11"/>
    <w:rsid w:val="00F2420B"/>
    <w:rsid w:val="00F2544A"/>
    <w:rsid w:val="00F26BAF"/>
    <w:rsid w:val="00F26E09"/>
    <w:rsid w:val="00F32F73"/>
    <w:rsid w:val="00F35788"/>
    <w:rsid w:val="00F4297E"/>
    <w:rsid w:val="00F47D33"/>
    <w:rsid w:val="00F5620A"/>
    <w:rsid w:val="00F57DDF"/>
    <w:rsid w:val="00F76ECA"/>
    <w:rsid w:val="00F83E1A"/>
    <w:rsid w:val="00FA0B2A"/>
    <w:rsid w:val="00FA2E80"/>
    <w:rsid w:val="00FB5AB3"/>
    <w:rsid w:val="00FD7AD5"/>
    <w:rsid w:val="00FF0A4A"/>
    <w:rsid w:val="0109547B"/>
    <w:rsid w:val="01276B70"/>
    <w:rsid w:val="03806FDE"/>
    <w:rsid w:val="05D62E8D"/>
    <w:rsid w:val="0775282A"/>
    <w:rsid w:val="08AC6D85"/>
    <w:rsid w:val="0962075C"/>
    <w:rsid w:val="0C4F7DAC"/>
    <w:rsid w:val="0E1F4BC8"/>
    <w:rsid w:val="0E614412"/>
    <w:rsid w:val="146A5814"/>
    <w:rsid w:val="1BDE34C7"/>
    <w:rsid w:val="28965D2F"/>
    <w:rsid w:val="28B035B3"/>
    <w:rsid w:val="2ABC554D"/>
    <w:rsid w:val="2AC31382"/>
    <w:rsid w:val="38E07567"/>
    <w:rsid w:val="3BDD62E8"/>
    <w:rsid w:val="3C304CD6"/>
    <w:rsid w:val="3E2F1D93"/>
    <w:rsid w:val="3EBC63BD"/>
    <w:rsid w:val="4DC27ACE"/>
    <w:rsid w:val="51293AE9"/>
    <w:rsid w:val="514021AB"/>
    <w:rsid w:val="51646596"/>
    <w:rsid w:val="51865C21"/>
    <w:rsid w:val="571760EF"/>
    <w:rsid w:val="59820073"/>
    <w:rsid w:val="5CE568D6"/>
    <w:rsid w:val="68BB18DC"/>
    <w:rsid w:val="6E5217A2"/>
    <w:rsid w:val="70B623EE"/>
    <w:rsid w:val="7DDD38A4"/>
    <w:rsid w:val="7FB72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link w:val="24"/>
    <w:qFormat/>
    <w:uiPriority w:val="9"/>
    <w:pPr>
      <w:widowControl/>
      <w:spacing w:before="100" w:beforeAutospacing="1" w:after="100" w:afterAutospacing="1"/>
      <w:jc w:val="left"/>
      <w:outlineLvl w:val="4"/>
    </w:pPr>
    <w:rPr>
      <w:rFonts w:ascii="宋体" w:hAnsi="宋体" w:eastAsia="宋体" w:cs="宋体"/>
      <w:b/>
      <w:bCs/>
      <w:kern w:val="0"/>
      <w:sz w:val="20"/>
      <w:szCs w:val="2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Indent"/>
    <w:basedOn w:val="1"/>
    <w:link w:val="21"/>
    <w:qFormat/>
    <w:uiPriority w:val="0"/>
    <w:pPr>
      <w:ind w:firstLine="420"/>
    </w:pPr>
    <w:rPr>
      <w:rFonts w:eastAsia="宋体"/>
      <w:sz w:val="24"/>
      <w:szCs w:val="24"/>
    </w:rPr>
  </w:style>
  <w:style w:type="paragraph" w:styleId="5">
    <w:name w:val="Date"/>
    <w:basedOn w:val="1"/>
    <w:next w:val="1"/>
    <w:link w:val="20"/>
    <w:semiHidden/>
    <w:unhideWhenUsed/>
    <w:qFormat/>
    <w:uiPriority w:val="99"/>
    <w:pPr>
      <w:ind w:left="100" w:leftChars="2500"/>
    </w:pPr>
  </w:style>
  <w:style w:type="paragraph" w:styleId="6">
    <w:name w:val="Balloon Text"/>
    <w:basedOn w:val="1"/>
    <w:link w:val="17"/>
    <w:semiHidden/>
    <w:unhideWhenUsed/>
    <w:qFormat/>
    <w:uiPriority w:val="99"/>
    <w:rPr>
      <w:sz w:val="18"/>
      <w:szCs w:val="18"/>
    </w:r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25"/>
    <w:qFormat/>
    <w:uiPriority w:val="11"/>
    <w:pPr>
      <w:spacing w:before="240" w:after="60" w:line="312" w:lineRule="auto"/>
      <w:jc w:val="center"/>
      <w:outlineLvl w:val="1"/>
    </w:pPr>
    <w:rPr>
      <w:b/>
      <w:bCs/>
      <w:kern w:val="28"/>
      <w:sz w:val="32"/>
      <w:szCs w:val="32"/>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22"/>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semiHidden/>
    <w:unhideWhenUsed/>
    <w:qFormat/>
    <w:uiPriority w:val="99"/>
    <w:rPr>
      <w:sz w:val="21"/>
      <w:szCs w:val="21"/>
    </w:rPr>
  </w:style>
  <w:style w:type="character" w:customStyle="1" w:styleId="17">
    <w:name w:val="批注框文本 字符"/>
    <w:basedOn w:val="13"/>
    <w:link w:val="6"/>
    <w:semiHidden/>
    <w:qFormat/>
    <w:uiPriority w:val="99"/>
    <w:rPr>
      <w:kern w:val="2"/>
      <w:sz w:val="18"/>
      <w:szCs w:val="18"/>
    </w:rPr>
  </w:style>
  <w:style w:type="character" w:customStyle="1" w:styleId="18">
    <w:name w:val="页眉 字符"/>
    <w:basedOn w:val="13"/>
    <w:link w:val="8"/>
    <w:qFormat/>
    <w:uiPriority w:val="99"/>
    <w:rPr>
      <w:kern w:val="2"/>
      <w:sz w:val="18"/>
      <w:szCs w:val="18"/>
    </w:rPr>
  </w:style>
  <w:style w:type="character" w:customStyle="1" w:styleId="19">
    <w:name w:val="页脚 字符"/>
    <w:basedOn w:val="13"/>
    <w:link w:val="7"/>
    <w:qFormat/>
    <w:uiPriority w:val="99"/>
    <w:rPr>
      <w:kern w:val="2"/>
      <w:sz w:val="18"/>
      <w:szCs w:val="18"/>
    </w:rPr>
  </w:style>
  <w:style w:type="character" w:customStyle="1" w:styleId="20">
    <w:name w:val="日期 字符"/>
    <w:basedOn w:val="13"/>
    <w:link w:val="5"/>
    <w:semiHidden/>
    <w:qFormat/>
    <w:uiPriority w:val="99"/>
    <w:rPr>
      <w:kern w:val="2"/>
      <w:sz w:val="21"/>
      <w:szCs w:val="22"/>
    </w:rPr>
  </w:style>
  <w:style w:type="character" w:customStyle="1" w:styleId="21">
    <w:name w:val="正文文本缩进 字符"/>
    <w:link w:val="4"/>
    <w:qFormat/>
    <w:uiPriority w:val="0"/>
    <w:rPr>
      <w:rFonts w:eastAsia="宋体"/>
      <w:kern w:val="2"/>
      <w:sz w:val="24"/>
      <w:szCs w:val="24"/>
    </w:rPr>
  </w:style>
  <w:style w:type="character" w:customStyle="1" w:styleId="22">
    <w:name w:val="正文文本缩进 字符1"/>
    <w:basedOn w:val="13"/>
    <w:semiHidden/>
    <w:qFormat/>
    <w:uiPriority w:val="99"/>
    <w:rPr>
      <w:kern w:val="2"/>
      <w:sz w:val="21"/>
      <w:szCs w:val="22"/>
    </w:rPr>
  </w:style>
  <w:style w:type="paragraph" w:styleId="23">
    <w:name w:val="List Paragraph"/>
    <w:basedOn w:val="1"/>
    <w:qFormat/>
    <w:uiPriority w:val="34"/>
    <w:pPr>
      <w:ind w:firstLine="420" w:firstLineChars="200"/>
    </w:pPr>
  </w:style>
  <w:style w:type="character" w:customStyle="1" w:styleId="24">
    <w:name w:val="标题 5 字符"/>
    <w:basedOn w:val="13"/>
    <w:link w:val="2"/>
    <w:qFormat/>
    <w:uiPriority w:val="9"/>
    <w:rPr>
      <w:rFonts w:ascii="宋体" w:hAnsi="宋体" w:eastAsia="宋体" w:cs="宋体"/>
      <w:b/>
      <w:bCs/>
    </w:rPr>
  </w:style>
  <w:style w:type="character" w:customStyle="1" w:styleId="25">
    <w:name w:val="副标题 字符"/>
    <w:basedOn w:val="13"/>
    <w:link w:val="9"/>
    <w:qFormat/>
    <w:uiPriority w:val="11"/>
    <w:rPr>
      <w:b/>
      <w:bCs/>
      <w:kern w:val="28"/>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numbering" Target="numbering.xml"/><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982C8-5D7B-4BC9-B241-432B49961A62}">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29</Pages>
  <Words>7922</Words>
  <Characters>9184</Characters>
  <Lines>77</Lines>
  <Paragraphs>21</Paragraphs>
  <TotalTime>1</TotalTime>
  <ScaleCrop>false</ScaleCrop>
  <LinksUpToDate>false</LinksUpToDate>
  <CharactersWithSpaces>9350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2024-07-02T14:32:00Z</dcterms:created>
  <dc:creator>Administrator</dc:creator>
  <cp:lastModifiedBy>Administrator</cp:lastModifiedBy>
  <cp:lastPrinted>2021-01-14T07:49:00Z</cp:lastPrinted>
  <dcterms:modified xsi:type="dcterms:W3CDTF">2024-07-03T01:28:16Z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277F304CC49C4A77995DF113DB8F1657_13</vt:lpwstr>
  </property>
</Properties>
</file>