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ascii="仿宋_GB2312" w:hAnsi="Times New Roman" w:eastAsia="仿宋_GB2312"/>
          <w:b/>
          <w:sz w:val="32"/>
          <w:szCs w:val="32"/>
        </w:rPr>
      </w:pPr>
      <w:bookmarkStart w:id="0" w:name="_GoBack"/>
      <w:bookmarkEnd w:id="0"/>
      <w:r>
        <w:rPr>
          <w:rFonts w:hint="eastAsia" w:ascii="仿宋_GB2312" w:hAnsi="Times New Roman" w:eastAsia="仿宋_GB2312"/>
          <w:b/>
          <w:sz w:val="32"/>
          <w:szCs w:val="32"/>
        </w:rPr>
        <w:t xml:space="preserve">附件1 </w:t>
      </w:r>
    </w:p>
    <w:p>
      <w:pPr>
        <w:widowControl/>
        <w:jc w:val="center"/>
        <w:rPr>
          <w:rFonts w:ascii="仿宋_GB2312" w:hAnsi="Times New Roman" w:eastAsia="仿宋_GB2312"/>
          <w:b/>
          <w:sz w:val="32"/>
          <w:szCs w:val="32"/>
        </w:rPr>
      </w:pPr>
      <w:r>
        <w:rPr>
          <w:rFonts w:ascii="仿宋_GB2312" w:hAnsi="Times New Roman" w:eastAsia="仿宋_GB2312"/>
          <w:b/>
          <w:sz w:val="32"/>
          <w:szCs w:val="32"/>
        </w:rPr>
        <w:t>2020</w:t>
      </w:r>
      <w:r>
        <w:rPr>
          <w:rFonts w:hint="eastAsia" w:ascii="仿宋_GB2312" w:hAnsi="Times New Roman" w:eastAsia="仿宋_GB2312"/>
          <w:b/>
          <w:sz w:val="32"/>
          <w:szCs w:val="32"/>
        </w:rPr>
        <w:t>级综合测评评分标准</w:t>
      </w:r>
    </w:p>
    <w:p>
      <w:pPr>
        <w:spacing w:line="500" w:lineRule="exact"/>
        <w:ind w:firstLine="640" w:firstLineChars="200"/>
        <w:jc w:val="left"/>
        <w:rPr>
          <w:rFonts w:ascii="仿宋_GB2312" w:hAnsi="Times New Roman" w:eastAsia="仿宋_GB2312"/>
          <w:sz w:val="32"/>
          <w:szCs w:val="32"/>
        </w:rPr>
      </w:pPr>
      <w:r>
        <w:rPr>
          <w:rFonts w:hint="eastAsia" w:ascii="仿宋_GB2312" w:hAnsi="Times New Roman" w:eastAsia="仿宋_GB2312"/>
          <w:sz w:val="32"/>
          <w:szCs w:val="32"/>
        </w:rPr>
        <w:t>（一）竞赛类认定</w:t>
      </w:r>
    </w:p>
    <w:p>
      <w:pPr>
        <w:spacing w:line="500" w:lineRule="exact"/>
        <w:ind w:firstLine="640" w:firstLineChars="200"/>
        <w:jc w:val="left"/>
        <w:rPr>
          <w:rFonts w:ascii="仿宋_GB2312" w:hAnsi="Times New Roman" w:eastAsia="仿宋_GB2312"/>
          <w:sz w:val="32"/>
          <w:szCs w:val="32"/>
        </w:rPr>
      </w:pPr>
      <w:r>
        <w:rPr>
          <w:rFonts w:hint="eastAsia" w:ascii="仿宋_GB2312" w:hAnsi="Times New Roman" w:eastAsia="仿宋_GB2312"/>
          <w:sz w:val="32"/>
          <w:szCs w:val="32"/>
        </w:rPr>
        <w:t>1、符合附件2列表中的竞赛均可认定，同一类竞赛不同级别获奖只认定最高级别。</w:t>
      </w:r>
    </w:p>
    <w:p>
      <w:pPr>
        <w:spacing w:line="500" w:lineRule="exact"/>
        <w:ind w:firstLine="640" w:firstLineChars="200"/>
        <w:jc w:val="left"/>
        <w:rPr>
          <w:rFonts w:ascii="仿宋_GB2312" w:hAnsi="Times New Roman" w:eastAsia="仿宋_GB2312"/>
          <w:sz w:val="32"/>
          <w:szCs w:val="32"/>
        </w:rPr>
      </w:pPr>
      <w:r>
        <w:rPr>
          <w:rFonts w:hint="eastAsia" w:ascii="仿宋_GB2312" w:hAnsi="Times New Roman" w:eastAsia="仿宋_GB2312"/>
          <w:sz w:val="32"/>
          <w:szCs w:val="32"/>
        </w:rPr>
        <w:t>2、竞赛类获奖分数记录方式如下</w:t>
      </w:r>
    </w:p>
    <w:tbl>
      <w:tblPr>
        <w:tblStyle w:val="9"/>
        <w:tblW w:w="3240" w:type="dxa"/>
        <w:jc w:val="center"/>
        <w:tblLayout w:type="autofit"/>
        <w:tblCellMar>
          <w:top w:w="0" w:type="dxa"/>
          <w:left w:w="108" w:type="dxa"/>
          <w:bottom w:w="0" w:type="dxa"/>
          <w:right w:w="108" w:type="dxa"/>
        </w:tblCellMar>
      </w:tblPr>
      <w:tblGrid>
        <w:gridCol w:w="1080"/>
        <w:gridCol w:w="1080"/>
        <w:gridCol w:w="1080"/>
      </w:tblGrid>
      <w:tr>
        <w:tblPrEx>
          <w:tblCellMar>
            <w:top w:w="0" w:type="dxa"/>
            <w:left w:w="108" w:type="dxa"/>
            <w:bottom w:w="0" w:type="dxa"/>
            <w:right w:w="108" w:type="dxa"/>
          </w:tblCellMar>
        </w:tblPrEx>
        <w:trPr>
          <w:trHeight w:val="285" w:hRule="atLeast"/>
          <w:jc w:val="center"/>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等线" w:eastAsia="仿宋_GB2312" w:cs="宋体"/>
                <w:color w:val="000000"/>
                <w:kern w:val="0"/>
                <w:sz w:val="22"/>
              </w:rPr>
            </w:pPr>
            <w:r>
              <w:rPr>
                <w:rFonts w:hint="eastAsia" w:ascii="仿宋_GB2312" w:hAnsi="等线" w:eastAsia="仿宋_GB2312" w:cs="宋体"/>
                <w:color w:val="000000"/>
                <w:kern w:val="0"/>
                <w:sz w:val="22"/>
              </w:rPr>
              <w:t>级别</w:t>
            </w:r>
          </w:p>
        </w:tc>
        <w:tc>
          <w:tcPr>
            <w:tcW w:w="108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_GB2312" w:hAnsi="等线" w:eastAsia="仿宋_GB2312" w:cs="宋体"/>
                <w:color w:val="000000"/>
                <w:kern w:val="0"/>
                <w:sz w:val="22"/>
              </w:rPr>
            </w:pPr>
            <w:r>
              <w:rPr>
                <w:rFonts w:hint="eastAsia" w:ascii="仿宋_GB2312" w:hAnsi="等线" w:eastAsia="仿宋_GB2312" w:cs="宋体"/>
                <w:color w:val="000000"/>
                <w:kern w:val="0"/>
                <w:sz w:val="22"/>
              </w:rPr>
              <w:t>等级</w:t>
            </w:r>
          </w:p>
        </w:tc>
        <w:tc>
          <w:tcPr>
            <w:tcW w:w="108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_GB2312" w:hAnsi="等线" w:eastAsia="仿宋_GB2312" w:cs="宋体"/>
                <w:color w:val="000000"/>
                <w:kern w:val="0"/>
                <w:sz w:val="22"/>
              </w:rPr>
            </w:pPr>
            <w:r>
              <w:rPr>
                <w:rFonts w:hint="eastAsia" w:ascii="仿宋_GB2312" w:hAnsi="等线" w:eastAsia="仿宋_GB2312" w:cs="宋体"/>
                <w:color w:val="000000"/>
                <w:kern w:val="0"/>
                <w:sz w:val="22"/>
              </w:rPr>
              <w:t>基点</w:t>
            </w:r>
          </w:p>
        </w:tc>
      </w:tr>
      <w:tr>
        <w:tblPrEx>
          <w:tblCellMar>
            <w:top w:w="0" w:type="dxa"/>
            <w:left w:w="108" w:type="dxa"/>
            <w:bottom w:w="0" w:type="dxa"/>
            <w:right w:w="108" w:type="dxa"/>
          </w:tblCellMar>
        </w:tblPrEx>
        <w:trPr>
          <w:trHeight w:val="285" w:hRule="atLeast"/>
          <w:jc w:val="center"/>
        </w:trPr>
        <w:tc>
          <w:tcPr>
            <w:tcW w:w="1080"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等线" w:eastAsia="仿宋_GB2312" w:cs="宋体"/>
                <w:color w:val="000000"/>
                <w:kern w:val="0"/>
                <w:sz w:val="22"/>
              </w:rPr>
            </w:pPr>
            <w:r>
              <w:rPr>
                <w:rFonts w:hint="eastAsia" w:ascii="仿宋_GB2312" w:hAnsi="等线" w:eastAsia="仿宋_GB2312" w:cs="宋体"/>
                <w:color w:val="000000"/>
                <w:kern w:val="0"/>
                <w:sz w:val="22"/>
              </w:rPr>
              <w:t>国际级</w:t>
            </w: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hAnsi="等线" w:eastAsia="仿宋_GB2312" w:cs="宋体"/>
                <w:color w:val="000000"/>
                <w:kern w:val="0"/>
                <w:sz w:val="22"/>
              </w:rPr>
            </w:pPr>
            <w:r>
              <w:rPr>
                <w:rFonts w:hint="eastAsia" w:ascii="仿宋_GB2312" w:hAnsi="等线" w:eastAsia="仿宋_GB2312" w:cs="宋体"/>
                <w:color w:val="000000"/>
                <w:kern w:val="0"/>
                <w:sz w:val="22"/>
              </w:rPr>
              <w:t>特等</w:t>
            </w: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hAnsi="等线" w:eastAsia="仿宋_GB2312" w:cs="宋体"/>
                <w:color w:val="000000"/>
                <w:kern w:val="0"/>
                <w:sz w:val="22"/>
              </w:rPr>
            </w:pPr>
            <w:r>
              <w:rPr>
                <w:rFonts w:hint="eastAsia" w:ascii="仿宋_GB2312" w:hAnsi="等线" w:eastAsia="仿宋_GB2312" w:cs="宋体"/>
                <w:color w:val="000000"/>
                <w:kern w:val="0"/>
                <w:sz w:val="22"/>
              </w:rPr>
              <w:t>2</w:t>
            </w:r>
          </w:p>
        </w:tc>
      </w:tr>
      <w:tr>
        <w:tblPrEx>
          <w:tblCellMar>
            <w:top w:w="0" w:type="dxa"/>
            <w:left w:w="108" w:type="dxa"/>
            <w:bottom w:w="0" w:type="dxa"/>
            <w:right w:w="108" w:type="dxa"/>
          </w:tblCellMar>
        </w:tblPrEx>
        <w:trPr>
          <w:trHeight w:val="285" w:hRule="atLeast"/>
          <w:jc w:val="center"/>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等线" w:eastAsia="仿宋_GB2312" w:cs="宋体"/>
                <w:color w:val="000000"/>
                <w:kern w:val="0"/>
                <w:sz w:val="22"/>
              </w:rPr>
            </w:pP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hAnsi="等线" w:eastAsia="仿宋_GB2312" w:cs="宋体"/>
                <w:color w:val="000000"/>
                <w:kern w:val="0"/>
                <w:sz w:val="22"/>
              </w:rPr>
            </w:pPr>
            <w:r>
              <w:rPr>
                <w:rFonts w:hint="eastAsia" w:ascii="仿宋_GB2312" w:hAnsi="等线" w:eastAsia="仿宋_GB2312" w:cs="宋体"/>
                <w:color w:val="000000"/>
                <w:kern w:val="0"/>
                <w:sz w:val="22"/>
              </w:rPr>
              <w:t>一等</w:t>
            </w: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hAnsi="等线" w:eastAsia="仿宋_GB2312" w:cs="宋体"/>
                <w:color w:val="000000"/>
                <w:kern w:val="0"/>
                <w:sz w:val="22"/>
              </w:rPr>
            </w:pPr>
            <w:r>
              <w:rPr>
                <w:rFonts w:hint="eastAsia" w:ascii="仿宋_GB2312" w:hAnsi="等线" w:eastAsia="仿宋_GB2312" w:cs="宋体"/>
                <w:color w:val="000000"/>
                <w:kern w:val="0"/>
                <w:sz w:val="22"/>
              </w:rPr>
              <w:t>1</w:t>
            </w:r>
          </w:p>
        </w:tc>
      </w:tr>
      <w:tr>
        <w:tblPrEx>
          <w:tblCellMar>
            <w:top w:w="0" w:type="dxa"/>
            <w:left w:w="108" w:type="dxa"/>
            <w:bottom w:w="0" w:type="dxa"/>
            <w:right w:w="108" w:type="dxa"/>
          </w:tblCellMar>
        </w:tblPrEx>
        <w:trPr>
          <w:trHeight w:val="285" w:hRule="atLeast"/>
          <w:jc w:val="center"/>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等线" w:eastAsia="仿宋_GB2312" w:cs="宋体"/>
                <w:color w:val="000000"/>
                <w:kern w:val="0"/>
                <w:sz w:val="22"/>
              </w:rPr>
            </w:pP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hAnsi="等线" w:eastAsia="仿宋_GB2312" w:cs="宋体"/>
                <w:color w:val="000000"/>
                <w:kern w:val="0"/>
                <w:sz w:val="22"/>
              </w:rPr>
            </w:pPr>
            <w:r>
              <w:rPr>
                <w:rFonts w:hint="eastAsia" w:ascii="仿宋_GB2312" w:hAnsi="等线" w:eastAsia="仿宋_GB2312" w:cs="宋体"/>
                <w:color w:val="000000"/>
                <w:kern w:val="0"/>
                <w:sz w:val="22"/>
              </w:rPr>
              <w:t>二等</w:t>
            </w: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hAnsi="等线" w:eastAsia="仿宋_GB2312" w:cs="宋体"/>
                <w:color w:val="000000"/>
                <w:kern w:val="0"/>
                <w:sz w:val="22"/>
              </w:rPr>
            </w:pPr>
            <w:r>
              <w:rPr>
                <w:rFonts w:hint="eastAsia" w:ascii="仿宋_GB2312" w:hAnsi="等线" w:eastAsia="仿宋_GB2312" w:cs="宋体"/>
                <w:color w:val="000000"/>
                <w:kern w:val="0"/>
                <w:sz w:val="22"/>
              </w:rPr>
              <w:t>0.5</w:t>
            </w:r>
          </w:p>
        </w:tc>
      </w:tr>
      <w:tr>
        <w:tblPrEx>
          <w:tblCellMar>
            <w:top w:w="0" w:type="dxa"/>
            <w:left w:w="108" w:type="dxa"/>
            <w:bottom w:w="0" w:type="dxa"/>
            <w:right w:w="108" w:type="dxa"/>
          </w:tblCellMar>
        </w:tblPrEx>
        <w:trPr>
          <w:trHeight w:val="285" w:hRule="atLeast"/>
          <w:jc w:val="center"/>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等线" w:eastAsia="仿宋_GB2312" w:cs="宋体"/>
                <w:color w:val="000000"/>
                <w:kern w:val="0"/>
                <w:sz w:val="22"/>
              </w:rPr>
            </w:pP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hAnsi="等线" w:eastAsia="仿宋_GB2312" w:cs="宋体"/>
                <w:color w:val="000000"/>
                <w:kern w:val="0"/>
                <w:sz w:val="22"/>
              </w:rPr>
            </w:pPr>
            <w:r>
              <w:rPr>
                <w:rFonts w:hint="eastAsia" w:ascii="仿宋_GB2312" w:hAnsi="等线" w:eastAsia="仿宋_GB2312" w:cs="宋体"/>
                <w:color w:val="000000"/>
                <w:kern w:val="0"/>
                <w:sz w:val="22"/>
              </w:rPr>
              <w:t>三等</w:t>
            </w: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hAnsi="等线" w:eastAsia="仿宋_GB2312" w:cs="宋体"/>
                <w:color w:val="000000"/>
                <w:kern w:val="0"/>
                <w:sz w:val="22"/>
              </w:rPr>
            </w:pPr>
            <w:r>
              <w:rPr>
                <w:rFonts w:hint="eastAsia" w:ascii="仿宋_GB2312" w:hAnsi="等线" w:eastAsia="仿宋_GB2312" w:cs="宋体"/>
                <w:color w:val="000000"/>
                <w:kern w:val="0"/>
                <w:sz w:val="22"/>
              </w:rPr>
              <w:t>0.25</w:t>
            </w:r>
          </w:p>
        </w:tc>
      </w:tr>
      <w:tr>
        <w:tblPrEx>
          <w:tblCellMar>
            <w:top w:w="0" w:type="dxa"/>
            <w:left w:w="108" w:type="dxa"/>
            <w:bottom w:w="0" w:type="dxa"/>
            <w:right w:w="108" w:type="dxa"/>
          </w:tblCellMar>
        </w:tblPrEx>
        <w:trPr>
          <w:trHeight w:val="285" w:hRule="atLeast"/>
          <w:jc w:val="center"/>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等线" w:eastAsia="仿宋_GB2312" w:cs="宋体"/>
                <w:color w:val="000000"/>
                <w:kern w:val="0"/>
                <w:sz w:val="22"/>
              </w:rPr>
            </w:pP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hAnsi="等线" w:eastAsia="仿宋_GB2312" w:cs="宋体"/>
                <w:color w:val="000000"/>
                <w:kern w:val="0"/>
                <w:sz w:val="22"/>
              </w:rPr>
            </w:pPr>
            <w:r>
              <w:rPr>
                <w:rFonts w:hint="eastAsia" w:ascii="仿宋_GB2312" w:hAnsi="等线" w:eastAsia="仿宋_GB2312" w:cs="宋体"/>
                <w:color w:val="000000"/>
                <w:kern w:val="0"/>
                <w:sz w:val="22"/>
              </w:rPr>
              <w:t>其他</w:t>
            </w: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hAnsi="等线" w:eastAsia="仿宋_GB2312" w:cs="宋体"/>
                <w:color w:val="000000"/>
                <w:kern w:val="0"/>
                <w:sz w:val="22"/>
              </w:rPr>
            </w:pPr>
            <w:r>
              <w:rPr>
                <w:rFonts w:hint="eastAsia" w:ascii="仿宋_GB2312" w:hAnsi="等线" w:eastAsia="仿宋_GB2312" w:cs="宋体"/>
                <w:color w:val="000000"/>
                <w:kern w:val="0"/>
                <w:sz w:val="22"/>
              </w:rPr>
              <w:t>0.15</w:t>
            </w:r>
          </w:p>
        </w:tc>
      </w:tr>
      <w:tr>
        <w:tblPrEx>
          <w:tblCellMar>
            <w:top w:w="0" w:type="dxa"/>
            <w:left w:w="108" w:type="dxa"/>
            <w:bottom w:w="0" w:type="dxa"/>
            <w:right w:w="108" w:type="dxa"/>
          </w:tblCellMar>
        </w:tblPrEx>
        <w:trPr>
          <w:trHeight w:val="285" w:hRule="atLeast"/>
          <w:jc w:val="center"/>
        </w:trPr>
        <w:tc>
          <w:tcPr>
            <w:tcW w:w="1080"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等线" w:eastAsia="仿宋_GB2312" w:cs="宋体"/>
                <w:color w:val="000000"/>
                <w:kern w:val="0"/>
                <w:sz w:val="22"/>
              </w:rPr>
            </w:pPr>
            <w:r>
              <w:rPr>
                <w:rFonts w:hint="eastAsia" w:ascii="仿宋_GB2312" w:hAnsi="等线" w:eastAsia="仿宋_GB2312" w:cs="宋体"/>
                <w:color w:val="000000"/>
                <w:kern w:val="0"/>
                <w:sz w:val="22"/>
              </w:rPr>
              <w:t>国家级</w:t>
            </w: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hAnsi="等线" w:eastAsia="仿宋_GB2312" w:cs="宋体"/>
                <w:color w:val="000000"/>
                <w:kern w:val="0"/>
                <w:sz w:val="22"/>
              </w:rPr>
            </w:pPr>
            <w:r>
              <w:rPr>
                <w:rFonts w:hint="eastAsia" w:ascii="仿宋_GB2312" w:hAnsi="等线" w:eastAsia="仿宋_GB2312" w:cs="宋体"/>
                <w:color w:val="000000"/>
                <w:kern w:val="0"/>
                <w:sz w:val="22"/>
              </w:rPr>
              <w:t>特等</w:t>
            </w: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hAnsi="等线" w:eastAsia="仿宋_GB2312" w:cs="宋体"/>
                <w:color w:val="000000"/>
                <w:kern w:val="0"/>
                <w:sz w:val="22"/>
              </w:rPr>
            </w:pPr>
            <w:r>
              <w:rPr>
                <w:rFonts w:hint="eastAsia" w:ascii="仿宋_GB2312" w:hAnsi="等线" w:eastAsia="仿宋_GB2312" w:cs="宋体"/>
                <w:color w:val="000000"/>
                <w:kern w:val="0"/>
                <w:sz w:val="22"/>
              </w:rPr>
              <w:t>1</w:t>
            </w:r>
          </w:p>
        </w:tc>
      </w:tr>
      <w:tr>
        <w:tblPrEx>
          <w:tblCellMar>
            <w:top w:w="0" w:type="dxa"/>
            <w:left w:w="108" w:type="dxa"/>
            <w:bottom w:w="0" w:type="dxa"/>
            <w:right w:w="108" w:type="dxa"/>
          </w:tblCellMar>
        </w:tblPrEx>
        <w:trPr>
          <w:trHeight w:val="285" w:hRule="atLeast"/>
          <w:jc w:val="center"/>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等线" w:eastAsia="仿宋_GB2312" w:cs="宋体"/>
                <w:color w:val="000000"/>
                <w:kern w:val="0"/>
                <w:sz w:val="22"/>
              </w:rPr>
            </w:pP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hAnsi="等线" w:eastAsia="仿宋_GB2312" w:cs="宋体"/>
                <w:color w:val="000000"/>
                <w:kern w:val="0"/>
                <w:sz w:val="22"/>
              </w:rPr>
            </w:pPr>
            <w:r>
              <w:rPr>
                <w:rFonts w:hint="eastAsia" w:ascii="仿宋_GB2312" w:hAnsi="等线" w:eastAsia="仿宋_GB2312" w:cs="宋体"/>
                <w:color w:val="000000"/>
                <w:kern w:val="0"/>
                <w:sz w:val="22"/>
              </w:rPr>
              <w:t>一等</w:t>
            </w: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hAnsi="等线" w:eastAsia="仿宋_GB2312" w:cs="宋体"/>
                <w:color w:val="000000"/>
                <w:kern w:val="0"/>
                <w:sz w:val="22"/>
              </w:rPr>
            </w:pPr>
            <w:r>
              <w:rPr>
                <w:rFonts w:hint="eastAsia" w:ascii="仿宋_GB2312" w:hAnsi="等线" w:eastAsia="仿宋_GB2312" w:cs="宋体"/>
                <w:color w:val="000000"/>
                <w:kern w:val="0"/>
                <w:sz w:val="22"/>
              </w:rPr>
              <w:t>0.75</w:t>
            </w:r>
          </w:p>
        </w:tc>
      </w:tr>
      <w:tr>
        <w:tblPrEx>
          <w:tblCellMar>
            <w:top w:w="0" w:type="dxa"/>
            <w:left w:w="108" w:type="dxa"/>
            <w:bottom w:w="0" w:type="dxa"/>
            <w:right w:w="108" w:type="dxa"/>
          </w:tblCellMar>
        </w:tblPrEx>
        <w:trPr>
          <w:trHeight w:val="285" w:hRule="atLeast"/>
          <w:jc w:val="center"/>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等线" w:eastAsia="仿宋_GB2312" w:cs="宋体"/>
                <w:color w:val="000000"/>
                <w:kern w:val="0"/>
                <w:sz w:val="22"/>
              </w:rPr>
            </w:pP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hAnsi="等线" w:eastAsia="仿宋_GB2312" w:cs="宋体"/>
                <w:color w:val="000000"/>
                <w:kern w:val="0"/>
                <w:sz w:val="22"/>
              </w:rPr>
            </w:pPr>
            <w:r>
              <w:rPr>
                <w:rFonts w:hint="eastAsia" w:ascii="仿宋_GB2312" w:hAnsi="等线" w:eastAsia="仿宋_GB2312" w:cs="宋体"/>
                <w:color w:val="000000"/>
                <w:kern w:val="0"/>
                <w:sz w:val="22"/>
              </w:rPr>
              <w:t>二等</w:t>
            </w: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hAnsi="等线" w:eastAsia="仿宋_GB2312" w:cs="宋体"/>
                <w:color w:val="000000"/>
                <w:kern w:val="0"/>
                <w:sz w:val="22"/>
              </w:rPr>
            </w:pPr>
            <w:r>
              <w:rPr>
                <w:rFonts w:hint="eastAsia" w:ascii="仿宋_GB2312" w:hAnsi="等线" w:eastAsia="仿宋_GB2312" w:cs="宋体"/>
                <w:color w:val="000000"/>
                <w:kern w:val="0"/>
                <w:sz w:val="22"/>
              </w:rPr>
              <w:t>0.25</w:t>
            </w:r>
          </w:p>
        </w:tc>
      </w:tr>
      <w:tr>
        <w:trPr>
          <w:trHeight w:val="285" w:hRule="atLeast"/>
          <w:jc w:val="center"/>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等线" w:eastAsia="仿宋_GB2312" w:cs="宋体"/>
                <w:color w:val="000000"/>
                <w:kern w:val="0"/>
                <w:sz w:val="22"/>
              </w:rPr>
            </w:pP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hAnsi="等线" w:eastAsia="仿宋_GB2312" w:cs="宋体"/>
                <w:color w:val="000000"/>
                <w:kern w:val="0"/>
                <w:sz w:val="22"/>
              </w:rPr>
            </w:pPr>
            <w:r>
              <w:rPr>
                <w:rFonts w:hint="eastAsia" w:ascii="仿宋_GB2312" w:hAnsi="等线" w:eastAsia="仿宋_GB2312" w:cs="宋体"/>
                <w:color w:val="000000"/>
                <w:kern w:val="0"/>
                <w:sz w:val="22"/>
              </w:rPr>
              <w:t>其他</w:t>
            </w: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hAnsi="等线" w:eastAsia="仿宋_GB2312" w:cs="宋体"/>
                <w:color w:val="000000"/>
                <w:kern w:val="0"/>
                <w:sz w:val="22"/>
              </w:rPr>
            </w:pPr>
            <w:r>
              <w:rPr>
                <w:rFonts w:hint="eastAsia" w:ascii="仿宋_GB2312" w:hAnsi="等线" w:eastAsia="仿宋_GB2312" w:cs="宋体"/>
                <w:color w:val="000000"/>
                <w:kern w:val="0"/>
                <w:sz w:val="22"/>
              </w:rPr>
              <w:t>0.15</w:t>
            </w:r>
          </w:p>
        </w:tc>
      </w:tr>
      <w:tr>
        <w:tblPrEx>
          <w:tblCellMar>
            <w:top w:w="0" w:type="dxa"/>
            <w:left w:w="108" w:type="dxa"/>
            <w:bottom w:w="0" w:type="dxa"/>
            <w:right w:w="108" w:type="dxa"/>
          </w:tblCellMar>
        </w:tblPrEx>
        <w:trPr>
          <w:trHeight w:val="285" w:hRule="atLeast"/>
          <w:jc w:val="center"/>
        </w:trPr>
        <w:tc>
          <w:tcPr>
            <w:tcW w:w="1080"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等线" w:eastAsia="仿宋_GB2312" w:cs="宋体"/>
                <w:color w:val="000000"/>
                <w:kern w:val="0"/>
                <w:sz w:val="22"/>
              </w:rPr>
            </w:pPr>
            <w:r>
              <w:rPr>
                <w:rFonts w:hint="eastAsia" w:ascii="仿宋_GB2312" w:hAnsi="等线" w:eastAsia="仿宋_GB2312" w:cs="宋体"/>
                <w:color w:val="000000"/>
                <w:kern w:val="0"/>
                <w:sz w:val="22"/>
              </w:rPr>
              <w:t>省级</w:t>
            </w: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hAnsi="等线" w:eastAsia="仿宋_GB2312" w:cs="宋体"/>
                <w:color w:val="000000"/>
                <w:kern w:val="0"/>
                <w:sz w:val="22"/>
              </w:rPr>
            </w:pPr>
            <w:r>
              <w:rPr>
                <w:rFonts w:hint="eastAsia" w:ascii="仿宋_GB2312" w:hAnsi="等线" w:eastAsia="仿宋_GB2312" w:cs="宋体"/>
                <w:color w:val="000000"/>
                <w:kern w:val="0"/>
                <w:sz w:val="22"/>
              </w:rPr>
              <w:t>特等</w:t>
            </w: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hAnsi="等线" w:eastAsia="仿宋_GB2312" w:cs="宋体"/>
                <w:color w:val="000000"/>
                <w:kern w:val="0"/>
                <w:sz w:val="22"/>
              </w:rPr>
            </w:pPr>
            <w:r>
              <w:rPr>
                <w:rFonts w:hint="eastAsia" w:ascii="仿宋_GB2312" w:hAnsi="等线" w:eastAsia="仿宋_GB2312" w:cs="宋体"/>
                <w:color w:val="000000"/>
                <w:kern w:val="0"/>
                <w:sz w:val="22"/>
              </w:rPr>
              <w:t>0.75</w:t>
            </w:r>
          </w:p>
        </w:tc>
      </w:tr>
      <w:tr>
        <w:trPr>
          <w:trHeight w:val="285" w:hRule="atLeast"/>
          <w:jc w:val="center"/>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等线" w:eastAsia="仿宋_GB2312" w:cs="宋体"/>
                <w:color w:val="000000"/>
                <w:kern w:val="0"/>
                <w:sz w:val="22"/>
              </w:rPr>
            </w:pP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hAnsi="等线" w:eastAsia="仿宋_GB2312" w:cs="宋体"/>
                <w:color w:val="000000"/>
                <w:kern w:val="0"/>
                <w:sz w:val="22"/>
              </w:rPr>
            </w:pPr>
            <w:r>
              <w:rPr>
                <w:rFonts w:hint="eastAsia" w:ascii="仿宋_GB2312" w:hAnsi="等线" w:eastAsia="仿宋_GB2312" w:cs="宋体"/>
                <w:color w:val="000000"/>
                <w:kern w:val="0"/>
                <w:sz w:val="22"/>
              </w:rPr>
              <w:t>一等</w:t>
            </w: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hAnsi="等线" w:eastAsia="仿宋_GB2312" w:cs="宋体"/>
                <w:color w:val="000000"/>
                <w:kern w:val="0"/>
                <w:sz w:val="22"/>
              </w:rPr>
            </w:pPr>
            <w:r>
              <w:rPr>
                <w:rFonts w:hint="eastAsia" w:ascii="仿宋_GB2312" w:hAnsi="等线" w:eastAsia="仿宋_GB2312" w:cs="宋体"/>
                <w:color w:val="000000"/>
                <w:kern w:val="0"/>
                <w:sz w:val="22"/>
              </w:rPr>
              <w:t>0.25</w:t>
            </w:r>
          </w:p>
        </w:tc>
      </w:tr>
      <w:tr>
        <w:tblPrEx>
          <w:tblCellMar>
            <w:top w:w="0" w:type="dxa"/>
            <w:left w:w="108" w:type="dxa"/>
            <w:bottom w:w="0" w:type="dxa"/>
            <w:right w:w="108" w:type="dxa"/>
          </w:tblCellMar>
        </w:tblPrEx>
        <w:trPr>
          <w:trHeight w:val="285" w:hRule="atLeast"/>
          <w:jc w:val="center"/>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等线" w:eastAsia="仿宋_GB2312" w:cs="宋体"/>
                <w:color w:val="000000"/>
                <w:kern w:val="0"/>
                <w:sz w:val="22"/>
              </w:rPr>
            </w:pP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hAnsi="等线" w:eastAsia="仿宋_GB2312" w:cs="宋体"/>
                <w:color w:val="000000"/>
                <w:kern w:val="0"/>
                <w:sz w:val="22"/>
              </w:rPr>
            </w:pPr>
            <w:r>
              <w:rPr>
                <w:rFonts w:hint="eastAsia" w:ascii="仿宋_GB2312" w:hAnsi="等线" w:eastAsia="仿宋_GB2312" w:cs="宋体"/>
                <w:color w:val="000000"/>
                <w:kern w:val="0"/>
                <w:sz w:val="22"/>
              </w:rPr>
              <w:t>其他</w:t>
            </w: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hAnsi="等线" w:eastAsia="仿宋_GB2312" w:cs="宋体"/>
                <w:color w:val="000000"/>
                <w:kern w:val="0"/>
                <w:sz w:val="22"/>
              </w:rPr>
            </w:pPr>
            <w:r>
              <w:rPr>
                <w:rFonts w:hint="eastAsia" w:ascii="仿宋_GB2312" w:hAnsi="等线" w:eastAsia="仿宋_GB2312" w:cs="宋体"/>
                <w:color w:val="000000"/>
                <w:kern w:val="0"/>
                <w:sz w:val="22"/>
              </w:rPr>
              <w:t>0.15</w:t>
            </w:r>
          </w:p>
        </w:tc>
      </w:tr>
      <w:tr>
        <w:tblPrEx>
          <w:tblCellMar>
            <w:top w:w="0" w:type="dxa"/>
            <w:left w:w="108" w:type="dxa"/>
            <w:bottom w:w="0" w:type="dxa"/>
            <w:right w:w="108" w:type="dxa"/>
          </w:tblCellMar>
        </w:tblPrEx>
        <w:trPr>
          <w:trHeight w:val="285" w:hRule="atLeast"/>
          <w:jc w:val="center"/>
        </w:trPr>
        <w:tc>
          <w:tcPr>
            <w:tcW w:w="1080"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等线" w:eastAsia="仿宋_GB2312" w:cs="宋体"/>
                <w:color w:val="000000"/>
                <w:kern w:val="0"/>
                <w:sz w:val="22"/>
              </w:rPr>
            </w:pPr>
            <w:r>
              <w:rPr>
                <w:rFonts w:hint="eastAsia" w:ascii="仿宋_GB2312" w:hAnsi="等线" w:eastAsia="仿宋_GB2312" w:cs="宋体"/>
                <w:color w:val="000000"/>
                <w:kern w:val="0"/>
                <w:sz w:val="22"/>
              </w:rPr>
              <w:t>校级</w:t>
            </w: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hAnsi="等线" w:eastAsia="仿宋_GB2312" w:cs="宋体"/>
                <w:color w:val="000000"/>
                <w:kern w:val="0"/>
                <w:sz w:val="22"/>
              </w:rPr>
            </w:pPr>
            <w:r>
              <w:rPr>
                <w:rFonts w:hint="eastAsia" w:ascii="仿宋_GB2312" w:hAnsi="等线" w:eastAsia="仿宋_GB2312" w:cs="宋体"/>
                <w:color w:val="000000"/>
                <w:kern w:val="0"/>
                <w:sz w:val="22"/>
              </w:rPr>
              <w:t>特等</w:t>
            </w: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hAnsi="等线" w:eastAsia="仿宋_GB2312" w:cs="宋体"/>
                <w:color w:val="000000"/>
                <w:kern w:val="0"/>
                <w:sz w:val="22"/>
              </w:rPr>
            </w:pPr>
            <w:r>
              <w:rPr>
                <w:rFonts w:hint="eastAsia" w:ascii="仿宋_GB2312" w:hAnsi="等线" w:eastAsia="仿宋_GB2312" w:cs="宋体"/>
                <w:color w:val="000000"/>
                <w:kern w:val="0"/>
                <w:sz w:val="22"/>
              </w:rPr>
              <w:t>0.2</w:t>
            </w:r>
          </w:p>
        </w:tc>
      </w:tr>
      <w:tr>
        <w:tblPrEx>
          <w:tblCellMar>
            <w:top w:w="0" w:type="dxa"/>
            <w:left w:w="108" w:type="dxa"/>
            <w:bottom w:w="0" w:type="dxa"/>
            <w:right w:w="108" w:type="dxa"/>
          </w:tblCellMar>
        </w:tblPrEx>
        <w:trPr>
          <w:trHeight w:val="285" w:hRule="atLeast"/>
          <w:jc w:val="center"/>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等线" w:eastAsia="仿宋_GB2312" w:cs="宋体"/>
                <w:color w:val="000000"/>
                <w:kern w:val="0"/>
                <w:sz w:val="22"/>
              </w:rPr>
            </w:pP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hAnsi="等线" w:eastAsia="仿宋_GB2312" w:cs="宋体"/>
                <w:color w:val="000000"/>
                <w:kern w:val="0"/>
                <w:sz w:val="22"/>
              </w:rPr>
            </w:pPr>
            <w:r>
              <w:rPr>
                <w:rFonts w:hint="eastAsia" w:ascii="仿宋_GB2312" w:hAnsi="等线" w:eastAsia="仿宋_GB2312" w:cs="宋体"/>
                <w:color w:val="000000"/>
                <w:kern w:val="0"/>
                <w:sz w:val="22"/>
              </w:rPr>
              <w:t>一等</w:t>
            </w: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hAnsi="等线" w:eastAsia="仿宋_GB2312" w:cs="宋体"/>
                <w:color w:val="000000"/>
                <w:kern w:val="0"/>
                <w:sz w:val="22"/>
              </w:rPr>
            </w:pPr>
            <w:r>
              <w:rPr>
                <w:rFonts w:hint="eastAsia" w:ascii="仿宋_GB2312" w:hAnsi="等线" w:eastAsia="仿宋_GB2312" w:cs="宋体"/>
                <w:color w:val="000000"/>
                <w:kern w:val="0"/>
                <w:sz w:val="22"/>
              </w:rPr>
              <w:t>0.15</w:t>
            </w:r>
          </w:p>
        </w:tc>
      </w:tr>
      <w:tr>
        <w:tblPrEx>
          <w:tblCellMar>
            <w:top w:w="0" w:type="dxa"/>
            <w:left w:w="108" w:type="dxa"/>
            <w:bottom w:w="0" w:type="dxa"/>
            <w:right w:w="108" w:type="dxa"/>
          </w:tblCellMar>
        </w:tblPrEx>
        <w:trPr>
          <w:trHeight w:val="285" w:hRule="atLeast"/>
          <w:jc w:val="center"/>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等线" w:eastAsia="仿宋_GB2312" w:cs="宋体"/>
                <w:color w:val="000000"/>
                <w:kern w:val="0"/>
                <w:sz w:val="22"/>
              </w:rPr>
            </w:pP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hAnsi="等线" w:eastAsia="仿宋_GB2312" w:cs="宋体"/>
                <w:color w:val="000000"/>
                <w:kern w:val="0"/>
                <w:sz w:val="22"/>
              </w:rPr>
            </w:pPr>
            <w:r>
              <w:rPr>
                <w:rFonts w:hint="eastAsia" w:ascii="仿宋_GB2312" w:hAnsi="等线" w:eastAsia="仿宋_GB2312" w:cs="宋体"/>
                <w:color w:val="000000"/>
                <w:kern w:val="0"/>
                <w:sz w:val="22"/>
              </w:rPr>
              <w:t>二等</w:t>
            </w: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hAnsi="等线" w:eastAsia="仿宋_GB2312" w:cs="宋体"/>
                <w:color w:val="000000"/>
                <w:kern w:val="0"/>
                <w:sz w:val="22"/>
              </w:rPr>
            </w:pPr>
            <w:r>
              <w:rPr>
                <w:rFonts w:hint="eastAsia" w:ascii="仿宋_GB2312" w:hAnsi="等线" w:eastAsia="仿宋_GB2312" w:cs="宋体"/>
                <w:color w:val="000000"/>
                <w:kern w:val="0"/>
                <w:sz w:val="22"/>
              </w:rPr>
              <w:t>0.1</w:t>
            </w:r>
          </w:p>
        </w:tc>
      </w:tr>
      <w:tr>
        <w:tblPrEx>
          <w:tblCellMar>
            <w:top w:w="0" w:type="dxa"/>
            <w:left w:w="108" w:type="dxa"/>
            <w:bottom w:w="0" w:type="dxa"/>
            <w:right w:w="108" w:type="dxa"/>
          </w:tblCellMar>
        </w:tblPrEx>
        <w:trPr>
          <w:trHeight w:val="285" w:hRule="atLeast"/>
          <w:jc w:val="center"/>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等线" w:eastAsia="仿宋_GB2312" w:cs="宋体"/>
                <w:color w:val="000000"/>
                <w:kern w:val="0"/>
                <w:sz w:val="22"/>
              </w:rPr>
            </w:pP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hAnsi="等线" w:eastAsia="仿宋_GB2312" w:cs="宋体"/>
                <w:color w:val="000000"/>
                <w:kern w:val="0"/>
                <w:sz w:val="22"/>
              </w:rPr>
            </w:pPr>
            <w:r>
              <w:rPr>
                <w:rFonts w:hint="eastAsia" w:ascii="仿宋_GB2312" w:hAnsi="等线" w:eastAsia="仿宋_GB2312" w:cs="宋体"/>
                <w:color w:val="000000"/>
                <w:kern w:val="0"/>
                <w:sz w:val="22"/>
              </w:rPr>
              <w:t>其他</w:t>
            </w: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hAnsi="等线" w:eastAsia="仿宋_GB2312" w:cs="宋体"/>
                <w:color w:val="000000"/>
                <w:kern w:val="0"/>
                <w:sz w:val="22"/>
              </w:rPr>
            </w:pPr>
            <w:r>
              <w:rPr>
                <w:rFonts w:hint="eastAsia" w:ascii="仿宋_GB2312" w:hAnsi="等线" w:eastAsia="仿宋_GB2312" w:cs="宋体"/>
                <w:color w:val="000000"/>
                <w:kern w:val="0"/>
                <w:sz w:val="22"/>
              </w:rPr>
              <w:t>0.05</w:t>
            </w:r>
          </w:p>
        </w:tc>
      </w:tr>
    </w:tbl>
    <w:p>
      <w:pPr>
        <w:spacing w:line="500" w:lineRule="exact"/>
        <w:ind w:firstLine="640" w:firstLineChars="200"/>
        <w:jc w:val="left"/>
        <w:rPr>
          <w:rFonts w:ascii="仿宋_GB2312" w:hAnsi="Times New Roman" w:eastAsia="仿宋_GB2312"/>
          <w:sz w:val="32"/>
          <w:szCs w:val="32"/>
        </w:rPr>
      </w:pPr>
      <w:r>
        <w:rPr>
          <w:rFonts w:hint="eastAsia" w:ascii="仿宋_GB2312" w:hAnsi="Times New Roman" w:eastAsia="仿宋_GB2312"/>
          <w:sz w:val="32"/>
          <w:szCs w:val="32"/>
        </w:rPr>
        <w:t>3、计算方式</w:t>
      </w:r>
    </w:p>
    <w:p>
      <w:pPr>
        <w:adjustRightInd w:val="0"/>
        <w:snapToGrid w:val="0"/>
        <w:ind w:firstLine="640" w:firstLineChars="200"/>
        <w:rPr>
          <w:rFonts w:ascii="仿宋_GB2312" w:hAnsi="Times New Roman" w:eastAsia="仿宋_GB2312"/>
          <w:sz w:val="32"/>
          <w:szCs w:val="32"/>
        </w:rPr>
      </w:pPr>
      <w:r>
        <w:rPr>
          <w:rFonts w:hint="eastAsia" w:ascii="仿宋_GB2312" w:hAnsi="Times New Roman" w:eastAsia="仿宋_GB2312"/>
          <w:sz w:val="32"/>
          <w:szCs w:val="32"/>
        </w:rPr>
        <w:t>创新竞赛类成绩=∑（基点×权重），各类竞赛初始权重均为</w:t>
      </w:r>
      <w:r>
        <w:rPr>
          <w:rFonts w:ascii="仿宋_GB2312" w:hAnsi="Times New Roman" w:eastAsia="仿宋_GB2312"/>
          <w:sz w:val="32"/>
          <w:szCs w:val="32"/>
        </w:rPr>
        <w:t>2</w:t>
      </w:r>
      <w:r>
        <w:rPr>
          <w:rFonts w:hint="eastAsia" w:ascii="仿宋_GB2312" w:hAnsi="Times New Roman" w:eastAsia="仿宋_GB2312"/>
          <w:sz w:val="32"/>
          <w:szCs w:val="32"/>
        </w:rPr>
        <w:t>。</w:t>
      </w:r>
    </w:p>
    <w:p>
      <w:pPr>
        <w:spacing w:line="500" w:lineRule="exact"/>
        <w:ind w:firstLine="640" w:firstLineChars="200"/>
        <w:jc w:val="left"/>
        <w:rPr>
          <w:rFonts w:ascii="仿宋_GB2312" w:hAnsi="Times New Roman" w:eastAsia="仿宋_GB2312"/>
          <w:sz w:val="32"/>
          <w:szCs w:val="32"/>
        </w:rPr>
      </w:pPr>
      <w:r>
        <w:rPr>
          <w:rFonts w:hint="eastAsia" w:ascii="仿宋_GB2312" w:hAnsi="Times New Roman" w:eastAsia="仿宋_GB2312"/>
          <w:sz w:val="32"/>
          <w:szCs w:val="32"/>
        </w:rPr>
        <w:t>（二）论文类认定</w:t>
      </w:r>
    </w:p>
    <w:p>
      <w:pPr>
        <w:spacing w:line="500" w:lineRule="exact"/>
        <w:ind w:firstLine="640" w:firstLineChars="200"/>
        <w:jc w:val="left"/>
        <w:rPr>
          <w:rFonts w:ascii="仿宋_GB2312" w:hAnsi="Times New Roman" w:eastAsia="仿宋_GB2312"/>
          <w:sz w:val="32"/>
          <w:szCs w:val="32"/>
        </w:rPr>
      </w:pPr>
      <w:r>
        <w:rPr>
          <w:rFonts w:hint="eastAsia" w:ascii="仿宋_GB2312" w:hAnsi="Times New Roman" w:eastAsia="仿宋_GB2312"/>
          <w:sz w:val="32"/>
          <w:szCs w:val="32"/>
        </w:rPr>
        <w:t>检索期刊、SCI检索期刊,CCF C类及以上会议上发表（录用）论文，时间截止当年7月31日。</w:t>
      </w:r>
    </w:p>
    <w:p>
      <w:pPr>
        <w:spacing w:line="500" w:lineRule="exact"/>
        <w:ind w:firstLine="640" w:firstLineChars="200"/>
        <w:jc w:val="left"/>
        <w:rPr>
          <w:rFonts w:ascii="仿宋_GB2312" w:hAnsi="Times New Roman" w:eastAsia="仿宋_GB2312"/>
          <w:sz w:val="32"/>
          <w:szCs w:val="32"/>
        </w:rPr>
      </w:pPr>
      <w:r>
        <w:rPr>
          <w:rFonts w:hint="eastAsia" w:ascii="仿宋_GB2312" w:hAnsi="Times New Roman" w:eastAsia="仿宋_GB2312"/>
          <w:sz w:val="32"/>
          <w:szCs w:val="32"/>
        </w:rPr>
        <w:t>CCF</w:t>
      </w:r>
      <w:r>
        <w:rPr>
          <w:rFonts w:ascii="仿宋_GB2312" w:hAnsi="Times New Roman" w:eastAsia="仿宋_GB2312"/>
          <w:sz w:val="32"/>
          <w:szCs w:val="32"/>
        </w:rPr>
        <w:t xml:space="preserve"> </w:t>
      </w:r>
      <w:r>
        <w:rPr>
          <w:rFonts w:hint="eastAsia" w:ascii="仿宋_GB2312" w:hAnsi="Times New Roman" w:eastAsia="仿宋_GB2312"/>
          <w:sz w:val="32"/>
          <w:szCs w:val="32"/>
        </w:rPr>
        <w:t>C类会议，EI期刊，上限1分，每篇0</w:t>
      </w:r>
      <w:r>
        <w:rPr>
          <w:rFonts w:ascii="仿宋_GB2312" w:hAnsi="Times New Roman" w:eastAsia="仿宋_GB2312"/>
          <w:sz w:val="32"/>
          <w:szCs w:val="32"/>
        </w:rPr>
        <w:t>.5</w:t>
      </w:r>
      <w:r>
        <w:rPr>
          <w:rFonts w:hint="eastAsia" w:ascii="仿宋_GB2312" w:hAnsi="Times New Roman" w:eastAsia="仿宋_GB2312"/>
          <w:sz w:val="32"/>
          <w:szCs w:val="32"/>
        </w:rPr>
        <w:t>分。</w:t>
      </w:r>
    </w:p>
    <w:p>
      <w:pPr>
        <w:spacing w:line="500" w:lineRule="exact"/>
        <w:ind w:firstLine="640" w:firstLineChars="200"/>
        <w:jc w:val="left"/>
        <w:rPr>
          <w:rFonts w:ascii="仿宋_GB2312" w:hAnsi="Times New Roman" w:eastAsia="仿宋_GB2312"/>
          <w:sz w:val="32"/>
          <w:szCs w:val="32"/>
        </w:rPr>
      </w:pPr>
      <w:r>
        <w:rPr>
          <w:rFonts w:hint="eastAsia" w:ascii="仿宋_GB2312" w:hAnsi="Times New Roman" w:eastAsia="仿宋_GB2312"/>
          <w:sz w:val="32"/>
          <w:szCs w:val="32"/>
        </w:rPr>
        <w:t>中科院3区SCI期刊、CCF B类会议每篇1-</w:t>
      </w:r>
      <w:r>
        <w:rPr>
          <w:rFonts w:ascii="仿宋_GB2312" w:hAnsi="Times New Roman" w:eastAsia="仿宋_GB2312"/>
          <w:sz w:val="32"/>
          <w:szCs w:val="32"/>
        </w:rPr>
        <w:t>2</w:t>
      </w:r>
      <w:r>
        <w:rPr>
          <w:rFonts w:hint="eastAsia" w:ascii="仿宋_GB2312" w:hAnsi="Times New Roman" w:eastAsia="仿宋_GB2312"/>
          <w:sz w:val="32"/>
          <w:szCs w:val="32"/>
        </w:rPr>
        <w:t>分。</w:t>
      </w:r>
    </w:p>
    <w:p>
      <w:pPr>
        <w:spacing w:line="500" w:lineRule="exact"/>
        <w:ind w:firstLine="640" w:firstLineChars="200"/>
        <w:jc w:val="left"/>
        <w:rPr>
          <w:rFonts w:ascii="仿宋_GB2312" w:hAnsi="Times New Roman" w:eastAsia="仿宋_GB2312"/>
          <w:sz w:val="32"/>
          <w:szCs w:val="32"/>
        </w:rPr>
      </w:pPr>
      <w:r>
        <w:rPr>
          <w:rFonts w:hint="eastAsia" w:ascii="仿宋_GB2312" w:hAnsi="Times New Roman" w:eastAsia="仿宋_GB2312"/>
          <w:sz w:val="32"/>
          <w:szCs w:val="32"/>
        </w:rPr>
        <w:t>中科院2区及</w:t>
      </w:r>
      <w:r>
        <w:rPr>
          <w:rFonts w:ascii="仿宋_GB2312" w:hAnsi="Times New Roman" w:eastAsia="仿宋_GB2312"/>
          <w:sz w:val="32"/>
          <w:szCs w:val="32"/>
        </w:rPr>
        <w:t>以上SCI期刊，CCF A类会议每篇</w:t>
      </w:r>
      <w:r>
        <w:rPr>
          <w:rFonts w:hint="eastAsia" w:ascii="仿宋_GB2312" w:hAnsi="Times New Roman" w:eastAsia="仿宋_GB2312"/>
          <w:sz w:val="32"/>
          <w:szCs w:val="32"/>
        </w:rPr>
        <w:t>2</w:t>
      </w:r>
      <w:r>
        <w:rPr>
          <w:rFonts w:ascii="仿宋_GB2312" w:hAnsi="Times New Roman" w:eastAsia="仿宋_GB2312"/>
          <w:sz w:val="32"/>
          <w:szCs w:val="32"/>
        </w:rPr>
        <w:t>.1</w:t>
      </w:r>
      <w:r>
        <w:rPr>
          <w:rFonts w:hint="eastAsia" w:ascii="仿宋_GB2312" w:hAnsi="Times New Roman" w:eastAsia="仿宋_GB2312"/>
          <w:sz w:val="32"/>
          <w:szCs w:val="32"/>
        </w:rPr>
        <w:t>-</w:t>
      </w:r>
      <w:r>
        <w:rPr>
          <w:rFonts w:ascii="仿宋_GB2312" w:hAnsi="Times New Roman" w:eastAsia="仿宋_GB2312"/>
          <w:sz w:val="32"/>
          <w:szCs w:val="32"/>
        </w:rPr>
        <w:t>3</w:t>
      </w:r>
      <w:r>
        <w:rPr>
          <w:rFonts w:hint="eastAsia" w:ascii="仿宋_GB2312" w:hAnsi="Times New Roman" w:eastAsia="仿宋_GB2312"/>
          <w:sz w:val="32"/>
          <w:szCs w:val="32"/>
        </w:rPr>
        <w:t>分</w:t>
      </w:r>
      <w:r>
        <w:rPr>
          <w:rFonts w:ascii="仿宋_GB2312" w:hAnsi="Times New Roman" w:eastAsia="仿宋_GB2312"/>
          <w:sz w:val="32"/>
          <w:szCs w:val="32"/>
        </w:rPr>
        <w:t>。</w:t>
      </w:r>
    </w:p>
    <w:p>
      <w:pPr>
        <w:spacing w:line="500" w:lineRule="exact"/>
        <w:ind w:firstLine="643" w:firstLineChars="200"/>
        <w:jc w:val="left"/>
        <w:rPr>
          <w:rFonts w:ascii="仿宋_GB2312" w:hAnsi="Times New Roman" w:eastAsia="仿宋_GB2312"/>
          <w:b/>
          <w:sz w:val="32"/>
          <w:szCs w:val="32"/>
        </w:rPr>
      </w:pPr>
      <w:r>
        <w:rPr>
          <w:rFonts w:hint="eastAsia" w:ascii="仿宋_GB2312" w:hAnsi="Times New Roman" w:eastAsia="仿宋_GB2312"/>
          <w:b/>
          <w:sz w:val="32"/>
          <w:szCs w:val="32"/>
        </w:rPr>
        <w:t>注：学生与直系亲属或学历、职称、职务明显高于本人者合作的科研成果、竞赛奖项等仅作为参考，不纳入学生本人竞赛成果、创新能力及综合素质评价的指标体系，同等条件下可优先考虑。</w:t>
      </w:r>
    </w:p>
    <w:p>
      <w:pPr>
        <w:spacing w:line="500" w:lineRule="exact"/>
        <w:ind w:firstLine="640" w:firstLineChars="200"/>
        <w:jc w:val="left"/>
        <w:rPr>
          <w:rFonts w:ascii="仿宋_GB2312" w:hAnsi="Times New Roman" w:eastAsia="仿宋_GB2312"/>
          <w:sz w:val="32"/>
          <w:szCs w:val="32"/>
        </w:rPr>
      </w:pPr>
      <w:r>
        <w:rPr>
          <w:rFonts w:hint="eastAsia" w:ascii="仿宋_GB2312" w:hAnsi="Times New Roman" w:eastAsia="仿宋_GB2312"/>
          <w:sz w:val="32"/>
          <w:szCs w:val="32"/>
        </w:rPr>
        <w:t>（三）出版著作、专利、技能证书类(上限0.</w:t>
      </w:r>
      <w:r>
        <w:rPr>
          <w:rFonts w:ascii="仿宋_GB2312" w:hAnsi="Times New Roman" w:eastAsia="仿宋_GB2312"/>
          <w:sz w:val="32"/>
          <w:szCs w:val="32"/>
        </w:rPr>
        <w:t>4</w:t>
      </w:r>
      <w:r>
        <w:rPr>
          <w:rFonts w:hint="eastAsia" w:ascii="仿宋_GB2312" w:hAnsi="Times New Roman" w:eastAsia="仿宋_GB2312"/>
          <w:sz w:val="32"/>
          <w:szCs w:val="32"/>
        </w:rPr>
        <w:t>分)</w:t>
      </w:r>
    </w:p>
    <w:p>
      <w:pPr>
        <w:spacing w:line="500" w:lineRule="exact"/>
        <w:ind w:firstLine="640" w:firstLineChars="200"/>
        <w:jc w:val="left"/>
        <w:rPr>
          <w:rFonts w:ascii="仿宋_GB2312" w:hAnsi="Times New Roman" w:eastAsia="仿宋_GB2312"/>
          <w:sz w:val="32"/>
          <w:szCs w:val="32"/>
        </w:rPr>
      </w:pPr>
      <w:r>
        <w:rPr>
          <w:rFonts w:hint="eastAsia" w:ascii="仿宋_GB2312" w:hAnsi="Times New Roman" w:eastAsia="仿宋_GB2312"/>
          <w:sz w:val="32"/>
          <w:szCs w:val="32"/>
        </w:rPr>
        <w:t>出版著作前二位完成人，正式出版著作评估为0-0.</w:t>
      </w:r>
      <w:r>
        <w:rPr>
          <w:rFonts w:ascii="仿宋_GB2312" w:hAnsi="Times New Roman" w:eastAsia="仿宋_GB2312"/>
          <w:sz w:val="32"/>
          <w:szCs w:val="32"/>
        </w:rPr>
        <w:t>2</w:t>
      </w:r>
      <w:r>
        <w:rPr>
          <w:rFonts w:hint="eastAsia" w:ascii="仿宋_GB2312" w:hAnsi="Times New Roman" w:eastAsia="仿宋_GB2312"/>
          <w:sz w:val="32"/>
          <w:szCs w:val="32"/>
        </w:rPr>
        <w:t>分。</w:t>
      </w:r>
    </w:p>
    <w:p>
      <w:pPr>
        <w:spacing w:line="500" w:lineRule="exact"/>
        <w:ind w:firstLine="640" w:firstLineChars="200"/>
        <w:jc w:val="left"/>
        <w:rPr>
          <w:rFonts w:ascii="仿宋_GB2312" w:hAnsi="Times New Roman" w:eastAsia="仿宋_GB2312"/>
          <w:sz w:val="32"/>
          <w:szCs w:val="32"/>
        </w:rPr>
      </w:pPr>
      <w:r>
        <w:rPr>
          <w:rFonts w:hint="eastAsia" w:ascii="仿宋_GB2312" w:hAnsi="Times New Roman" w:eastAsia="仿宋_GB2312"/>
          <w:sz w:val="32"/>
          <w:szCs w:val="32"/>
        </w:rPr>
        <w:t>申请专利前二位完成人，评估为0-0.</w:t>
      </w:r>
      <w:r>
        <w:rPr>
          <w:rFonts w:ascii="仿宋_GB2312" w:hAnsi="Times New Roman" w:eastAsia="仿宋_GB2312"/>
          <w:sz w:val="32"/>
          <w:szCs w:val="32"/>
        </w:rPr>
        <w:t>2</w:t>
      </w:r>
      <w:r>
        <w:rPr>
          <w:rFonts w:hint="eastAsia" w:ascii="仿宋_GB2312" w:hAnsi="Times New Roman" w:eastAsia="仿宋_GB2312"/>
          <w:sz w:val="32"/>
          <w:szCs w:val="32"/>
        </w:rPr>
        <w:t>分。</w:t>
      </w:r>
    </w:p>
    <w:p>
      <w:pPr>
        <w:spacing w:line="500" w:lineRule="exact"/>
        <w:ind w:firstLine="640" w:firstLineChars="200"/>
        <w:jc w:val="left"/>
        <w:rPr>
          <w:rFonts w:ascii="仿宋_GB2312" w:hAnsi="Times New Roman" w:eastAsia="仿宋_GB2312"/>
          <w:sz w:val="32"/>
          <w:szCs w:val="32"/>
        </w:rPr>
      </w:pPr>
      <w:r>
        <w:rPr>
          <w:rFonts w:hint="eastAsia" w:ascii="仿宋_GB2312" w:hAnsi="Times New Roman" w:eastAsia="仿宋_GB2312"/>
          <w:sz w:val="32"/>
          <w:szCs w:val="32"/>
        </w:rPr>
        <w:t>技能证评估为0-0.</w:t>
      </w:r>
      <w:r>
        <w:rPr>
          <w:rFonts w:ascii="仿宋_GB2312" w:hAnsi="Times New Roman" w:eastAsia="仿宋_GB2312"/>
          <w:sz w:val="32"/>
          <w:szCs w:val="32"/>
        </w:rPr>
        <w:t>2</w:t>
      </w:r>
      <w:r>
        <w:rPr>
          <w:rFonts w:hint="eastAsia" w:ascii="仿宋_GB2312" w:hAnsi="Times New Roman" w:eastAsia="仿宋_GB2312"/>
          <w:sz w:val="32"/>
          <w:szCs w:val="32"/>
        </w:rPr>
        <w:t>分。</w:t>
      </w:r>
    </w:p>
    <w:p>
      <w:pPr>
        <w:spacing w:line="500" w:lineRule="exact"/>
        <w:ind w:firstLine="640" w:firstLineChars="200"/>
        <w:jc w:val="left"/>
        <w:rPr>
          <w:rFonts w:ascii="仿宋_GB2312" w:hAnsi="黑体" w:eastAsia="仿宋_GB2312"/>
          <w:sz w:val="32"/>
          <w:szCs w:val="32"/>
        </w:rPr>
      </w:pPr>
      <w:r>
        <w:rPr>
          <w:rFonts w:hint="eastAsia" w:ascii="仿宋_GB2312" w:hAnsi="黑体" w:eastAsia="仿宋_GB2312"/>
          <w:sz w:val="32"/>
          <w:szCs w:val="32"/>
        </w:rPr>
        <w:t>二、非学术创新类评分</w:t>
      </w:r>
    </w:p>
    <w:p>
      <w:pPr>
        <w:spacing w:line="500" w:lineRule="exact"/>
        <w:ind w:firstLine="640" w:firstLineChars="200"/>
        <w:jc w:val="left"/>
        <w:rPr>
          <w:rFonts w:ascii="仿宋_GB2312" w:hAnsi="黑体" w:eastAsia="仿宋_GB2312"/>
          <w:sz w:val="32"/>
          <w:szCs w:val="32"/>
        </w:rPr>
      </w:pPr>
      <w:r>
        <w:rPr>
          <w:rFonts w:hint="eastAsia" w:ascii="仿宋_GB2312" w:hAnsi="黑体" w:eastAsia="仿宋_GB2312"/>
          <w:sz w:val="32"/>
          <w:szCs w:val="32"/>
        </w:rPr>
        <w:t>非学术创新类分数由党委副书记组织年级辅导员对学生综合表现进行考评，包括但不限于个人思想政治情况，班级宿舍表现情况，活动参与情况，诚信情况，违纪情况等，以下项作为加分参考，经审定后获得分数。</w:t>
      </w:r>
    </w:p>
    <w:p>
      <w:pPr>
        <w:spacing w:line="500" w:lineRule="exact"/>
        <w:ind w:firstLine="643" w:firstLineChars="200"/>
        <w:rPr>
          <w:rFonts w:ascii="仿宋_GB2312" w:hAnsi="Times New Roman" w:eastAsia="仿宋_GB2312"/>
          <w:b/>
          <w:bCs/>
          <w:sz w:val="32"/>
          <w:szCs w:val="32"/>
        </w:rPr>
      </w:pPr>
      <w:r>
        <w:rPr>
          <w:rFonts w:hint="eastAsia" w:ascii="仿宋_GB2312" w:hAnsi="Times New Roman" w:eastAsia="仿宋_GB2312"/>
          <w:b/>
          <w:bCs/>
          <w:sz w:val="32"/>
          <w:szCs w:val="32"/>
        </w:rPr>
        <w:t>（一）在以下方面表现突出受到有关部门表彰的</w:t>
      </w:r>
    </w:p>
    <w:p>
      <w:pPr>
        <w:spacing w:line="50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1、维护社会稳定和民族团结等方面；</w:t>
      </w:r>
    </w:p>
    <w:p>
      <w:pPr>
        <w:spacing w:line="50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2、志愿者服务活动、社会工作；</w:t>
      </w:r>
    </w:p>
    <w:p>
      <w:pPr>
        <w:spacing w:line="50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3、助人为乐、见义勇为、诚实守信、孝老爱亲、拾金不昧等。</w:t>
      </w:r>
    </w:p>
    <w:p>
      <w:pPr>
        <w:spacing w:line="50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在以上方面表现突出获得相关部门表彰的。</w:t>
      </w:r>
    </w:p>
    <w:p>
      <w:pPr>
        <w:spacing w:line="50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（每一项获0.1分，需提供证明材料，此项上限0.2分）</w:t>
      </w:r>
    </w:p>
    <w:p>
      <w:pPr>
        <w:spacing w:line="500" w:lineRule="exact"/>
        <w:ind w:firstLine="643" w:firstLineChars="200"/>
        <w:rPr>
          <w:rFonts w:ascii="仿宋_GB2312" w:hAnsi="Times New Roman" w:eastAsia="仿宋_GB2312"/>
          <w:b/>
          <w:bCs/>
          <w:sz w:val="32"/>
          <w:szCs w:val="32"/>
        </w:rPr>
      </w:pPr>
      <w:r>
        <w:rPr>
          <w:rFonts w:hint="eastAsia" w:ascii="仿宋_GB2312" w:hAnsi="Times New Roman" w:eastAsia="仿宋_GB2312"/>
          <w:b/>
          <w:bCs/>
          <w:sz w:val="32"/>
          <w:szCs w:val="32"/>
        </w:rPr>
        <w:t>（二）获荣誉称号的</w:t>
      </w:r>
    </w:p>
    <w:p>
      <w:pPr>
        <w:spacing w:line="50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“优秀（大学生）共产党员”、“优秀（大学生）共青团员”、“优秀党支部书记”、“优秀共青团干部”、“优秀学生干部”等称号的。</w:t>
      </w:r>
    </w:p>
    <w:p>
      <w:pPr>
        <w:spacing w:line="50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（每一项院级获0.1分，校级获0.15分，省级及以上获0.2分，同一荣誉计最高分，需提供证明材料，此项上限0.3分）</w:t>
      </w:r>
    </w:p>
    <w:p>
      <w:pPr>
        <w:spacing w:line="500" w:lineRule="exact"/>
        <w:ind w:firstLine="643" w:firstLineChars="200"/>
        <w:rPr>
          <w:rFonts w:ascii="仿宋_GB2312" w:hAnsi="Times New Roman" w:eastAsia="仿宋_GB2312"/>
          <w:sz w:val="32"/>
          <w:szCs w:val="32"/>
        </w:rPr>
      </w:pPr>
      <w:r>
        <w:rPr>
          <w:rFonts w:hint="eastAsia" w:ascii="仿宋_GB2312" w:hAnsi="Times New Roman" w:eastAsia="仿宋_GB2312"/>
          <w:b/>
          <w:bCs/>
          <w:sz w:val="32"/>
          <w:szCs w:val="32"/>
        </w:rPr>
        <w:t>（三）参加文艺、体育、思辨等非学科类竞赛获奖</w:t>
      </w:r>
    </w:p>
    <w:p>
      <w:pPr>
        <w:spacing w:line="50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参加由学校或学院组织的各类非学科竞赛，同届竞赛中各项比赛只记最高成绩，应注明是个人奖还是集体奖。50人（含）以上的集体奖得分减半。</w:t>
      </w:r>
    </w:p>
    <w:p>
      <w:pPr>
        <w:spacing w:line="50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（每一项院级奖获0.1分，校级特等、一等获0.2分，其他等级获0.1分，省级获0.2分，国家级及以上获0.3分，需提供证明材料，此项上限0.5分。）</w:t>
      </w:r>
    </w:p>
    <w:p>
      <w:pPr>
        <w:widowControl/>
        <w:jc w:val="left"/>
        <w:rPr>
          <w:rFonts w:ascii="仿宋_GB2312" w:hAnsi="Times New Roman" w:eastAsia="仿宋_GB2312"/>
          <w:sz w:val="32"/>
          <w:szCs w:val="32"/>
        </w:rPr>
      </w:pPr>
    </w:p>
    <w:p>
      <w:pPr>
        <w:spacing w:line="500" w:lineRule="exact"/>
        <w:jc w:val="left"/>
        <w:rPr>
          <w:rFonts w:ascii="仿宋_GB2312" w:hAnsi="Times New Roman" w:eastAsia="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I5ZTI5ZWZmZGRjMTBlNzI0MWFjMTA2NGQ0ZTk1YjgifQ=="/>
  </w:docVars>
  <w:rsids>
    <w:rsidRoot w:val="007A043E"/>
    <w:rsid w:val="000074A5"/>
    <w:rsid w:val="00007A32"/>
    <w:rsid w:val="00011C18"/>
    <w:rsid w:val="00017632"/>
    <w:rsid w:val="00020460"/>
    <w:rsid w:val="00030E28"/>
    <w:rsid w:val="00041687"/>
    <w:rsid w:val="00052CFF"/>
    <w:rsid w:val="000562AB"/>
    <w:rsid w:val="000569A5"/>
    <w:rsid w:val="00061F33"/>
    <w:rsid w:val="0006318F"/>
    <w:rsid w:val="00063715"/>
    <w:rsid w:val="000656D6"/>
    <w:rsid w:val="00070218"/>
    <w:rsid w:val="00082A7D"/>
    <w:rsid w:val="000915BE"/>
    <w:rsid w:val="00096DE7"/>
    <w:rsid w:val="00097A09"/>
    <w:rsid w:val="000A218C"/>
    <w:rsid w:val="000A21F5"/>
    <w:rsid w:val="000A4365"/>
    <w:rsid w:val="000B096C"/>
    <w:rsid w:val="000B0D7C"/>
    <w:rsid w:val="000B3A4F"/>
    <w:rsid w:val="000C1296"/>
    <w:rsid w:val="000E52B4"/>
    <w:rsid w:val="000E7F32"/>
    <w:rsid w:val="000F1250"/>
    <w:rsid w:val="000F3D5F"/>
    <w:rsid w:val="000F5959"/>
    <w:rsid w:val="00100AA1"/>
    <w:rsid w:val="00103121"/>
    <w:rsid w:val="001108B6"/>
    <w:rsid w:val="0011677E"/>
    <w:rsid w:val="00123EF9"/>
    <w:rsid w:val="00124C0F"/>
    <w:rsid w:val="00127AEF"/>
    <w:rsid w:val="00135447"/>
    <w:rsid w:val="00136F2A"/>
    <w:rsid w:val="00141C19"/>
    <w:rsid w:val="001467C6"/>
    <w:rsid w:val="001531E6"/>
    <w:rsid w:val="00153E14"/>
    <w:rsid w:val="00156596"/>
    <w:rsid w:val="00160730"/>
    <w:rsid w:val="00160B26"/>
    <w:rsid w:val="0016361D"/>
    <w:rsid w:val="001641FD"/>
    <w:rsid w:val="00166DE9"/>
    <w:rsid w:val="001723FD"/>
    <w:rsid w:val="00181BA1"/>
    <w:rsid w:val="00191F5D"/>
    <w:rsid w:val="001A0560"/>
    <w:rsid w:val="001A15E6"/>
    <w:rsid w:val="001A47DD"/>
    <w:rsid w:val="001A4BAB"/>
    <w:rsid w:val="001A7E62"/>
    <w:rsid w:val="001B2DCF"/>
    <w:rsid w:val="001C0634"/>
    <w:rsid w:val="001D048D"/>
    <w:rsid w:val="001D40DC"/>
    <w:rsid w:val="001D499D"/>
    <w:rsid w:val="001D5A22"/>
    <w:rsid w:val="001D6608"/>
    <w:rsid w:val="001D6AD1"/>
    <w:rsid w:val="001E02E6"/>
    <w:rsid w:val="001E2D50"/>
    <w:rsid w:val="001E2F04"/>
    <w:rsid w:val="001E36E1"/>
    <w:rsid w:val="001E7C77"/>
    <w:rsid w:val="00216BA5"/>
    <w:rsid w:val="00224C1E"/>
    <w:rsid w:val="00232780"/>
    <w:rsid w:val="00240C89"/>
    <w:rsid w:val="00244FA8"/>
    <w:rsid w:val="0025327A"/>
    <w:rsid w:val="002623D8"/>
    <w:rsid w:val="0026517A"/>
    <w:rsid w:val="0026526B"/>
    <w:rsid w:val="00267FF3"/>
    <w:rsid w:val="00270C9D"/>
    <w:rsid w:val="0027203B"/>
    <w:rsid w:val="002765C1"/>
    <w:rsid w:val="0028331A"/>
    <w:rsid w:val="002837C2"/>
    <w:rsid w:val="00285549"/>
    <w:rsid w:val="00294137"/>
    <w:rsid w:val="00294D41"/>
    <w:rsid w:val="002A1084"/>
    <w:rsid w:val="002B1689"/>
    <w:rsid w:val="002B23DC"/>
    <w:rsid w:val="002C584F"/>
    <w:rsid w:val="002C5D83"/>
    <w:rsid w:val="002D29EA"/>
    <w:rsid w:val="002D36BD"/>
    <w:rsid w:val="002E0946"/>
    <w:rsid w:val="002E0AD1"/>
    <w:rsid w:val="002E2CFE"/>
    <w:rsid w:val="002E4CB1"/>
    <w:rsid w:val="002F449F"/>
    <w:rsid w:val="00312158"/>
    <w:rsid w:val="00317196"/>
    <w:rsid w:val="00337A83"/>
    <w:rsid w:val="00343B2E"/>
    <w:rsid w:val="003479D9"/>
    <w:rsid w:val="00351D3F"/>
    <w:rsid w:val="00352075"/>
    <w:rsid w:val="00353EA8"/>
    <w:rsid w:val="00355891"/>
    <w:rsid w:val="003918D0"/>
    <w:rsid w:val="003927B7"/>
    <w:rsid w:val="0039525A"/>
    <w:rsid w:val="003A1516"/>
    <w:rsid w:val="003B2DCD"/>
    <w:rsid w:val="003C0166"/>
    <w:rsid w:val="003C14FB"/>
    <w:rsid w:val="003D45B2"/>
    <w:rsid w:val="003D7570"/>
    <w:rsid w:val="003E30F3"/>
    <w:rsid w:val="003E5514"/>
    <w:rsid w:val="003F3282"/>
    <w:rsid w:val="003F3BBD"/>
    <w:rsid w:val="003F4923"/>
    <w:rsid w:val="00402574"/>
    <w:rsid w:val="004062CC"/>
    <w:rsid w:val="004164AD"/>
    <w:rsid w:val="0042576F"/>
    <w:rsid w:val="004344D4"/>
    <w:rsid w:val="004435D8"/>
    <w:rsid w:val="00445F80"/>
    <w:rsid w:val="00452799"/>
    <w:rsid w:val="0045481A"/>
    <w:rsid w:val="004579CB"/>
    <w:rsid w:val="00457E7E"/>
    <w:rsid w:val="004610DD"/>
    <w:rsid w:val="00461802"/>
    <w:rsid w:val="004670E0"/>
    <w:rsid w:val="00471366"/>
    <w:rsid w:val="004A522F"/>
    <w:rsid w:val="004B0BDE"/>
    <w:rsid w:val="004B378D"/>
    <w:rsid w:val="004B3C89"/>
    <w:rsid w:val="004D3B22"/>
    <w:rsid w:val="004D6DE5"/>
    <w:rsid w:val="004E26F6"/>
    <w:rsid w:val="004E3C60"/>
    <w:rsid w:val="004E769A"/>
    <w:rsid w:val="004F127C"/>
    <w:rsid w:val="004F23ED"/>
    <w:rsid w:val="004F4A58"/>
    <w:rsid w:val="00504D49"/>
    <w:rsid w:val="00526D03"/>
    <w:rsid w:val="005310FC"/>
    <w:rsid w:val="005319C1"/>
    <w:rsid w:val="00540D64"/>
    <w:rsid w:val="005412AC"/>
    <w:rsid w:val="00545F95"/>
    <w:rsid w:val="00546EED"/>
    <w:rsid w:val="00547AFA"/>
    <w:rsid w:val="005509A8"/>
    <w:rsid w:val="0055474A"/>
    <w:rsid w:val="00560C2E"/>
    <w:rsid w:val="00565A11"/>
    <w:rsid w:val="00585073"/>
    <w:rsid w:val="005A650F"/>
    <w:rsid w:val="005A72AC"/>
    <w:rsid w:val="005A75DF"/>
    <w:rsid w:val="005A7DFD"/>
    <w:rsid w:val="005B7521"/>
    <w:rsid w:val="005C2AA8"/>
    <w:rsid w:val="005C6A2A"/>
    <w:rsid w:val="005D42DC"/>
    <w:rsid w:val="005E56B4"/>
    <w:rsid w:val="005E6E98"/>
    <w:rsid w:val="005F4170"/>
    <w:rsid w:val="00610145"/>
    <w:rsid w:val="0061231A"/>
    <w:rsid w:val="00620D24"/>
    <w:rsid w:val="00627659"/>
    <w:rsid w:val="006325B1"/>
    <w:rsid w:val="006336E0"/>
    <w:rsid w:val="006358B3"/>
    <w:rsid w:val="00647EB9"/>
    <w:rsid w:val="006535B4"/>
    <w:rsid w:val="0067288F"/>
    <w:rsid w:val="00676419"/>
    <w:rsid w:val="00690A5D"/>
    <w:rsid w:val="0069246D"/>
    <w:rsid w:val="00693BA3"/>
    <w:rsid w:val="00694A1D"/>
    <w:rsid w:val="00694F2A"/>
    <w:rsid w:val="006A6ADE"/>
    <w:rsid w:val="006B1D4A"/>
    <w:rsid w:val="006B76A9"/>
    <w:rsid w:val="006C1514"/>
    <w:rsid w:val="006C347D"/>
    <w:rsid w:val="006D188C"/>
    <w:rsid w:val="006D52A4"/>
    <w:rsid w:val="006D54CD"/>
    <w:rsid w:val="006E0ABD"/>
    <w:rsid w:val="006E6F05"/>
    <w:rsid w:val="006E7F99"/>
    <w:rsid w:val="006F06BF"/>
    <w:rsid w:val="00705FEB"/>
    <w:rsid w:val="00707002"/>
    <w:rsid w:val="00711FDD"/>
    <w:rsid w:val="00716EF6"/>
    <w:rsid w:val="00723AF1"/>
    <w:rsid w:val="0072559F"/>
    <w:rsid w:val="00731CD6"/>
    <w:rsid w:val="00733529"/>
    <w:rsid w:val="007425ED"/>
    <w:rsid w:val="0074381D"/>
    <w:rsid w:val="007459E9"/>
    <w:rsid w:val="00761947"/>
    <w:rsid w:val="007806E5"/>
    <w:rsid w:val="007865F4"/>
    <w:rsid w:val="00786829"/>
    <w:rsid w:val="00787333"/>
    <w:rsid w:val="00793C4C"/>
    <w:rsid w:val="00794107"/>
    <w:rsid w:val="007A043E"/>
    <w:rsid w:val="007A1FE6"/>
    <w:rsid w:val="007B0D24"/>
    <w:rsid w:val="007B725E"/>
    <w:rsid w:val="007D2D4C"/>
    <w:rsid w:val="007D48B0"/>
    <w:rsid w:val="007F2B2D"/>
    <w:rsid w:val="007F709B"/>
    <w:rsid w:val="008005C9"/>
    <w:rsid w:val="00803078"/>
    <w:rsid w:val="0080319B"/>
    <w:rsid w:val="00804452"/>
    <w:rsid w:val="00807E15"/>
    <w:rsid w:val="00814B57"/>
    <w:rsid w:val="00816110"/>
    <w:rsid w:val="0082140A"/>
    <w:rsid w:val="00825E67"/>
    <w:rsid w:val="008344E3"/>
    <w:rsid w:val="00835C96"/>
    <w:rsid w:val="0083652A"/>
    <w:rsid w:val="00837006"/>
    <w:rsid w:val="0084737A"/>
    <w:rsid w:val="00850B3F"/>
    <w:rsid w:val="00857D23"/>
    <w:rsid w:val="0086389F"/>
    <w:rsid w:val="00873448"/>
    <w:rsid w:val="00874CD4"/>
    <w:rsid w:val="00881BDB"/>
    <w:rsid w:val="0088417C"/>
    <w:rsid w:val="0089408A"/>
    <w:rsid w:val="008A0FB4"/>
    <w:rsid w:val="008A18BB"/>
    <w:rsid w:val="008A4172"/>
    <w:rsid w:val="008A69CF"/>
    <w:rsid w:val="008B2E8C"/>
    <w:rsid w:val="008B5B0A"/>
    <w:rsid w:val="008C4E20"/>
    <w:rsid w:val="008E38D2"/>
    <w:rsid w:val="008E5111"/>
    <w:rsid w:val="008F4E6A"/>
    <w:rsid w:val="009009B1"/>
    <w:rsid w:val="0091104F"/>
    <w:rsid w:val="00921B69"/>
    <w:rsid w:val="00930637"/>
    <w:rsid w:val="009329CC"/>
    <w:rsid w:val="00934367"/>
    <w:rsid w:val="00934ACB"/>
    <w:rsid w:val="00946409"/>
    <w:rsid w:val="00947CC9"/>
    <w:rsid w:val="00953C87"/>
    <w:rsid w:val="00954D32"/>
    <w:rsid w:val="0097341F"/>
    <w:rsid w:val="0097357B"/>
    <w:rsid w:val="00976DDD"/>
    <w:rsid w:val="00982B59"/>
    <w:rsid w:val="00990C1D"/>
    <w:rsid w:val="009A0C19"/>
    <w:rsid w:val="009A48CC"/>
    <w:rsid w:val="009B04E9"/>
    <w:rsid w:val="009B29DC"/>
    <w:rsid w:val="009B35A1"/>
    <w:rsid w:val="009C3C1F"/>
    <w:rsid w:val="009C6519"/>
    <w:rsid w:val="009C75C0"/>
    <w:rsid w:val="009D460C"/>
    <w:rsid w:val="009D60C9"/>
    <w:rsid w:val="009E314A"/>
    <w:rsid w:val="009E70C6"/>
    <w:rsid w:val="009F007D"/>
    <w:rsid w:val="009F1251"/>
    <w:rsid w:val="009F5B19"/>
    <w:rsid w:val="009F7D4C"/>
    <w:rsid w:val="00A063BE"/>
    <w:rsid w:val="00A071BA"/>
    <w:rsid w:val="00A253B5"/>
    <w:rsid w:val="00A3249B"/>
    <w:rsid w:val="00A40420"/>
    <w:rsid w:val="00A42856"/>
    <w:rsid w:val="00A467BB"/>
    <w:rsid w:val="00A549F1"/>
    <w:rsid w:val="00A6064E"/>
    <w:rsid w:val="00A67E12"/>
    <w:rsid w:val="00A7043E"/>
    <w:rsid w:val="00A70F9C"/>
    <w:rsid w:val="00A73372"/>
    <w:rsid w:val="00A7704A"/>
    <w:rsid w:val="00A825AD"/>
    <w:rsid w:val="00A900C5"/>
    <w:rsid w:val="00A9030F"/>
    <w:rsid w:val="00A90962"/>
    <w:rsid w:val="00A944E4"/>
    <w:rsid w:val="00A968C3"/>
    <w:rsid w:val="00AA0386"/>
    <w:rsid w:val="00AB47BF"/>
    <w:rsid w:val="00AB4DFF"/>
    <w:rsid w:val="00AB689D"/>
    <w:rsid w:val="00AD2F42"/>
    <w:rsid w:val="00AD34AB"/>
    <w:rsid w:val="00AF0D82"/>
    <w:rsid w:val="00AF5D7C"/>
    <w:rsid w:val="00B0073C"/>
    <w:rsid w:val="00B17320"/>
    <w:rsid w:val="00B17B9F"/>
    <w:rsid w:val="00B22E9C"/>
    <w:rsid w:val="00B24946"/>
    <w:rsid w:val="00B27F50"/>
    <w:rsid w:val="00B340A6"/>
    <w:rsid w:val="00B34F67"/>
    <w:rsid w:val="00B36468"/>
    <w:rsid w:val="00B3693D"/>
    <w:rsid w:val="00B4222C"/>
    <w:rsid w:val="00B5704C"/>
    <w:rsid w:val="00B66062"/>
    <w:rsid w:val="00B723F8"/>
    <w:rsid w:val="00B72A1A"/>
    <w:rsid w:val="00B856CE"/>
    <w:rsid w:val="00B85EE3"/>
    <w:rsid w:val="00B96B84"/>
    <w:rsid w:val="00BA073A"/>
    <w:rsid w:val="00BA3B2E"/>
    <w:rsid w:val="00BA6F6E"/>
    <w:rsid w:val="00BB565B"/>
    <w:rsid w:val="00BC194B"/>
    <w:rsid w:val="00BD31D2"/>
    <w:rsid w:val="00BE27B5"/>
    <w:rsid w:val="00BE348B"/>
    <w:rsid w:val="00BE6AD7"/>
    <w:rsid w:val="00BF60ED"/>
    <w:rsid w:val="00C0122C"/>
    <w:rsid w:val="00C02CD7"/>
    <w:rsid w:val="00C056B9"/>
    <w:rsid w:val="00C22DC9"/>
    <w:rsid w:val="00C233AD"/>
    <w:rsid w:val="00C2465A"/>
    <w:rsid w:val="00C2561F"/>
    <w:rsid w:val="00C271B8"/>
    <w:rsid w:val="00C34B5C"/>
    <w:rsid w:val="00C40B33"/>
    <w:rsid w:val="00C429BE"/>
    <w:rsid w:val="00C44156"/>
    <w:rsid w:val="00C45AA9"/>
    <w:rsid w:val="00C470E3"/>
    <w:rsid w:val="00C5123C"/>
    <w:rsid w:val="00C52ED3"/>
    <w:rsid w:val="00C53FD6"/>
    <w:rsid w:val="00C553B6"/>
    <w:rsid w:val="00C561F8"/>
    <w:rsid w:val="00C567F2"/>
    <w:rsid w:val="00C645E6"/>
    <w:rsid w:val="00C6536A"/>
    <w:rsid w:val="00C67A93"/>
    <w:rsid w:val="00C721DA"/>
    <w:rsid w:val="00C733EE"/>
    <w:rsid w:val="00C8183B"/>
    <w:rsid w:val="00C83A1C"/>
    <w:rsid w:val="00C851C0"/>
    <w:rsid w:val="00CA0CD0"/>
    <w:rsid w:val="00CA1244"/>
    <w:rsid w:val="00CB39C2"/>
    <w:rsid w:val="00CB3E48"/>
    <w:rsid w:val="00CB4DE2"/>
    <w:rsid w:val="00CC0634"/>
    <w:rsid w:val="00CC2350"/>
    <w:rsid w:val="00CC2831"/>
    <w:rsid w:val="00CC2BF1"/>
    <w:rsid w:val="00CD4A08"/>
    <w:rsid w:val="00CD7D54"/>
    <w:rsid w:val="00CE312A"/>
    <w:rsid w:val="00CE5D65"/>
    <w:rsid w:val="00D01B3F"/>
    <w:rsid w:val="00D02E89"/>
    <w:rsid w:val="00D33F2A"/>
    <w:rsid w:val="00D36094"/>
    <w:rsid w:val="00D37853"/>
    <w:rsid w:val="00D37D3B"/>
    <w:rsid w:val="00D406D9"/>
    <w:rsid w:val="00D4097A"/>
    <w:rsid w:val="00D43F88"/>
    <w:rsid w:val="00D456CF"/>
    <w:rsid w:val="00D50434"/>
    <w:rsid w:val="00D513CF"/>
    <w:rsid w:val="00D516E5"/>
    <w:rsid w:val="00D64AA0"/>
    <w:rsid w:val="00D66A05"/>
    <w:rsid w:val="00D70639"/>
    <w:rsid w:val="00D72E49"/>
    <w:rsid w:val="00D739F2"/>
    <w:rsid w:val="00D74286"/>
    <w:rsid w:val="00D77838"/>
    <w:rsid w:val="00D9262F"/>
    <w:rsid w:val="00DA5515"/>
    <w:rsid w:val="00DB103A"/>
    <w:rsid w:val="00DB4397"/>
    <w:rsid w:val="00DC4B2E"/>
    <w:rsid w:val="00DC545A"/>
    <w:rsid w:val="00DC7931"/>
    <w:rsid w:val="00DD1949"/>
    <w:rsid w:val="00DD2578"/>
    <w:rsid w:val="00DD581E"/>
    <w:rsid w:val="00DF1F27"/>
    <w:rsid w:val="00E113E5"/>
    <w:rsid w:val="00E1162C"/>
    <w:rsid w:val="00E12905"/>
    <w:rsid w:val="00E31E7D"/>
    <w:rsid w:val="00E36EB8"/>
    <w:rsid w:val="00E469EA"/>
    <w:rsid w:val="00E50576"/>
    <w:rsid w:val="00E51D41"/>
    <w:rsid w:val="00E61172"/>
    <w:rsid w:val="00E65DCF"/>
    <w:rsid w:val="00E729CE"/>
    <w:rsid w:val="00E77617"/>
    <w:rsid w:val="00E818AD"/>
    <w:rsid w:val="00EA6722"/>
    <w:rsid w:val="00EE506B"/>
    <w:rsid w:val="00EE69D9"/>
    <w:rsid w:val="00EE7046"/>
    <w:rsid w:val="00EE7B39"/>
    <w:rsid w:val="00EF1661"/>
    <w:rsid w:val="00F179C1"/>
    <w:rsid w:val="00F26D4A"/>
    <w:rsid w:val="00F32556"/>
    <w:rsid w:val="00F36696"/>
    <w:rsid w:val="00F36B72"/>
    <w:rsid w:val="00F37DA4"/>
    <w:rsid w:val="00F42625"/>
    <w:rsid w:val="00F44160"/>
    <w:rsid w:val="00F47035"/>
    <w:rsid w:val="00F50EA4"/>
    <w:rsid w:val="00F53E22"/>
    <w:rsid w:val="00F5482D"/>
    <w:rsid w:val="00F5739C"/>
    <w:rsid w:val="00F66106"/>
    <w:rsid w:val="00F7300A"/>
    <w:rsid w:val="00F73047"/>
    <w:rsid w:val="00F83815"/>
    <w:rsid w:val="00F856E0"/>
    <w:rsid w:val="00F87F8D"/>
    <w:rsid w:val="00FA05A2"/>
    <w:rsid w:val="00FA53CA"/>
    <w:rsid w:val="00FB516F"/>
    <w:rsid w:val="00FB523B"/>
    <w:rsid w:val="00FB5FF2"/>
    <w:rsid w:val="00FC11C4"/>
    <w:rsid w:val="00FC2097"/>
    <w:rsid w:val="00FC2422"/>
    <w:rsid w:val="00FC2810"/>
    <w:rsid w:val="00FC476E"/>
    <w:rsid w:val="00FC51BC"/>
    <w:rsid w:val="00FC7D58"/>
    <w:rsid w:val="00FE20C6"/>
    <w:rsid w:val="00FF7070"/>
    <w:rsid w:val="20340A84"/>
    <w:rsid w:val="2612679B"/>
    <w:rsid w:val="31F0619D"/>
    <w:rsid w:val="380027F1"/>
    <w:rsid w:val="56AE0C32"/>
    <w:rsid w:val="77FF5E33"/>
    <w:rsid w:val="7FFC74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9"/>
    <w:semiHidden/>
    <w:unhideWhenUsed/>
    <w:qFormat/>
    <w:uiPriority w:val="99"/>
    <w:pPr>
      <w:jc w:val="left"/>
    </w:pPr>
  </w:style>
  <w:style w:type="paragraph" w:styleId="3">
    <w:name w:val="Balloon Text"/>
    <w:basedOn w:val="1"/>
    <w:link w:val="17"/>
    <w:semiHidden/>
    <w:unhideWhenUsed/>
    <w:qFormat/>
    <w:uiPriority w:val="99"/>
    <w:rPr>
      <w:sz w:val="18"/>
      <w:szCs w:val="18"/>
    </w:rPr>
  </w:style>
  <w:style w:type="paragraph" w:styleId="4">
    <w:name w:val="footer"/>
    <w:basedOn w:val="1"/>
    <w:link w:val="14"/>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100" w:after="100"/>
      <w:jc w:val="left"/>
    </w:pPr>
    <w:rPr>
      <w:rFonts w:ascii="宋体" w:hAnsi="宋体"/>
      <w:color w:val="000000"/>
      <w:kern w:val="0"/>
      <w:sz w:val="24"/>
      <w:szCs w:val="20"/>
    </w:rPr>
  </w:style>
  <w:style w:type="paragraph" w:styleId="7">
    <w:name w:val="Title"/>
    <w:basedOn w:val="1"/>
    <w:next w:val="1"/>
    <w:link w:val="15"/>
    <w:qFormat/>
    <w:uiPriority w:val="0"/>
    <w:pPr>
      <w:spacing w:before="240" w:after="60"/>
      <w:jc w:val="center"/>
      <w:outlineLvl w:val="0"/>
    </w:pPr>
    <w:rPr>
      <w:rFonts w:ascii="Cambria" w:hAnsi="Cambria"/>
      <w:b/>
      <w:bCs/>
      <w:sz w:val="32"/>
      <w:szCs w:val="32"/>
    </w:rPr>
  </w:style>
  <w:style w:type="paragraph" w:styleId="8">
    <w:name w:val="annotation subject"/>
    <w:basedOn w:val="2"/>
    <w:next w:val="2"/>
    <w:link w:val="20"/>
    <w:semiHidden/>
    <w:unhideWhenUsed/>
    <w:qFormat/>
    <w:uiPriority w:val="99"/>
    <w:rPr>
      <w:b/>
      <w:bCs/>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annotation reference"/>
    <w:basedOn w:val="11"/>
    <w:semiHidden/>
    <w:unhideWhenUsed/>
    <w:qFormat/>
    <w:uiPriority w:val="99"/>
    <w:rPr>
      <w:sz w:val="21"/>
      <w:szCs w:val="21"/>
    </w:rPr>
  </w:style>
  <w:style w:type="character" w:customStyle="1" w:styleId="13">
    <w:name w:val="页眉 字符"/>
    <w:basedOn w:val="11"/>
    <w:link w:val="5"/>
    <w:qFormat/>
    <w:uiPriority w:val="99"/>
    <w:rPr>
      <w:kern w:val="2"/>
      <w:sz w:val="18"/>
      <w:szCs w:val="18"/>
    </w:rPr>
  </w:style>
  <w:style w:type="character" w:customStyle="1" w:styleId="14">
    <w:name w:val="页脚 字符"/>
    <w:basedOn w:val="11"/>
    <w:link w:val="4"/>
    <w:qFormat/>
    <w:uiPriority w:val="99"/>
    <w:rPr>
      <w:kern w:val="2"/>
      <w:sz w:val="18"/>
      <w:szCs w:val="18"/>
    </w:rPr>
  </w:style>
  <w:style w:type="character" w:customStyle="1" w:styleId="15">
    <w:name w:val="标题 字符"/>
    <w:link w:val="7"/>
    <w:qFormat/>
    <w:uiPriority w:val="0"/>
    <w:rPr>
      <w:rFonts w:ascii="Cambria" w:hAnsi="Cambria"/>
      <w:b/>
      <w:bCs/>
      <w:kern w:val="2"/>
      <w:sz w:val="32"/>
      <w:szCs w:val="32"/>
    </w:rPr>
  </w:style>
  <w:style w:type="character" w:customStyle="1" w:styleId="16">
    <w:name w:val="标题 Char1"/>
    <w:basedOn w:val="11"/>
    <w:qFormat/>
    <w:uiPriority w:val="10"/>
    <w:rPr>
      <w:rFonts w:asciiTheme="majorHAnsi" w:hAnsiTheme="majorHAnsi" w:cstheme="majorBidi"/>
      <w:b/>
      <w:bCs/>
      <w:kern w:val="2"/>
      <w:sz w:val="32"/>
      <w:szCs w:val="32"/>
    </w:rPr>
  </w:style>
  <w:style w:type="character" w:customStyle="1" w:styleId="17">
    <w:name w:val="批注框文本 字符"/>
    <w:basedOn w:val="11"/>
    <w:link w:val="3"/>
    <w:semiHidden/>
    <w:qFormat/>
    <w:uiPriority w:val="99"/>
    <w:rPr>
      <w:kern w:val="2"/>
      <w:sz w:val="18"/>
      <w:szCs w:val="18"/>
    </w:rPr>
  </w:style>
  <w:style w:type="paragraph" w:styleId="18">
    <w:name w:val="List Paragraph"/>
    <w:basedOn w:val="1"/>
    <w:qFormat/>
    <w:uiPriority w:val="34"/>
    <w:pPr>
      <w:ind w:firstLine="420" w:firstLineChars="200"/>
    </w:pPr>
    <w:rPr>
      <w:rFonts w:ascii="Times New Roman" w:hAnsi="Times New Roman"/>
      <w:szCs w:val="24"/>
    </w:rPr>
  </w:style>
  <w:style w:type="character" w:customStyle="1" w:styleId="19">
    <w:name w:val="批注文字 字符"/>
    <w:basedOn w:val="11"/>
    <w:link w:val="2"/>
    <w:semiHidden/>
    <w:qFormat/>
    <w:uiPriority w:val="99"/>
    <w:rPr>
      <w:kern w:val="2"/>
      <w:sz w:val="21"/>
      <w:szCs w:val="22"/>
    </w:rPr>
  </w:style>
  <w:style w:type="character" w:customStyle="1" w:styleId="20">
    <w:name w:val="批注主题 字符"/>
    <w:basedOn w:val="19"/>
    <w:link w:val="8"/>
    <w:semiHidden/>
    <w:qFormat/>
    <w:uiPriority w:val="99"/>
    <w:rPr>
      <w:b/>
      <w:bCs/>
      <w:kern w:val="2"/>
      <w:sz w:val="21"/>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E:\Dropbox\&#27169;&#26495;\&#25253;&#21578;&#27169;&#26495;.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8B3FA2-FBF9-4AAF-B480-39C205631BD3}">
  <ds:schemaRefs/>
</ds:datastoreItem>
</file>

<file path=docProps/app.xml><?xml version="1.0" encoding="utf-8"?>
<Properties xmlns="http://schemas.openxmlformats.org/officeDocument/2006/extended-properties" xmlns:vt="http://schemas.openxmlformats.org/officeDocument/2006/docPropsVTypes">
  <Template>报告模板</Template>
  <Company>KID</Company>
  <Pages>3</Pages>
  <Words>929</Words>
  <Characters>1033</Characters>
  <Lines>8</Lines>
  <Paragraphs>2</Paragraphs>
  <TotalTime>2</TotalTime>
  <ScaleCrop>false</ScaleCrop>
  <LinksUpToDate>false</LinksUpToDate>
  <CharactersWithSpaces>1038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2023-05-31T09:39:00Z</dcterms:created>
  <dc:creator>JOKO</dc:creator>
  <cp:lastModifiedBy>蔷薇</cp:lastModifiedBy>
  <cp:lastPrinted>2019-10-22T04:18:00Z</cp:lastPrinted>
  <dcterms:modified xsi:type="dcterms:W3CDTF">2023-05-31T09:52:46Z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1BF250312D764AB08478B47479C6B28F_13</vt:lpwstr>
  </property>
</Properties>
</file>