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spacing w:val="0"/>
          <w:w w:val="100"/>
          <w:sz w:val="28"/>
          <w:szCs w:val="28"/>
          <w:highlight w:val="none"/>
          <w:u w:val="none"/>
          <w:lang w:val="en-US" w:eastAsia="zh-CN"/>
        </w:rPr>
      </w:pPr>
      <w:r>
        <w:rPr>
          <w:rFonts w:hint="eastAsia" w:ascii="宋体" w:hAnsi="宋体" w:eastAsia="宋体" w:cs="宋体"/>
          <w:spacing w:val="0"/>
          <w:w w:val="100"/>
          <w:sz w:val="28"/>
          <w:szCs w:val="28"/>
          <w:highlight w:val="none"/>
          <w:u w:val="none"/>
        </w:rPr>
        <w:t>南京师范大学</w:t>
      </w:r>
      <w:r>
        <w:rPr>
          <w:rFonts w:hint="eastAsia" w:ascii="宋体" w:hAnsi="宋体" w:eastAsia="宋体" w:cs="宋体"/>
          <w:spacing w:val="0"/>
          <w:w w:val="100"/>
          <w:sz w:val="28"/>
          <w:szCs w:val="28"/>
          <w:highlight w:val="none"/>
          <w:u w:val="none"/>
          <w:lang w:val="en-US" w:eastAsia="zh-CN"/>
        </w:rPr>
        <w:t>公共管理学院</w:t>
      </w:r>
    </w:p>
    <w:p>
      <w:pPr>
        <w:pStyle w:val="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spacing w:val="0"/>
          <w:w w:val="100"/>
          <w:sz w:val="28"/>
          <w:szCs w:val="28"/>
          <w:highlight w:val="none"/>
          <w:u w:val="none"/>
          <w:lang w:val="en-US" w:eastAsia="zh-CN"/>
        </w:rPr>
      </w:pPr>
      <w:r>
        <w:rPr>
          <w:rFonts w:hint="eastAsia" w:ascii="宋体" w:hAnsi="宋体" w:eastAsia="宋体" w:cs="宋体"/>
          <w:spacing w:val="0"/>
          <w:w w:val="100"/>
          <w:sz w:val="28"/>
          <w:szCs w:val="28"/>
          <w:highlight w:val="none"/>
          <w:u w:val="none"/>
        </w:rPr>
        <w:t>推荐优秀本科毕业生免试攻读研究生工作</w:t>
      </w:r>
      <w:r>
        <w:rPr>
          <w:rFonts w:hint="eastAsia" w:ascii="宋体" w:hAnsi="宋体" w:eastAsia="宋体" w:cs="宋体"/>
          <w:spacing w:val="0"/>
          <w:w w:val="100"/>
          <w:sz w:val="28"/>
          <w:szCs w:val="28"/>
          <w:highlight w:val="none"/>
          <w:u w:val="none"/>
          <w:lang w:val="en-US" w:eastAsia="zh-CN"/>
        </w:rPr>
        <w:t>实施办法</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bookmarkStart w:id="0" w:name="Content"/>
      <w:bookmarkEnd w:id="0"/>
      <w:r>
        <w:rPr>
          <w:rFonts w:hint="eastAsia" w:ascii="宋体" w:hAnsi="宋体" w:eastAsia="宋体" w:cs="宋体"/>
          <w:spacing w:val="0"/>
          <w:w w:val="100"/>
          <w:sz w:val="24"/>
          <w:szCs w:val="24"/>
          <w:highlight w:val="none"/>
          <w:u w:val="none"/>
        </w:rPr>
        <w:t>根据教育部《关于进一步规范和加强推荐优秀应届本科毕业生免试攻读研究生工作的通知》（教学厅</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rPr>
        <w:t>2020</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rPr>
        <w:t>12号）</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rPr>
        <w:t>江苏省推荐优秀应届本科毕业生免试攻读研究生的相关文件</w:t>
      </w:r>
      <w:r>
        <w:rPr>
          <w:rFonts w:hint="eastAsia" w:ascii="宋体" w:hAnsi="宋体" w:eastAsia="宋体" w:cs="宋体"/>
          <w:spacing w:val="0"/>
          <w:w w:val="100"/>
          <w:sz w:val="24"/>
          <w:szCs w:val="24"/>
          <w:highlight w:val="none"/>
          <w:u w:val="none"/>
          <w:lang w:eastAsia="zh-CN"/>
        </w:rPr>
        <w:t>及</w:t>
      </w:r>
      <w:r>
        <w:rPr>
          <w:rFonts w:hint="eastAsia" w:ascii="宋体" w:hAnsi="宋体" w:eastAsia="宋体" w:cs="宋体"/>
          <w:spacing w:val="0"/>
          <w:w w:val="100"/>
          <w:sz w:val="24"/>
          <w:szCs w:val="24"/>
          <w:highlight w:val="none"/>
          <w:u w:val="none"/>
          <w:lang w:val="en-US" w:eastAsia="zh-CN"/>
        </w:rPr>
        <w:t>《南京师范大学推荐优秀本科毕业生免试攻读研究生工作管理办法（修订）》（宁师大【2020】35号）的</w:t>
      </w:r>
      <w:r>
        <w:rPr>
          <w:rFonts w:hint="eastAsia" w:ascii="宋体" w:hAnsi="宋体" w:eastAsia="宋体" w:cs="宋体"/>
          <w:spacing w:val="0"/>
          <w:w w:val="100"/>
          <w:sz w:val="24"/>
          <w:szCs w:val="24"/>
          <w:highlight w:val="none"/>
          <w:u w:val="none"/>
        </w:rPr>
        <w:t>精神，为促进和激励在校本科生勤奋学习、勇于创新、全面发展，本着全面考查、综合评价、择优选拔的原则</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lang w:val="en-US" w:eastAsia="zh-CN"/>
        </w:rPr>
        <w:t>结合我院实际，特</w:t>
      </w:r>
      <w:r>
        <w:rPr>
          <w:rFonts w:hint="eastAsia" w:ascii="宋体" w:hAnsi="宋体" w:eastAsia="宋体" w:cs="宋体"/>
          <w:spacing w:val="0"/>
          <w:w w:val="100"/>
          <w:sz w:val="24"/>
          <w:szCs w:val="24"/>
          <w:highlight w:val="none"/>
          <w:u w:val="none"/>
        </w:rPr>
        <w:t>制订</w:t>
      </w:r>
      <w:r>
        <w:rPr>
          <w:rFonts w:hint="eastAsia" w:ascii="宋体" w:hAnsi="宋体" w:eastAsia="宋体" w:cs="宋体"/>
          <w:spacing w:val="0"/>
          <w:w w:val="100"/>
          <w:sz w:val="24"/>
          <w:szCs w:val="24"/>
          <w:highlight w:val="none"/>
          <w:u w:val="none"/>
          <w:lang w:val="en-US" w:eastAsia="zh-CN"/>
        </w:rPr>
        <w:t>公共管理学院</w:t>
      </w:r>
      <w:r>
        <w:rPr>
          <w:rFonts w:hint="eastAsia" w:ascii="宋体" w:hAnsi="宋体" w:eastAsia="宋体" w:cs="宋体"/>
          <w:spacing w:val="0"/>
          <w:w w:val="100"/>
          <w:sz w:val="24"/>
          <w:szCs w:val="24"/>
          <w:highlight w:val="none"/>
          <w:u w:val="none"/>
        </w:rPr>
        <w:t>推荐优秀本科毕业生免试攻读研究生（以下简称推免）工作</w:t>
      </w:r>
      <w:r>
        <w:rPr>
          <w:rFonts w:hint="eastAsia" w:ascii="宋体" w:hAnsi="宋体" w:eastAsia="宋体" w:cs="宋体"/>
          <w:spacing w:val="0"/>
          <w:w w:val="100"/>
          <w:sz w:val="24"/>
          <w:szCs w:val="24"/>
          <w:highlight w:val="none"/>
          <w:u w:val="none"/>
          <w:lang w:val="en-US" w:eastAsia="zh-CN"/>
        </w:rPr>
        <w:t>实施办法</w:t>
      </w:r>
      <w:r>
        <w:rPr>
          <w:rFonts w:hint="eastAsia" w:ascii="宋体" w:hAnsi="宋体" w:eastAsia="宋体" w:cs="宋体"/>
          <w:spacing w:val="0"/>
          <w:w w:val="100"/>
          <w:sz w:val="24"/>
          <w:szCs w:val="24"/>
          <w:highlight w:val="none"/>
          <w:u w:val="none"/>
        </w:rPr>
        <w:t>。</w:t>
      </w:r>
    </w:p>
    <w:p>
      <w:pPr>
        <w:keepNext w:val="0"/>
        <w:keepLines w:val="0"/>
        <w:pageBreakBefore w:val="0"/>
        <w:kinsoku/>
        <w:wordWrap/>
        <w:overflowPunct/>
        <w:topLinePunct w:val="0"/>
        <w:autoSpaceDE w:val="0"/>
        <w:autoSpaceDN w:val="0"/>
        <w:bidi w:val="0"/>
        <w:adjustRightInd/>
        <w:snapToGrid/>
        <w:spacing w:before="0" w:after="0" w:line="460" w:lineRule="exact"/>
        <w:ind w:right="0" w:firstLine="482" w:firstLineChars="200"/>
        <w:jc w:val="both"/>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lang w:val="zh-CN"/>
        </w:rPr>
        <w:t>一、学院推免工作领导小组</w:t>
      </w:r>
    </w:p>
    <w:p>
      <w:pPr>
        <w:keepNext w:val="0"/>
        <w:keepLines w:val="0"/>
        <w:pageBreakBefore w:val="0"/>
        <w:kinsoku/>
        <w:wordWrap/>
        <w:overflowPunct/>
        <w:topLinePunct w:val="0"/>
        <w:autoSpaceDE w:val="0"/>
        <w:autoSpaceDN w:val="0"/>
        <w:bidi w:val="0"/>
        <w:adjustRightInd/>
        <w:snapToGrid/>
        <w:spacing w:before="0" w:after="0" w:line="460" w:lineRule="exact"/>
        <w:ind w:right="0" w:firstLine="480" w:firstLineChars="200"/>
        <w:jc w:val="both"/>
        <w:textAlignment w:val="auto"/>
        <w:rPr>
          <w:rFonts w:hint="eastAsia" w:ascii="宋体" w:hAnsi="宋体" w:eastAsia="宋体" w:cs="宋体"/>
          <w:spacing w:val="0"/>
          <w:w w:val="100"/>
          <w:sz w:val="24"/>
          <w:szCs w:val="24"/>
          <w:highlight w:val="none"/>
          <w:u w:val="none"/>
          <w:lang w:eastAsia="zh-CN"/>
        </w:rPr>
      </w:pPr>
      <w:r>
        <w:rPr>
          <w:rFonts w:hint="eastAsia" w:ascii="宋体" w:hAnsi="宋体" w:eastAsia="宋体" w:cs="宋体"/>
          <w:spacing w:val="0"/>
          <w:w w:val="100"/>
          <w:sz w:val="24"/>
          <w:szCs w:val="24"/>
          <w:highlight w:val="none"/>
          <w:u w:val="none"/>
          <w:lang w:val="zh-CN"/>
        </w:rPr>
        <w:t>组</w:t>
      </w:r>
      <w:r>
        <w:rPr>
          <w:rFonts w:hint="eastAsia" w:cs="宋体"/>
          <w:spacing w:val="0"/>
          <w:w w:val="100"/>
          <w:sz w:val="24"/>
          <w:szCs w:val="24"/>
          <w:highlight w:val="none"/>
          <w:u w:val="none"/>
          <w:lang w:val="en-US" w:eastAsia="zh-CN"/>
        </w:rPr>
        <w:t xml:space="preserve">  </w:t>
      </w:r>
      <w:r>
        <w:rPr>
          <w:rFonts w:hint="eastAsia" w:ascii="宋体" w:hAnsi="宋体" w:eastAsia="宋体" w:cs="宋体"/>
          <w:spacing w:val="0"/>
          <w:w w:val="100"/>
          <w:sz w:val="24"/>
          <w:szCs w:val="24"/>
          <w:highlight w:val="none"/>
          <w:u w:val="none"/>
          <w:lang w:val="zh-CN"/>
        </w:rPr>
        <w:t>长：</w:t>
      </w:r>
      <w:r>
        <w:rPr>
          <w:rFonts w:hint="eastAsia" w:ascii="宋体" w:hAnsi="宋体" w:eastAsia="宋体" w:cs="宋体"/>
          <w:spacing w:val="0"/>
          <w:w w:val="100"/>
          <w:sz w:val="24"/>
          <w:szCs w:val="24"/>
          <w:highlight w:val="none"/>
          <w:u w:val="none"/>
          <w:lang w:val="en-US" w:eastAsia="zh-CN"/>
        </w:rPr>
        <w:t>学院院长</w:t>
      </w:r>
    </w:p>
    <w:p>
      <w:pPr>
        <w:keepNext w:val="0"/>
        <w:keepLines w:val="0"/>
        <w:pageBreakBefore w:val="0"/>
        <w:kinsoku/>
        <w:wordWrap/>
        <w:overflowPunct/>
        <w:topLinePunct w:val="0"/>
        <w:autoSpaceDE w:val="0"/>
        <w:autoSpaceDN w:val="0"/>
        <w:bidi w:val="0"/>
        <w:adjustRightInd/>
        <w:snapToGrid/>
        <w:spacing w:before="0" w:after="0" w:line="460" w:lineRule="exact"/>
        <w:ind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副组长</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lang w:val="en-US" w:eastAsia="zh-CN"/>
        </w:rPr>
        <w:t>学院</w:t>
      </w:r>
      <w:r>
        <w:rPr>
          <w:rFonts w:hint="eastAsia" w:ascii="宋体" w:hAnsi="宋体" w:eastAsia="宋体" w:cs="宋体"/>
          <w:spacing w:val="0"/>
          <w:w w:val="100"/>
          <w:sz w:val="24"/>
          <w:szCs w:val="24"/>
          <w:highlight w:val="none"/>
          <w:u w:val="none"/>
        </w:rPr>
        <w:t>分管本科教学工作、分管学生工作的院领导</w:t>
      </w:r>
    </w:p>
    <w:p>
      <w:pPr>
        <w:keepNext w:val="0"/>
        <w:keepLines w:val="0"/>
        <w:pageBreakBefore w:val="0"/>
        <w:kinsoku/>
        <w:wordWrap/>
        <w:overflowPunct/>
        <w:topLinePunct w:val="0"/>
        <w:autoSpaceDE w:val="0"/>
        <w:autoSpaceDN w:val="0"/>
        <w:bidi w:val="0"/>
        <w:adjustRightInd/>
        <w:snapToGrid/>
        <w:spacing w:before="0" w:after="0" w:line="460" w:lineRule="exact"/>
        <w:ind w:right="0" w:firstLine="480" w:firstLineChars="20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zh-CN"/>
        </w:rPr>
        <w:t>成</w:t>
      </w:r>
      <w:r>
        <w:rPr>
          <w:rFonts w:hint="eastAsia" w:cs="宋体"/>
          <w:spacing w:val="0"/>
          <w:w w:val="100"/>
          <w:sz w:val="24"/>
          <w:szCs w:val="24"/>
          <w:highlight w:val="none"/>
          <w:u w:val="none"/>
          <w:lang w:val="en-US" w:eastAsia="zh-CN"/>
        </w:rPr>
        <w:t xml:space="preserve">  </w:t>
      </w:r>
      <w:r>
        <w:rPr>
          <w:rFonts w:hint="eastAsia" w:ascii="宋体" w:hAnsi="宋体" w:eastAsia="宋体" w:cs="宋体"/>
          <w:spacing w:val="0"/>
          <w:w w:val="100"/>
          <w:sz w:val="24"/>
          <w:szCs w:val="24"/>
          <w:highlight w:val="none"/>
          <w:u w:val="none"/>
          <w:lang w:val="zh-CN"/>
        </w:rPr>
        <w:t>员：</w:t>
      </w:r>
      <w:r>
        <w:rPr>
          <w:rFonts w:hint="eastAsia" w:ascii="宋体" w:hAnsi="宋体" w:eastAsia="宋体" w:cs="宋体"/>
          <w:spacing w:val="0"/>
          <w:w w:val="100"/>
          <w:sz w:val="24"/>
          <w:szCs w:val="24"/>
          <w:highlight w:val="none"/>
          <w:u w:val="none"/>
          <w:lang w:val="en-US" w:eastAsia="zh-CN"/>
        </w:rPr>
        <w:t>学院班子所有成员、各系正副主任</w:t>
      </w:r>
    </w:p>
    <w:p>
      <w:pPr>
        <w:keepNext w:val="0"/>
        <w:keepLines w:val="0"/>
        <w:pageBreakBefore w:val="0"/>
        <w:kinsoku/>
        <w:wordWrap/>
        <w:overflowPunct/>
        <w:topLinePunct w:val="0"/>
        <w:autoSpaceDE w:val="0"/>
        <w:autoSpaceDN w:val="0"/>
        <w:bidi w:val="0"/>
        <w:adjustRightInd/>
        <w:snapToGrid/>
        <w:spacing w:before="0" w:after="0" w:line="460" w:lineRule="exact"/>
        <w:ind w:right="0" w:firstLine="480" w:firstLineChars="20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zh-CN"/>
        </w:rPr>
        <w:t>秘</w:t>
      </w:r>
      <w:r>
        <w:rPr>
          <w:rFonts w:hint="eastAsia" w:cs="宋体"/>
          <w:spacing w:val="0"/>
          <w:w w:val="100"/>
          <w:sz w:val="24"/>
          <w:szCs w:val="24"/>
          <w:highlight w:val="none"/>
          <w:u w:val="none"/>
          <w:lang w:val="en-US" w:eastAsia="zh-CN"/>
        </w:rPr>
        <w:t xml:space="preserve">  </w:t>
      </w:r>
      <w:r>
        <w:rPr>
          <w:rFonts w:hint="eastAsia" w:ascii="宋体" w:hAnsi="宋体" w:eastAsia="宋体" w:cs="宋体"/>
          <w:spacing w:val="0"/>
          <w:w w:val="100"/>
          <w:sz w:val="24"/>
          <w:szCs w:val="24"/>
          <w:highlight w:val="none"/>
          <w:u w:val="none"/>
          <w:lang w:val="zh-CN"/>
        </w:rPr>
        <w:t>书：</w:t>
      </w:r>
      <w:r>
        <w:rPr>
          <w:rFonts w:hint="eastAsia" w:ascii="宋体" w:hAnsi="宋体" w:eastAsia="宋体" w:cs="宋体"/>
          <w:spacing w:val="0"/>
          <w:w w:val="100"/>
          <w:sz w:val="24"/>
          <w:szCs w:val="24"/>
          <w:highlight w:val="none"/>
          <w:u w:val="none"/>
          <w:lang w:val="en-US" w:eastAsia="zh-CN"/>
        </w:rPr>
        <w:t>教务秘书</w:t>
      </w:r>
      <w:r>
        <w:rPr>
          <w:rFonts w:hint="eastAsia" w:ascii="宋体" w:hAnsi="宋体" w:eastAsia="宋体" w:cs="宋体"/>
          <w:spacing w:val="0"/>
          <w:w w:val="100"/>
          <w:sz w:val="24"/>
          <w:szCs w:val="24"/>
          <w:highlight w:val="none"/>
          <w:u w:val="none"/>
          <w:lang w:val="zh-CN"/>
        </w:rPr>
        <w:t>、</w:t>
      </w:r>
      <w:r>
        <w:rPr>
          <w:rFonts w:hint="eastAsia" w:ascii="宋体" w:hAnsi="宋体" w:eastAsia="宋体" w:cs="宋体"/>
          <w:spacing w:val="0"/>
          <w:w w:val="100"/>
          <w:sz w:val="24"/>
          <w:szCs w:val="24"/>
          <w:highlight w:val="none"/>
          <w:u w:val="none"/>
          <w:lang w:val="en-US" w:eastAsia="zh-CN"/>
        </w:rPr>
        <w:t>辅导员</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lang w:val="en-US" w:eastAsia="zh-CN"/>
        </w:rPr>
        <w:t>二、</w:t>
      </w:r>
      <w:r>
        <w:rPr>
          <w:rFonts w:hint="eastAsia" w:ascii="宋体" w:hAnsi="宋体" w:eastAsia="宋体" w:cs="宋体"/>
          <w:spacing w:val="0"/>
          <w:w w:val="100"/>
          <w:sz w:val="24"/>
          <w:szCs w:val="24"/>
          <w:highlight w:val="none"/>
          <w:u w:val="none"/>
        </w:rPr>
        <w:t>推荐基本条件</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被推荐的学生需要满足以下基本条件：</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rPr>
        <w:t>（一）热爱社会主义祖国，拥护中国共产党的领导。品德优良，诚实守信，遵守国家法律法规和学校的各项规章制度。</w:t>
      </w:r>
      <w:r>
        <w:rPr>
          <w:rFonts w:hint="eastAsia" w:ascii="宋体" w:hAnsi="宋体" w:eastAsia="宋体" w:cs="宋体"/>
          <w:spacing w:val="0"/>
          <w:w w:val="100"/>
          <w:sz w:val="24"/>
          <w:szCs w:val="24"/>
          <w:highlight w:val="none"/>
          <w:u w:val="none"/>
          <w:lang w:val="en-US" w:eastAsia="zh-CN"/>
        </w:rPr>
        <w:t>思想品德考核不合格、考试作弊及剽窃他人学术成果等，不予推荐。</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（二）身心健康，符合教育部颁布的研究生入学体检标准。</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（三）在校期间，勤奋学习，刻苦钻研，学习成绩优秀，前三学年培养方案规定所有课程成绩均需及格（含补考及格），且所修课程平均学分成绩（课程成绩按第一次考试成绩计算）在专业排名前50%。</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rPr>
        <w:t>（四）</w:t>
      </w:r>
      <w:r>
        <w:rPr>
          <w:rFonts w:hint="eastAsia" w:ascii="宋体" w:hAnsi="宋体" w:eastAsia="宋体" w:cs="宋体"/>
          <w:spacing w:val="0"/>
          <w:w w:val="100"/>
          <w:sz w:val="24"/>
          <w:szCs w:val="24"/>
          <w:highlight w:val="none"/>
          <w:u w:val="none"/>
          <w:lang w:val="en-US" w:eastAsia="zh-CN"/>
        </w:rPr>
        <w:t>大学英语六级考试成绩达到425分（或雅思考试成绩达到6.0分、或托福考试成绩达到90分、或国际人才英语考试达到中级“良好”）；大学外语修读其他语种的学生参照英语的标准执行，并提供相应语种考试成绩证明。</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lang w:val="en-US" w:eastAsia="zh-CN"/>
        </w:rPr>
        <w:t>三</w:t>
      </w:r>
      <w:r>
        <w:rPr>
          <w:rFonts w:hint="eastAsia" w:ascii="宋体" w:hAnsi="宋体" w:eastAsia="宋体" w:cs="宋体"/>
          <w:spacing w:val="0"/>
          <w:w w:val="100"/>
          <w:sz w:val="24"/>
          <w:szCs w:val="24"/>
          <w:highlight w:val="none"/>
          <w:u w:val="none"/>
        </w:rPr>
        <w:t>、推免计分规则</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基于学生的</w:t>
      </w:r>
      <w:r>
        <w:rPr>
          <w:rFonts w:hint="eastAsia" w:ascii="宋体" w:hAnsi="宋体" w:eastAsia="宋体" w:cs="宋体"/>
          <w:spacing w:val="0"/>
          <w:w w:val="100"/>
          <w:sz w:val="24"/>
          <w:szCs w:val="24"/>
          <w:highlight w:val="none"/>
          <w:u w:val="none"/>
          <w:lang w:val="en-US" w:eastAsia="zh-CN"/>
        </w:rPr>
        <w:t>专业学习能力评价、素质能力评价</w:t>
      </w:r>
      <w:r>
        <w:rPr>
          <w:rFonts w:hint="eastAsia" w:ascii="宋体" w:hAnsi="宋体" w:eastAsia="宋体" w:cs="宋体"/>
          <w:spacing w:val="0"/>
          <w:w w:val="100"/>
          <w:sz w:val="24"/>
          <w:szCs w:val="24"/>
          <w:highlight w:val="none"/>
          <w:u w:val="none"/>
        </w:rPr>
        <w:t>、科研和实践创新能力评价计分，满分100分。</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w:t>
      </w:r>
      <w:r>
        <w:rPr>
          <w:rFonts w:hint="eastAsia" w:ascii="宋体" w:hAnsi="宋体" w:eastAsia="宋体" w:cs="宋体"/>
          <w:spacing w:val="0"/>
          <w:w w:val="100"/>
          <w:sz w:val="24"/>
          <w:szCs w:val="24"/>
          <w:highlight w:val="none"/>
          <w:u w:val="none"/>
          <w:lang w:val="en-US" w:eastAsia="zh-CN"/>
        </w:rPr>
        <w:t>一</w:t>
      </w:r>
      <w:r>
        <w:rPr>
          <w:rFonts w:hint="eastAsia" w:ascii="宋体" w:hAnsi="宋体" w:eastAsia="宋体" w:cs="宋体"/>
          <w:spacing w:val="0"/>
          <w:w w:val="100"/>
          <w:sz w:val="24"/>
          <w:szCs w:val="24"/>
          <w:highlight w:val="none"/>
          <w:u w:val="none"/>
        </w:rPr>
        <w:t>）专业学习能力评价计分（满分85分）</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专业学习评价得分由学生前三学年修读课程的平均学分成绩计算。其中专业教育课程（含学科基础课程、专业主干课程）平均学分成绩占比为80%，通识教育课程和自主发展课程平均学分成绩占比为20%。</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专业学习能力评价得分=[专业教育课程（含学科基础课程、专业主干课程）平均学分成绩×80%+（通识教育课程+自主发展课程）平均学分成绩×20%]×85%。</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平均学分成绩=Σ（所学课程的学分×相应课程的成绩）/Σ所学课程的学分。所学课程成绩按第一次考试成绩计算。</w:t>
      </w:r>
    </w:p>
    <w:p>
      <w:pPr>
        <w:keepNext w:val="0"/>
        <w:keepLines w:val="0"/>
        <w:pageBreakBefore w:val="0"/>
        <w:widowControl/>
        <w:shd w:val="clear" w:color="auto" w:fill="FFFFFF"/>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color w:val="000000"/>
          <w:spacing w:val="0"/>
          <w:w w:val="100"/>
          <w:kern w:val="0"/>
          <w:sz w:val="24"/>
          <w:szCs w:val="24"/>
          <w:highlight w:val="none"/>
          <w:u w:val="none"/>
          <w:lang w:val="en-US" w:eastAsia="zh-CN"/>
        </w:rPr>
        <w:t>【说明】</w:t>
      </w:r>
      <w:r>
        <w:rPr>
          <w:rFonts w:hint="eastAsia" w:ascii="宋体" w:hAnsi="宋体" w:eastAsia="宋体" w:cs="宋体"/>
          <w:color w:val="000000"/>
          <w:spacing w:val="0"/>
          <w:w w:val="100"/>
          <w:kern w:val="0"/>
          <w:sz w:val="24"/>
          <w:szCs w:val="24"/>
          <w:highlight w:val="none"/>
          <w:u w:val="none"/>
        </w:rPr>
        <w:t>此处</w:t>
      </w:r>
      <w:r>
        <w:rPr>
          <w:rFonts w:hint="eastAsia" w:ascii="宋体" w:hAnsi="宋体" w:eastAsia="宋体" w:cs="宋体"/>
          <w:color w:val="000000"/>
          <w:spacing w:val="0"/>
          <w:w w:val="100"/>
          <w:kern w:val="0"/>
          <w:sz w:val="24"/>
          <w:szCs w:val="24"/>
          <w:highlight w:val="none"/>
          <w:u w:val="none"/>
          <w:lang w:val="en-US" w:eastAsia="zh-CN"/>
        </w:rPr>
        <w:t>各类</w:t>
      </w:r>
      <w:r>
        <w:rPr>
          <w:rFonts w:hint="eastAsia" w:ascii="宋体" w:hAnsi="宋体" w:eastAsia="宋体" w:cs="宋体"/>
          <w:color w:val="000000"/>
          <w:spacing w:val="0"/>
          <w:w w:val="100"/>
          <w:kern w:val="0"/>
          <w:sz w:val="24"/>
          <w:szCs w:val="24"/>
          <w:highlight w:val="none"/>
          <w:u w:val="none"/>
        </w:rPr>
        <w:t>课程，是指</w:t>
      </w:r>
      <w:r>
        <w:rPr>
          <w:rFonts w:hint="eastAsia" w:ascii="宋体" w:hAnsi="宋体" w:eastAsia="宋体" w:cs="宋体"/>
          <w:spacing w:val="0"/>
          <w:w w:val="100"/>
          <w:sz w:val="24"/>
          <w:szCs w:val="24"/>
          <w:highlight w:val="none"/>
          <w:u w:val="none"/>
          <w:lang w:val="zh-CN" w:eastAsia="zh-CN" w:bidi="zh-CN"/>
        </w:rPr>
        <w:t>所在年级对应的本科专业</w:t>
      </w:r>
      <w:r>
        <w:rPr>
          <w:rFonts w:hint="eastAsia" w:ascii="宋体" w:hAnsi="宋体" w:eastAsia="宋体" w:cs="宋体"/>
          <w:color w:val="000000"/>
          <w:spacing w:val="0"/>
          <w:w w:val="100"/>
          <w:kern w:val="0"/>
          <w:sz w:val="24"/>
          <w:szCs w:val="24"/>
          <w:highlight w:val="none"/>
          <w:u w:val="none"/>
        </w:rPr>
        <w:t>培养方案中，依据专业指导性修读计划</w:t>
      </w:r>
      <w:r>
        <w:rPr>
          <w:rFonts w:hint="eastAsia" w:ascii="宋体" w:hAnsi="宋体" w:eastAsia="宋体" w:cs="宋体"/>
          <w:color w:val="000000"/>
          <w:spacing w:val="0"/>
          <w:w w:val="100"/>
          <w:kern w:val="0"/>
          <w:sz w:val="24"/>
          <w:szCs w:val="24"/>
          <w:highlight w:val="none"/>
          <w:u w:val="none"/>
          <w:lang w:eastAsia="zh-CN"/>
        </w:rPr>
        <w:t>，</w:t>
      </w:r>
      <w:r>
        <w:rPr>
          <w:rFonts w:hint="eastAsia" w:ascii="宋体" w:hAnsi="宋体" w:eastAsia="宋体" w:cs="宋体"/>
          <w:color w:val="000000"/>
          <w:spacing w:val="0"/>
          <w:w w:val="100"/>
          <w:kern w:val="0"/>
          <w:sz w:val="24"/>
          <w:szCs w:val="24"/>
          <w:highlight w:val="none"/>
          <w:u w:val="none"/>
        </w:rPr>
        <w:t>前三年开设的学科基础课程</w:t>
      </w:r>
      <w:r>
        <w:rPr>
          <w:rFonts w:hint="eastAsia" w:ascii="宋体" w:hAnsi="宋体" w:eastAsia="宋体" w:cs="宋体"/>
          <w:color w:val="000000"/>
          <w:spacing w:val="0"/>
          <w:w w:val="100"/>
          <w:kern w:val="0"/>
          <w:sz w:val="24"/>
          <w:szCs w:val="24"/>
          <w:highlight w:val="none"/>
          <w:u w:val="none"/>
          <w:lang w:eastAsia="zh-CN"/>
        </w:rPr>
        <w:t>、</w:t>
      </w:r>
      <w:r>
        <w:rPr>
          <w:rFonts w:hint="eastAsia" w:ascii="宋体" w:hAnsi="宋体" w:eastAsia="宋体" w:cs="宋体"/>
          <w:color w:val="000000"/>
          <w:spacing w:val="0"/>
          <w:w w:val="100"/>
          <w:kern w:val="0"/>
          <w:sz w:val="24"/>
          <w:szCs w:val="24"/>
          <w:highlight w:val="none"/>
          <w:u w:val="none"/>
        </w:rPr>
        <w:t>专业主干课程</w:t>
      </w:r>
      <w:r>
        <w:rPr>
          <w:rFonts w:hint="eastAsia" w:ascii="宋体" w:hAnsi="宋体" w:eastAsia="宋体" w:cs="宋体"/>
          <w:color w:val="000000"/>
          <w:spacing w:val="0"/>
          <w:w w:val="100"/>
          <w:kern w:val="0"/>
          <w:sz w:val="24"/>
          <w:szCs w:val="24"/>
          <w:highlight w:val="none"/>
          <w:u w:val="none"/>
          <w:lang w:eastAsia="zh-CN"/>
        </w:rPr>
        <w:t>、</w:t>
      </w:r>
      <w:r>
        <w:rPr>
          <w:rFonts w:hint="eastAsia" w:ascii="宋体" w:hAnsi="宋体" w:eastAsia="宋体" w:cs="宋体"/>
          <w:color w:val="000000"/>
          <w:spacing w:val="0"/>
          <w:w w:val="100"/>
          <w:kern w:val="0"/>
          <w:sz w:val="24"/>
          <w:szCs w:val="24"/>
          <w:highlight w:val="none"/>
          <w:u w:val="none"/>
          <w:lang w:val="en-US" w:eastAsia="zh-CN"/>
        </w:rPr>
        <w:t>通识教育课程及自主发展课程四大类型。</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w:t>
      </w:r>
      <w:r>
        <w:rPr>
          <w:rFonts w:hint="eastAsia" w:ascii="宋体" w:hAnsi="宋体" w:eastAsia="宋体" w:cs="宋体"/>
          <w:spacing w:val="0"/>
          <w:w w:val="100"/>
          <w:sz w:val="24"/>
          <w:szCs w:val="24"/>
          <w:highlight w:val="none"/>
          <w:u w:val="none"/>
          <w:lang w:val="en-US" w:eastAsia="zh-CN"/>
        </w:rPr>
        <w:t>二</w:t>
      </w:r>
      <w:r>
        <w:rPr>
          <w:rFonts w:hint="eastAsia" w:ascii="宋体" w:hAnsi="宋体" w:eastAsia="宋体" w:cs="宋体"/>
          <w:spacing w:val="0"/>
          <w:w w:val="100"/>
          <w:sz w:val="24"/>
          <w:szCs w:val="24"/>
          <w:highlight w:val="none"/>
          <w:u w:val="none"/>
        </w:rPr>
        <w:t>）素质能力评价计分（满分10分）</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参照本科生综合素质测评实施意见，评价除“专业学习”以外的素质能力，包括评价“思想品德”</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rPr>
        <w:t>“身心素质”和“能力发展”等。素质能力评价须按照综合素质测评实施细则规定的计分要求规范计分，每学期计分结果须在学院公示。</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607"/>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素质能力得分</w:t>
      </w:r>
      <w:r>
        <w:rPr>
          <w:rFonts w:hint="eastAsia" w:ascii="宋体" w:hAnsi="宋体" w:eastAsia="宋体" w:cs="宋体"/>
          <w:spacing w:val="0"/>
          <w:w w:val="100"/>
          <w:sz w:val="24"/>
          <w:szCs w:val="24"/>
          <w:highlight w:val="none"/>
          <w:u w:val="none"/>
          <w:lang w:val="en-US" w:eastAsia="zh-CN"/>
        </w:rPr>
        <w:t>=</w:t>
      </w:r>
      <w:r>
        <w:rPr>
          <w:rFonts w:hint="eastAsia" w:ascii="宋体" w:hAnsi="宋体" w:eastAsia="宋体" w:cs="宋体"/>
          <w:spacing w:val="0"/>
          <w:w w:val="100"/>
          <w:sz w:val="24"/>
          <w:szCs w:val="24"/>
          <w:highlight w:val="none"/>
          <w:u w:val="none"/>
        </w:rPr>
        <w:t>前三学年扣除“专业学习”得分的综合素质测评得分的学期平均分（折算成百分制）×10%。</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（三）科研和实践创新能力评价计分（满分5分）</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yellow"/>
          <w:u w:val="single"/>
          <w:lang w:val="zh-CN" w:eastAsia="zh-CN" w:bidi="zh-CN"/>
        </w:rPr>
      </w:pPr>
      <w:r>
        <w:rPr>
          <w:rFonts w:hint="eastAsia" w:ascii="宋体" w:hAnsi="宋体" w:eastAsia="宋体" w:cs="宋体"/>
          <w:spacing w:val="0"/>
          <w:w w:val="100"/>
          <w:sz w:val="24"/>
          <w:szCs w:val="24"/>
          <w:highlight w:val="none"/>
          <w:u w:val="none"/>
        </w:rPr>
        <w:t>通过评价学生科研创新成果、创新创业实践活动等，考核学生科研创新潜质和创新能力。按照《南京师范大学本科生创新创业实践成果和学分认定办法》（宁师教〔2018〕6号）附录的“南京师范大学创新创业实践活动和成果分级目录”对各级各类科研和实践创新活动和成果进行计分。论文、文学艺术作品、专利合计计分不超过1.5分；创新创业训练合计计分不超过1.5分。</w:t>
      </w:r>
      <w:r>
        <w:rPr>
          <w:rFonts w:hint="eastAsia" w:ascii="宋体" w:hAnsi="宋体" w:eastAsia="宋体" w:cs="宋体"/>
          <w:spacing w:val="0"/>
          <w:w w:val="100"/>
          <w:sz w:val="24"/>
          <w:szCs w:val="24"/>
          <w:highlight w:val="none"/>
          <w:u w:val="none"/>
          <w:lang w:val="zh-CN" w:eastAsia="zh-CN" w:bidi="zh-CN"/>
        </w:rPr>
        <w:t>具体计分办法见附件</w:t>
      </w:r>
      <w:r>
        <w:rPr>
          <w:rFonts w:hint="eastAsia" w:ascii="宋体" w:hAnsi="宋体" w:eastAsia="宋体" w:cs="宋体"/>
          <w:spacing w:val="0"/>
          <w:w w:val="100"/>
          <w:sz w:val="24"/>
          <w:szCs w:val="24"/>
          <w:highlight w:val="none"/>
          <w:u w:val="none"/>
          <w:lang w:val="en-US" w:eastAsia="zh-CN" w:bidi="zh-CN"/>
        </w:rPr>
        <w:t>2</w:t>
      </w:r>
      <w:r>
        <w:rPr>
          <w:rFonts w:hint="eastAsia" w:ascii="宋体" w:hAnsi="宋体" w:eastAsia="宋体" w:cs="宋体"/>
          <w:spacing w:val="0"/>
          <w:w w:val="100"/>
          <w:sz w:val="24"/>
          <w:szCs w:val="24"/>
          <w:highlight w:val="none"/>
          <w:u w:val="none"/>
          <w:lang w:val="zh-CN" w:eastAsia="zh-CN" w:bidi="zh-CN"/>
        </w:rPr>
        <w:t>。</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学生多次获得或参加分级目录中列出的某一“成果或活动”的，按照最高一次得分计分、不重复计分；不同级别的相同项目成果也按照最高一次得分计分、不重复计分。成果署名名次并列的，每位并列完成人的得分按照相应名次计分的平均值计算（如3位完成人并列第一，每位完成人得分为第一、二、三完成人得分的平均值）。论文、文学艺术作品、一类专利须与所学专业相关，并以第一作者（不含并列第一）、我校为第一署名单位发表或者获得授权。竞赛以获奖证书或组委会官网公告为认定依据，论文、文学艺术作品以正式发表或者网上见刊（不含用稿通知）成果为认定依据，一类专利以专利授权证书为认定依据，创新创业训练成果和活动以验收评审证书为认定依据。成果或者活动的认定依据记载日期须在推免当年8月31日前，晚于该日期的成果或者活动不予认定。</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en-US" w:eastAsia="zh-CN"/>
        </w:rPr>
        <w:t>四、特殊学术专长推免申请与审核</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具有特殊学术专长、突出专业能力的学生，在满足前述推荐基本条件前提下，符合以下条件之一的，可申请特殊学术专长推免：</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（一）本科阶段在核心期刊上以独立作者或第一作者发表与学业相关的科研论文；</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（二）作为主力成员参加与学业相关的一类科研竞赛（全国赛）并获得三等奖以上奖励（国际赛事参照执行，但不得低于国内赛事相关要求）；</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（三）参加国际重大赛事取得优异成绩，为国家、学校赢得重要荣誉的学生（如奥运会、世界锦标赛、世界杯赛的金牌、银牌或者铜牌获得者等）。</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学生与直系亲属或学历、职称、职务明显高于本人者合作的科研成果、竞赛奖项等不作为特殊学术专长依据。</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推荐特殊学术专长推免学生人数不超过学院推免名额的10%。学院成立专家审核小组（专家组成员原则上应具有相关学科正高级专业技术职务，一般不少于5人），可会同本研究领域权威专家、相关期刊杂志单位或赛事主办单位等，对申请特殊学术专长推免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网站上予以公示，未通过审核鉴定或答辩的学生不得推荐。学院特殊学术专长专家审核小组应严把质量要求，切实对审核工作负责。</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en-US" w:eastAsia="zh-CN"/>
        </w:rPr>
        <w:t>五、工作程序和相关说明</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lang w:eastAsia="zh-CN"/>
        </w:rPr>
      </w:pPr>
      <w:r>
        <w:rPr>
          <w:rFonts w:hint="eastAsia" w:ascii="宋体" w:hAnsi="宋体" w:eastAsia="宋体" w:cs="宋体"/>
          <w:spacing w:val="0"/>
          <w:w w:val="100"/>
          <w:sz w:val="24"/>
          <w:szCs w:val="24"/>
          <w:highlight w:val="none"/>
          <w:u w:val="none"/>
        </w:rPr>
        <w:t>（一）推免工作实施</w:t>
      </w:r>
      <w:r>
        <w:rPr>
          <w:rFonts w:hint="eastAsia" w:ascii="宋体" w:hAnsi="宋体" w:eastAsia="宋体" w:cs="宋体"/>
          <w:b w:val="0"/>
          <w:bCs w:val="0"/>
          <w:spacing w:val="0"/>
          <w:w w:val="100"/>
          <w:sz w:val="24"/>
          <w:szCs w:val="24"/>
          <w:highlight w:val="none"/>
          <w:u w:val="none"/>
          <w:lang w:val="en-US" w:eastAsia="zh-CN" w:bidi="zh-CN"/>
        </w:rPr>
        <w:t>办法</w:t>
      </w:r>
      <w:r>
        <w:rPr>
          <w:rFonts w:hint="eastAsia" w:ascii="宋体" w:hAnsi="宋体" w:eastAsia="宋体" w:cs="宋体"/>
          <w:spacing w:val="0"/>
          <w:w w:val="100"/>
          <w:sz w:val="24"/>
          <w:szCs w:val="24"/>
          <w:highlight w:val="none"/>
          <w:u w:val="none"/>
        </w:rPr>
        <w:t>制订和发布。学院按照</w:t>
      </w:r>
      <w:r>
        <w:rPr>
          <w:rFonts w:hint="eastAsia" w:ascii="宋体" w:hAnsi="宋体" w:eastAsia="宋体" w:cs="宋体"/>
          <w:b w:val="0"/>
          <w:bCs w:val="0"/>
          <w:spacing w:val="0"/>
          <w:w w:val="100"/>
          <w:sz w:val="24"/>
          <w:szCs w:val="24"/>
          <w:highlight w:val="none"/>
          <w:u w:val="none"/>
          <w:lang w:val="en-US" w:eastAsia="zh-CN" w:bidi="zh-CN"/>
        </w:rPr>
        <w:t>《南京师范大学推荐优秀本科毕业生免试攻读研究生工作管理办法（修订）》（宁师大【2020】35号）</w:t>
      </w:r>
      <w:r>
        <w:rPr>
          <w:rFonts w:hint="eastAsia" w:ascii="宋体" w:hAnsi="宋体" w:eastAsia="宋体" w:cs="宋体"/>
          <w:spacing w:val="0"/>
          <w:w w:val="100"/>
          <w:sz w:val="24"/>
          <w:szCs w:val="24"/>
          <w:highlight w:val="none"/>
          <w:u w:val="none"/>
        </w:rPr>
        <w:t>同步制订</w:t>
      </w:r>
      <w:r>
        <w:rPr>
          <w:rFonts w:hint="eastAsia" w:ascii="宋体" w:hAnsi="宋体" w:eastAsia="宋体" w:cs="宋体"/>
          <w:spacing w:val="0"/>
          <w:w w:val="100"/>
          <w:sz w:val="24"/>
          <w:szCs w:val="24"/>
          <w:highlight w:val="none"/>
          <w:u w:val="none"/>
          <w:lang w:val="en-US" w:eastAsia="zh-CN"/>
        </w:rPr>
        <w:t>本</w:t>
      </w:r>
      <w:r>
        <w:rPr>
          <w:rFonts w:hint="eastAsia" w:ascii="宋体" w:hAnsi="宋体" w:eastAsia="宋体" w:cs="宋体"/>
          <w:spacing w:val="0"/>
          <w:w w:val="100"/>
          <w:sz w:val="24"/>
          <w:szCs w:val="24"/>
          <w:highlight w:val="none"/>
          <w:u w:val="none"/>
        </w:rPr>
        <w:t>实施</w:t>
      </w:r>
      <w:r>
        <w:rPr>
          <w:rFonts w:hint="eastAsia" w:ascii="宋体" w:hAnsi="宋体" w:eastAsia="宋体" w:cs="宋体"/>
          <w:spacing w:val="0"/>
          <w:w w:val="100"/>
          <w:sz w:val="24"/>
          <w:szCs w:val="24"/>
          <w:highlight w:val="none"/>
          <w:u w:val="none"/>
          <w:lang w:val="en-US" w:eastAsia="zh-CN"/>
        </w:rPr>
        <w:t>办法</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lang w:val="en-US" w:eastAsia="zh-CN"/>
        </w:rPr>
        <w:t>本办法涵括：</w:t>
      </w:r>
      <w:r>
        <w:rPr>
          <w:rFonts w:hint="eastAsia" w:ascii="宋体" w:hAnsi="宋体" w:eastAsia="宋体" w:cs="宋体"/>
          <w:spacing w:val="0"/>
          <w:w w:val="100"/>
          <w:sz w:val="24"/>
          <w:szCs w:val="24"/>
          <w:highlight w:val="none"/>
          <w:u w:val="none"/>
        </w:rPr>
        <w:t>推荐程序、专业学习能力评价计分课程范围、素质能力评价计分细则、</w:t>
      </w:r>
      <w:r>
        <w:rPr>
          <w:rFonts w:hint="eastAsia" w:ascii="宋体" w:hAnsi="宋体" w:eastAsia="宋体" w:cs="宋体"/>
          <w:color w:val="auto"/>
          <w:spacing w:val="0"/>
          <w:w w:val="100"/>
          <w:sz w:val="24"/>
          <w:szCs w:val="24"/>
          <w:highlight w:val="none"/>
          <w:u w:val="none"/>
        </w:rPr>
        <w:t>转专业学生转专业前所修课程计分办法、因校外</w:t>
      </w:r>
      <w:r>
        <w:rPr>
          <w:rFonts w:hint="eastAsia" w:ascii="宋体" w:hAnsi="宋体" w:eastAsia="宋体" w:cs="宋体"/>
          <w:b w:val="0"/>
          <w:bCs w:val="0"/>
          <w:spacing w:val="0"/>
          <w:w w:val="100"/>
          <w:sz w:val="24"/>
          <w:szCs w:val="24"/>
          <w:highlight w:val="none"/>
          <w:u w:val="none"/>
          <w:lang w:val="en-US" w:eastAsia="zh-CN" w:bidi="zh-CN"/>
        </w:rPr>
        <w:t>交流</w:t>
      </w:r>
      <w:r>
        <w:rPr>
          <w:rFonts w:hint="eastAsia" w:ascii="宋体" w:hAnsi="宋体" w:eastAsia="宋体" w:cs="宋体"/>
          <w:color w:val="auto"/>
          <w:spacing w:val="0"/>
          <w:w w:val="100"/>
          <w:sz w:val="24"/>
          <w:szCs w:val="24"/>
          <w:highlight w:val="none"/>
          <w:u w:val="none"/>
        </w:rPr>
        <w:t>学习等导致培养方案中课程没有修读的处理办法</w:t>
      </w:r>
      <w:r>
        <w:rPr>
          <w:rFonts w:hint="eastAsia" w:ascii="宋体" w:hAnsi="宋体" w:eastAsia="宋体" w:cs="宋体"/>
          <w:color w:val="auto"/>
          <w:spacing w:val="0"/>
          <w:w w:val="100"/>
          <w:sz w:val="24"/>
          <w:szCs w:val="24"/>
          <w:highlight w:val="none"/>
          <w:u w:val="none"/>
          <w:lang w:eastAsia="zh-CN"/>
        </w:rPr>
        <w:t>、</w:t>
      </w:r>
      <w:r>
        <w:rPr>
          <w:rFonts w:hint="eastAsia" w:ascii="宋体" w:hAnsi="宋体" w:eastAsia="宋体" w:cs="宋体"/>
          <w:spacing w:val="0"/>
          <w:w w:val="100"/>
          <w:sz w:val="24"/>
          <w:szCs w:val="24"/>
          <w:highlight w:val="none"/>
          <w:u w:val="none"/>
        </w:rPr>
        <w:t>递补规则等。</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（二）科研和实践创新成果审核鉴定。学院组织学院学术委员会（至少5名委员）对学生</w:t>
      </w:r>
      <w:r>
        <w:rPr>
          <w:rFonts w:hint="eastAsia" w:ascii="宋体" w:hAnsi="宋体" w:eastAsia="宋体" w:cs="宋体"/>
          <w:spacing w:val="0"/>
          <w:w w:val="100"/>
          <w:sz w:val="24"/>
          <w:szCs w:val="24"/>
          <w:highlight w:val="none"/>
          <w:u w:val="none"/>
          <w:lang w:val="en-US" w:eastAsia="zh-CN"/>
        </w:rPr>
        <w:t>的</w:t>
      </w:r>
      <w:r>
        <w:rPr>
          <w:rFonts w:hint="eastAsia" w:ascii="宋体" w:hAnsi="宋体" w:eastAsia="宋体" w:cs="宋体"/>
          <w:b w:val="0"/>
          <w:bCs w:val="0"/>
          <w:spacing w:val="0"/>
          <w:w w:val="100"/>
          <w:sz w:val="24"/>
          <w:szCs w:val="24"/>
          <w:highlight w:val="none"/>
          <w:u w:val="none"/>
          <w:lang w:val="en-US" w:eastAsia="zh-CN" w:bidi="zh-CN"/>
        </w:rPr>
        <w:t>科研和实践创新成果</w:t>
      </w:r>
      <w:r>
        <w:rPr>
          <w:rFonts w:hint="eastAsia" w:ascii="宋体" w:hAnsi="宋体" w:eastAsia="宋体" w:cs="宋体"/>
          <w:spacing w:val="0"/>
          <w:w w:val="100"/>
          <w:sz w:val="24"/>
          <w:szCs w:val="24"/>
          <w:highlight w:val="none"/>
          <w:u w:val="none"/>
        </w:rPr>
        <w:t>进行审查鉴定，给出明确审查鉴定意见并签字存档，相关成果证明材料须在学院公示。科研和实践创新成果</w:t>
      </w:r>
      <w:r>
        <w:rPr>
          <w:rFonts w:hint="eastAsia" w:ascii="宋体" w:hAnsi="宋体" w:eastAsia="宋体" w:cs="宋体"/>
          <w:spacing w:val="0"/>
          <w:w w:val="100"/>
          <w:sz w:val="24"/>
          <w:szCs w:val="24"/>
          <w:highlight w:val="none"/>
          <w:u w:val="none"/>
          <w:lang w:val="en-US" w:eastAsia="zh-CN"/>
        </w:rPr>
        <w:t>及</w:t>
      </w:r>
      <w:r>
        <w:rPr>
          <w:rFonts w:hint="eastAsia" w:ascii="宋体" w:hAnsi="宋体" w:eastAsia="宋体" w:cs="宋体"/>
          <w:spacing w:val="0"/>
          <w:w w:val="100"/>
          <w:sz w:val="24"/>
          <w:szCs w:val="24"/>
          <w:highlight w:val="none"/>
          <w:u w:val="none"/>
        </w:rPr>
        <w:t>计分</w:t>
      </w:r>
      <w:r>
        <w:rPr>
          <w:rFonts w:hint="eastAsia" w:ascii="宋体" w:hAnsi="宋体" w:eastAsia="宋体" w:cs="宋体"/>
          <w:spacing w:val="0"/>
          <w:w w:val="100"/>
          <w:sz w:val="24"/>
          <w:szCs w:val="24"/>
          <w:highlight w:val="none"/>
          <w:u w:val="none"/>
          <w:lang w:val="en-US" w:eastAsia="zh-CN"/>
        </w:rPr>
        <w:t>以</w:t>
      </w:r>
      <w:r>
        <w:rPr>
          <w:rFonts w:hint="eastAsia" w:ascii="宋体" w:hAnsi="宋体" w:eastAsia="宋体" w:cs="宋体"/>
          <w:spacing w:val="0"/>
          <w:w w:val="100"/>
          <w:sz w:val="24"/>
          <w:szCs w:val="24"/>
          <w:highlight w:val="none"/>
          <w:u w:val="none"/>
        </w:rPr>
        <w:t>校创新创业教育管理办公室</w:t>
      </w:r>
      <w:r>
        <w:rPr>
          <w:rFonts w:hint="eastAsia" w:ascii="宋体" w:hAnsi="宋体" w:eastAsia="宋体" w:cs="宋体"/>
          <w:spacing w:val="0"/>
          <w:w w:val="100"/>
          <w:sz w:val="24"/>
          <w:szCs w:val="24"/>
          <w:highlight w:val="none"/>
          <w:u w:val="none"/>
          <w:lang w:val="en-US" w:eastAsia="zh-CN"/>
        </w:rPr>
        <w:t>的</w:t>
      </w:r>
      <w:r>
        <w:rPr>
          <w:rFonts w:hint="eastAsia" w:ascii="宋体" w:hAnsi="宋体" w:eastAsia="宋体" w:cs="宋体"/>
          <w:spacing w:val="0"/>
          <w:w w:val="100"/>
          <w:sz w:val="24"/>
          <w:szCs w:val="24"/>
          <w:highlight w:val="none"/>
          <w:u w:val="none"/>
        </w:rPr>
        <w:t>审核</w:t>
      </w:r>
      <w:r>
        <w:rPr>
          <w:rFonts w:hint="eastAsia" w:ascii="宋体" w:hAnsi="宋体" w:eastAsia="宋体" w:cs="宋体"/>
          <w:spacing w:val="0"/>
          <w:w w:val="100"/>
          <w:sz w:val="24"/>
          <w:szCs w:val="24"/>
          <w:highlight w:val="none"/>
          <w:u w:val="none"/>
          <w:lang w:eastAsia="zh-CN"/>
        </w:rPr>
        <w:t>为准</w:t>
      </w:r>
      <w:r>
        <w:rPr>
          <w:rFonts w:hint="eastAsia" w:ascii="宋体" w:hAnsi="宋体" w:eastAsia="宋体" w:cs="宋体"/>
          <w:spacing w:val="0"/>
          <w:w w:val="100"/>
          <w:sz w:val="24"/>
          <w:szCs w:val="24"/>
          <w:highlight w:val="none"/>
          <w:u w:val="none"/>
        </w:rPr>
        <w:t>。</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三）推免名单拟定和学院公示。根据学院实施细则、学校分配的推免指标，学院拟定推荐的免试研究生人员名单（含递补学生名单），并按照规定公示。公示无异议后，学院向教务处报送拟推荐的免试研究生人员名单（含递补学生名单）。</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lang w:val="zh-CN" w:eastAsia="zh-CN" w:bidi="zh-CN"/>
        </w:rPr>
      </w:pPr>
      <w:r>
        <w:rPr>
          <w:rFonts w:hint="eastAsia" w:ascii="宋体" w:hAnsi="宋体" w:eastAsia="宋体" w:cs="宋体"/>
          <w:spacing w:val="0"/>
          <w:w w:val="100"/>
          <w:sz w:val="24"/>
          <w:szCs w:val="24"/>
          <w:highlight w:val="none"/>
          <w:u w:val="none"/>
          <w:lang w:val="zh-CN" w:eastAsia="zh-CN" w:bidi="zh-CN"/>
        </w:rPr>
        <w:t>（</w:t>
      </w:r>
      <w:r>
        <w:rPr>
          <w:rFonts w:hint="eastAsia" w:ascii="宋体" w:hAnsi="宋体" w:eastAsia="宋体" w:cs="宋体"/>
          <w:spacing w:val="0"/>
          <w:w w:val="100"/>
          <w:sz w:val="24"/>
          <w:szCs w:val="24"/>
          <w:highlight w:val="none"/>
          <w:u w:val="none"/>
          <w:lang w:val="en-US" w:eastAsia="zh-CN" w:bidi="zh-CN"/>
        </w:rPr>
        <w:t>四</w:t>
      </w:r>
      <w:r>
        <w:rPr>
          <w:rFonts w:hint="eastAsia" w:ascii="宋体" w:hAnsi="宋体" w:eastAsia="宋体" w:cs="宋体"/>
          <w:spacing w:val="0"/>
          <w:w w:val="100"/>
          <w:sz w:val="24"/>
          <w:szCs w:val="24"/>
          <w:highlight w:val="none"/>
          <w:u w:val="none"/>
          <w:lang w:val="zh-CN" w:eastAsia="zh-CN" w:bidi="zh-CN"/>
        </w:rPr>
        <w:t>）相关说明</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1. 英才计划项目推免按照《南京师范大学英才培养计划实施方案（试行）》执行。</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4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color w:val="000000"/>
          <w:kern w:val="0"/>
          <w:szCs w:val="32"/>
          <w:highlight w:val="none"/>
          <w:u w:val="none"/>
        </w:rPr>
        <w:t xml:space="preserve">2. </w:t>
      </w:r>
      <w:r>
        <w:rPr>
          <w:rFonts w:hint="eastAsia" w:ascii="宋体" w:hAnsi="宋体" w:eastAsia="宋体" w:cs="宋体"/>
          <w:b w:val="0"/>
          <w:bCs w:val="0"/>
          <w:spacing w:val="0"/>
          <w:w w:val="100"/>
          <w:sz w:val="24"/>
          <w:szCs w:val="24"/>
          <w:highlight w:val="none"/>
          <w:u w:val="none"/>
          <w:lang w:val="en-US" w:eastAsia="zh-CN" w:bidi="zh-CN"/>
        </w:rPr>
        <w:t>本硕贯通培养专项计划推免按照《南京师范大学硕士研究生招生本硕贯通培养专项考核实施办法》执行。</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3. 中国青年志愿者扶贫接力计划研究生支教团专项的具体推荐条件和相关要求按照《南京师范大学研究生支教团专项推免计划实施办法》执行，由校团委负责选拔推荐。</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4. 农村学校教育硕士师资培养计划推免按照《南京师范大学农村学校教育硕士师资培养计划推免工作实施办法》执行，由校学工处负责选拔推荐。</w:t>
      </w:r>
    </w:p>
    <w:p>
      <w:pPr>
        <w:keepNext w:val="0"/>
        <w:keepLines w:val="0"/>
        <w:pageBreakBefore w:val="0"/>
        <w:widowControl/>
        <w:suppressLineNumbers w:val="0"/>
        <w:kinsoku/>
        <w:wordWrap/>
        <w:overflowPunct/>
        <w:topLinePunct w:val="0"/>
        <w:autoSpaceDE w:val="0"/>
        <w:autoSpaceDN w:val="0"/>
        <w:bidi w:val="0"/>
        <w:adjustRightInd/>
        <w:snapToGrid/>
        <w:spacing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5. 申请国防科工专项补偿计划指标的学生，必须符合我校推免基本条件，并在学院上报的推免生名单中。</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五、组织实施和工作纪律</w:t>
      </w:r>
    </w:p>
    <w:p>
      <w:pPr>
        <w:keepNext w:val="0"/>
        <w:keepLines w:val="0"/>
        <w:pageBreakBefore w:val="0"/>
        <w:kinsoku/>
        <w:wordWrap/>
        <w:overflowPunct/>
        <w:topLinePunct w:val="0"/>
        <w:autoSpaceDE w:val="0"/>
        <w:autoSpaceDN w:val="0"/>
        <w:bidi w:val="0"/>
        <w:spacing w:line="460" w:lineRule="exact"/>
        <w:ind w:firstLine="480" w:firstLineChars="200"/>
        <w:rPr>
          <w:rFonts w:hint="eastAsia" w:ascii="宋体" w:hAnsi="宋体" w:eastAsia="宋体" w:cs="宋体"/>
          <w:color w:val="000000"/>
          <w:spacing w:val="2"/>
          <w:kern w:val="0"/>
          <w:szCs w:val="32"/>
          <w:highlight w:val="none"/>
          <w:u w:val="none"/>
        </w:rPr>
      </w:pPr>
      <w:r>
        <w:rPr>
          <w:rFonts w:hint="eastAsia" w:ascii="宋体" w:hAnsi="宋体" w:eastAsia="宋体" w:cs="宋体"/>
          <w:spacing w:val="0"/>
          <w:w w:val="100"/>
          <w:sz w:val="24"/>
          <w:szCs w:val="24"/>
          <w:highlight w:val="none"/>
          <w:u w:val="none"/>
        </w:rPr>
        <w:t>（一）学院成立推免工作小组，由院长任组长，分管本科教学工作、分管学生工作的院领导任副组长。在学校统一领导下，认真贯彻教育部和学校有关规定，坚持公平、公正、公开的原则</w:t>
      </w:r>
      <w:r>
        <w:rPr>
          <w:rFonts w:hint="eastAsia" w:ascii="宋体" w:hAnsi="宋体" w:eastAsia="宋体" w:cs="宋体"/>
          <w:spacing w:val="0"/>
          <w:w w:val="100"/>
          <w:sz w:val="24"/>
          <w:szCs w:val="24"/>
          <w:highlight w:val="none"/>
          <w:u w:val="none"/>
          <w:lang w:eastAsia="zh-CN"/>
        </w:rPr>
        <w:t>，</w:t>
      </w:r>
      <w:r>
        <w:rPr>
          <w:rFonts w:hint="eastAsia" w:ascii="宋体" w:hAnsi="宋体" w:eastAsia="宋体" w:cs="宋体"/>
          <w:b w:val="0"/>
          <w:bCs w:val="0"/>
          <w:spacing w:val="0"/>
          <w:w w:val="100"/>
          <w:sz w:val="24"/>
          <w:szCs w:val="24"/>
          <w:highlight w:val="none"/>
          <w:u w:val="none"/>
          <w:lang w:val="en-US" w:eastAsia="zh-CN" w:bidi="zh-CN"/>
        </w:rPr>
        <w:t>确保推免生遴选工作的透明。推免细则、推免名单均对外公开，公示时间不少于10个工作日，接受师生监督，纪检监察部门对推免工作全程监督。</w:t>
      </w:r>
    </w:p>
    <w:p>
      <w:pPr>
        <w:keepNext w:val="0"/>
        <w:keepLines w:val="0"/>
        <w:pageBreakBefore w:val="0"/>
        <w:kinsoku/>
        <w:wordWrap/>
        <w:overflowPunct/>
        <w:topLinePunct w:val="0"/>
        <w:autoSpaceDE w:val="0"/>
        <w:autoSpaceDN w:val="0"/>
        <w:bidi w:val="0"/>
        <w:spacing w:line="460" w:lineRule="exact"/>
        <w:ind w:firstLine="440" w:firstLineChars="200"/>
        <w:rPr>
          <w:rFonts w:hint="eastAsia" w:ascii="宋体" w:hAnsi="宋体" w:eastAsia="宋体" w:cs="宋体"/>
          <w:spacing w:val="0"/>
          <w:w w:val="100"/>
          <w:sz w:val="24"/>
          <w:szCs w:val="24"/>
          <w:highlight w:val="none"/>
          <w:u w:val="none"/>
        </w:rPr>
      </w:pPr>
      <w:r>
        <w:rPr>
          <w:rFonts w:hint="eastAsia" w:ascii="宋体" w:hAnsi="宋体" w:eastAsia="宋体" w:cs="宋体"/>
          <w:color w:val="000000"/>
          <w:kern w:val="0"/>
          <w:szCs w:val="32"/>
          <w:highlight w:val="none"/>
          <w:u w:val="none"/>
        </w:rPr>
        <w:t>（二）</w:t>
      </w:r>
      <w:r>
        <w:rPr>
          <w:rFonts w:hint="eastAsia" w:ascii="宋体" w:hAnsi="宋体" w:eastAsia="宋体" w:cs="宋体"/>
          <w:b w:val="0"/>
          <w:bCs w:val="0"/>
          <w:spacing w:val="0"/>
          <w:w w:val="100"/>
          <w:sz w:val="24"/>
          <w:szCs w:val="24"/>
          <w:highlight w:val="none"/>
          <w:u w:val="none"/>
          <w:lang w:val="en-US" w:eastAsia="zh-CN" w:bidi="zh-CN"/>
        </w:rPr>
        <w:t>建立回避制度，推免相关工作人员有直系亲属申请本单位推免资格的应主动申请回避，有非直系亲属申请推免资格的要主动报备，相关学生也应主动报备。</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w:t>
      </w:r>
      <w:r>
        <w:rPr>
          <w:rFonts w:hint="eastAsia" w:cs="宋体"/>
          <w:spacing w:val="0"/>
          <w:w w:val="100"/>
          <w:sz w:val="24"/>
          <w:szCs w:val="24"/>
          <w:highlight w:val="none"/>
          <w:u w:val="none"/>
          <w:lang w:val="en-US" w:eastAsia="zh-CN"/>
        </w:rPr>
        <w:t>三</w:t>
      </w:r>
      <w:r>
        <w:rPr>
          <w:rFonts w:hint="eastAsia" w:ascii="宋体" w:hAnsi="宋体" w:eastAsia="宋体" w:cs="宋体"/>
          <w:spacing w:val="0"/>
          <w:w w:val="100"/>
          <w:sz w:val="24"/>
          <w:szCs w:val="24"/>
          <w:highlight w:val="none"/>
          <w:u w:val="none"/>
        </w:rPr>
        <w:t>）</w:t>
      </w:r>
      <w:r>
        <w:rPr>
          <w:rFonts w:hint="eastAsia" w:ascii="宋体" w:hAnsi="宋体" w:eastAsia="宋体" w:cs="宋体"/>
          <w:spacing w:val="0"/>
          <w:w w:val="100"/>
          <w:sz w:val="24"/>
          <w:szCs w:val="24"/>
          <w:highlight w:val="none"/>
          <w:u w:val="none"/>
          <w:lang w:val="zh-CN" w:eastAsia="zh-CN"/>
        </w:rPr>
        <w:t>申诉</w:t>
      </w:r>
      <w:r>
        <w:rPr>
          <w:rFonts w:hint="eastAsia" w:ascii="宋体" w:hAnsi="宋体" w:eastAsia="宋体" w:cs="宋体"/>
          <w:spacing w:val="0"/>
          <w:w w:val="100"/>
          <w:sz w:val="24"/>
          <w:szCs w:val="24"/>
          <w:highlight w:val="none"/>
          <w:u w:val="none"/>
        </w:rPr>
        <w:t>受理。在学院、学校公示期内，学生对拟推荐的免试研究生人员名单（含递补）、科研和实践创新成果有异议的，可向学院、学校</w:t>
      </w:r>
      <w:r>
        <w:rPr>
          <w:rFonts w:hint="eastAsia" w:ascii="宋体" w:hAnsi="宋体" w:eastAsia="宋体" w:cs="宋体"/>
          <w:spacing w:val="0"/>
          <w:w w:val="100"/>
          <w:sz w:val="24"/>
          <w:szCs w:val="24"/>
          <w:highlight w:val="none"/>
          <w:u w:val="none"/>
          <w:lang w:val="zh-CN" w:eastAsia="zh-CN"/>
        </w:rPr>
        <w:t>申诉</w:t>
      </w:r>
      <w:r>
        <w:rPr>
          <w:rFonts w:hint="eastAsia" w:ascii="宋体" w:hAnsi="宋体" w:eastAsia="宋体" w:cs="宋体"/>
          <w:spacing w:val="0"/>
          <w:w w:val="100"/>
          <w:sz w:val="24"/>
          <w:szCs w:val="24"/>
          <w:highlight w:val="none"/>
          <w:u w:val="none"/>
        </w:rPr>
        <w:t>。</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w:t>
      </w:r>
      <w:r>
        <w:rPr>
          <w:rFonts w:hint="eastAsia" w:ascii="宋体" w:hAnsi="宋体" w:eastAsia="宋体" w:cs="宋体"/>
          <w:spacing w:val="0"/>
          <w:w w:val="100"/>
          <w:sz w:val="24"/>
          <w:szCs w:val="24"/>
          <w:highlight w:val="none"/>
          <w:u w:val="none"/>
          <w:lang w:val="en-US" w:eastAsia="zh-CN"/>
        </w:rPr>
        <w:t>四</w:t>
      </w:r>
      <w:r>
        <w:rPr>
          <w:rFonts w:hint="eastAsia" w:ascii="宋体" w:hAnsi="宋体" w:eastAsia="宋体" w:cs="宋体"/>
          <w:spacing w:val="0"/>
          <w:w w:val="100"/>
          <w:sz w:val="24"/>
          <w:szCs w:val="24"/>
          <w:highlight w:val="none"/>
          <w:u w:val="none"/>
        </w:rPr>
        <w:t>）获得推荐免试研究生资格的学生在推荐阶段可向学校提交书面申请放弃推荐免试资格，申请书须本人签名、学院负责人签字，加盖学院公章后报教务处。</w:t>
      </w:r>
      <w:r>
        <w:rPr>
          <w:rFonts w:hint="eastAsia" w:ascii="宋体" w:hAnsi="宋体" w:eastAsia="宋体" w:cs="宋体"/>
          <w:color w:val="auto"/>
          <w:spacing w:val="0"/>
          <w:w w:val="100"/>
          <w:sz w:val="24"/>
          <w:szCs w:val="24"/>
          <w:highlight w:val="none"/>
          <w:u w:val="none"/>
        </w:rPr>
        <w:t>放弃</w:t>
      </w:r>
      <w:r>
        <w:rPr>
          <w:rFonts w:hint="eastAsia" w:cs="宋体"/>
          <w:color w:val="auto"/>
          <w:spacing w:val="0"/>
          <w:w w:val="100"/>
          <w:sz w:val="24"/>
          <w:szCs w:val="24"/>
          <w:highlight w:val="none"/>
          <w:u w:val="none"/>
          <w:lang w:val="en-US" w:eastAsia="zh-CN"/>
        </w:rPr>
        <w:t>的</w:t>
      </w:r>
      <w:r>
        <w:rPr>
          <w:rFonts w:hint="eastAsia" w:ascii="宋体" w:hAnsi="宋体" w:eastAsia="宋体" w:cs="宋体"/>
          <w:color w:val="auto"/>
          <w:spacing w:val="0"/>
          <w:w w:val="100"/>
          <w:sz w:val="24"/>
          <w:szCs w:val="24"/>
          <w:highlight w:val="none"/>
          <w:u w:val="none"/>
        </w:rPr>
        <w:t>名额</w:t>
      </w:r>
      <w:r>
        <w:rPr>
          <w:rFonts w:hint="eastAsia" w:cs="宋体"/>
          <w:color w:val="auto"/>
          <w:spacing w:val="0"/>
          <w:w w:val="100"/>
          <w:sz w:val="24"/>
          <w:szCs w:val="24"/>
          <w:highlight w:val="none"/>
          <w:u w:val="none"/>
          <w:lang w:eastAsia="zh-CN"/>
        </w:rPr>
        <w:t>（</w:t>
      </w:r>
      <w:r>
        <w:rPr>
          <w:rFonts w:hint="eastAsia" w:cs="宋体"/>
          <w:color w:val="auto"/>
          <w:spacing w:val="0"/>
          <w:w w:val="100"/>
          <w:sz w:val="24"/>
          <w:szCs w:val="24"/>
          <w:highlight w:val="none"/>
          <w:u w:val="none"/>
          <w:lang w:val="en-US" w:eastAsia="zh-CN"/>
        </w:rPr>
        <w:t>或取消推荐免试资格的名额</w:t>
      </w:r>
      <w:r>
        <w:rPr>
          <w:rFonts w:hint="eastAsia" w:cs="宋体"/>
          <w:color w:val="auto"/>
          <w:spacing w:val="0"/>
          <w:w w:val="100"/>
          <w:sz w:val="24"/>
          <w:szCs w:val="24"/>
          <w:highlight w:val="none"/>
          <w:u w:val="none"/>
          <w:lang w:eastAsia="zh-CN"/>
        </w:rPr>
        <w:t>）</w:t>
      </w:r>
      <w:r>
        <w:rPr>
          <w:rFonts w:hint="eastAsia" w:ascii="宋体" w:hAnsi="宋体" w:eastAsia="宋体" w:cs="宋体"/>
          <w:i w:val="0"/>
          <w:iCs w:val="0"/>
          <w:color w:val="auto"/>
          <w:spacing w:val="0"/>
          <w:w w:val="100"/>
          <w:sz w:val="24"/>
          <w:szCs w:val="24"/>
          <w:highlight w:val="none"/>
          <w:u w:val="none"/>
        </w:rPr>
        <w:t>由学院提交的经公示名单中递补学生依次递补</w:t>
      </w:r>
      <w:r>
        <w:rPr>
          <w:rFonts w:hint="eastAsia" w:ascii="宋体" w:hAnsi="宋体" w:eastAsia="宋体" w:cs="宋体"/>
          <w:color w:val="auto"/>
          <w:spacing w:val="0"/>
          <w:w w:val="100"/>
          <w:sz w:val="24"/>
          <w:szCs w:val="24"/>
          <w:highlight w:val="none"/>
          <w:u w:val="none"/>
        </w:rPr>
        <w:t>。</w:t>
      </w:r>
      <w:r>
        <w:rPr>
          <w:rFonts w:hint="eastAsia" w:ascii="宋体" w:hAnsi="宋体" w:eastAsia="宋体" w:cs="宋体"/>
          <w:spacing w:val="0"/>
          <w:w w:val="100"/>
          <w:sz w:val="24"/>
          <w:szCs w:val="24"/>
          <w:highlight w:val="none"/>
          <w:u w:val="none"/>
        </w:rPr>
        <w:t>进入接收阶段后，学生不得以任何理由放弃推荐免试资格。</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w:t>
      </w:r>
      <w:r>
        <w:rPr>
          <w:rFonts w:hint="eastAsia" w:ascii="宋体" w:hAnsi="宋体" w:eastAsia="宋体" w:cs="宋体"/>
          <w:spacing w:val="0"/>
          <w:w w:val="100"/>
          <w:sz w:val="24"/>
          <w:szCs w:val="24"/>
          <w:highlight w:val="none"/>
          <w:u w:val="none"/>
          <w:lang w:val="en-US" w:eastAsia="zh-CN"/>
        </w:rPr>
        <w:t>五</w:t>
      </w:r>
      <w:r>
        <w:rPr>
          <w:rFonts w:hint="eastAsia" w:ascii="宋体" w:hAnsi="宋体" w:eastAsia="宋体" w:cs="宋体"/>
          <w:spacing w:val="0"/>
          <w:w w:val="100"/>
          <w:sz w:val="24"/>
          <w:szCs w:val="24"/>
          <w:highlight w:val="none"/>
          <w:u w:val="none"/>
        </w:rPr>
        <w:t>）已取得推荐免试资格，若有以下情况之一者，取消推荐免试资格，并视情节轻重追究相关人员责任：</w:t>
      </w:r>
    </w:p>
    <w:p>
      <w:pPr>
        <w:pStyle w:val="11"/>
        <w:keepNext w:val="0"/>
        <w:keepLines w:val="0"/>
        <w:pageBreakBefore w:val="0"/>
        <w:numPr>
          <w:ilvl w:val="0"/>
          <w:numId w:val="0"/>
        </w:numPr>
        <w:tabs>
          <w:tab w:val="left" w:pos="1257"/>
        </w:tabs>
        <w:kinsoku/>
        <w:wordWrap/>
        <w:overflowPunct/>
        <w:topLinePunct w:val="0"/>
        <w:autoSpaceDE w:val="0"/>
        <w:autoSpaceDN w:val="0"/>
        <w:bidi w:val="0"/>
        <w:adjustRightInd/>
        <w:snapToGrid/>
        <w:spacing w:before="0" w:after="0" w:line="460" w:lineRule="exact"/>
        <w:ind w:left="0" w:leftChars="0" w:right="0" w:rightChars="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lang w:val="en-US" w:eastAsia="zh-CN"/>
        </w:rPr>
        <w:t>1、</w:t>
      </w:r>
      <w:r>
        <w:rPr>
          <w:rFonts w:hint="eastAsia" w:ascii="宋体" w:hAnsi="宋体" w:eastAsia="宋体" w:cs="宋体"/>
          <w:spacing w:val="0"/>
          <w:w w:val="100"/>
          <w:sz w:val="24"/>
          <w:szCs w:val="24"/>
          <w:highlight w:val="none"/>
          <w:u w:val="none"/>
        </w:rPr>
        <w:t>查实在推荐和接收中有弄虚作假者；</w:t>
      </w:r>
    </w:p>
    <w:p>
      <w:pPr>
        <w:pStyle w:val="11"/>
        <w:keepNext w:val="0"/>
        <w:keepLines w:val="0"/>
        <w:pageBreakBefore w:val="0"/>
        <w:numPr>
          <w:ilvl w:val="0"/>
          <w:numId w:val="0"/>
        </w:numPr>
        <w:tabs>
          <w:tab w:val="left" w:pos="1257"/>
        </w:tabs>
        <w:kinsoku/>
        <w:wordWrap/>
        <w:overflowPunct/>
        <w:topLinePunct w:val="0"/>
        <w:autoSpaceDE w:val="0"/>
        <w:autoSpaceDN w:val="0"/>
        <w:bidi w:val="0"/>
        <w:adjustRightInd/>
        <w:snapToGrid/>
        <w:spacing w:before="0" w:after="0" w:line="460" w:lineRule="exact"/>
        <w:ind w:left="0" w:leftChars="0" w:right="0" w:rightChars="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lang w:val="en-US" w:eastAsia="zh-CN"/>
        </w:rPr>
        <w:t>2、</w:t>
      </w:r>
      <w:r>
        <w:rPr>
          <w:rFonts w:hint="eastAsia" w:ascii="宋体" w:hAnsi="宋体" w:eastAsia="宋体" w:cs="宋体"/>
          <w:spacing w:val="0"/>
          <w:w w:val="100"/>
          <w:sz w:val="24"/>
          <w:szCs w:val="24"/>
          <w:highlight w:val="none"/>
          <w:u w:val="none"/>
        </w:rPr>
        <w:t>不能在毕业时取得学士学位者；</w:t>
      </w:r>
    </w:p>
    <w:p>
      <w:pPr>
        <w:pStyle w:val="11"/>
        <w:keepNext w:val="0"/>
        <w:keepLines w:val="0"/>
        <w:pageBreakBefore w:val="0"/>
        <w:numPr>
          <w:ilvl w:val="0"/>
          <w:numId w:val="0"/>
        </w:numPr>
        <w:tabs>
          <w:tab w:val="left" w:pos="1257"/>
        </w:tabs>
        <w:kinsoku/>
        <w:wordWrap/>
        <w:overflowPunct/>
        <w:topLinePunct w:val="0"/>
        <w:autoSpaceDE w:val="0"/>
        <w:autoSpaceDN w:val="0"/>
        <w:bidi w:val="0"/>
        <w:adjustRightInd/>
        <w:snapToGrid/>
        <w:spacing w:before="0" w:after="0" w:line="460" w:lineRule="exact"/>
        <w:ind w:left="0" w:leftChars="0" w:right="0" w:rightChars="0" w:firstLine="480" w:firstLineChars="200"/>
        <w:jc w:val="both"/>
        <w:textAlignment w:val="auto"/>
        <w:rPr>
          <w:rFonts w:hint="eastAsia" w:ascii="宋体" w:hAnsi="宋体" w:eastAsia="宋体" w:cs="宋体"/>
          <w:color w:val="000000"/>
          <w:kern w:val="0"/>
          <w:sz w:val="24"/>
          <w:szCs w:val="24"/>
          <w:highlight w:val="none"/>
          <w:u w:val="none"/>
        </w:rPr>
      </w:pPr>
      <w:r>
        <w:rPr>
          <w:rFonts w:hint="eastAsia" w:ascii="宋体" w:hAnsi="宋体" w:eastAsia="宋体" w:cs="宋体"/>
          <w:spacing w:val="0"/>
          <w:w w:val="100"/>
          <w:sz w:val="24"/>
          <w:szCs w:val="24"/>
          <w:highlight w:val="none"/>
          <w:u w:val="none"/>
          <w:lang w:val="en-US" w:eastAsia="zh-CN"/>
        </w:rPr>
        <w:t>3、</w:t>
      </w:r>
      <w:r>
        <w:rPr>
          <w:rFonts w:hint="eastAsia" w:ascii="宋体" w:hAnsi="宋体" w:eastAsia="宋体" w:cs="宋体"/>
          <w:b w:val="0"/>
          <w:bCs w:val="0"/>
          <w:spacing w:val="0"/>
          <w:w w:val="100"/>
          <w:sz w:val="24"/>
          <w:szCs w:val="24"/>
          <w:highlight w:val="none"/>
          <w:u w:val="none"/>
          <w:lang w:val="zh-CN" w:eastAsia="zh-CN" w:bidi="zh-CN"/>
        </w:rPr>
        <w:t>取得推荐免试资格后，因违反校纪校规受到处分者</w:t>
      </w:r>
      <w:r>
        <w:rPr>
          <w:rFonts w:hint="eastAsia" w:ascii="宋体" w:hAnsi="宋体" w:eastAsia="宋体" w:cs="宋体"/>
          <w:color w:val="000000"/>
          <w:kern w:val="0"/>
          <w:sz w:val="24"/>
          <w:szCs w:val="24"/>
          <w:highlight w:val="none"/>
          <w:u w:val="none"/>
        </w:rPr>
        <w:t>；</w:t>
      </w:r>
    </w:p>
    <w:p>
      <w:pPr>
        <w:pStyle w:val="11"/>
        <w:keepNext w:val="0"/>
        <w:keepLines w:val="0"/>
        <w:pageBreakBefore w:val="0"/>
        <w:numPr>
          <w:ilvl w:val="0"/>
          <w:numId w:val="0"/>
        </w:numPr>
        <w:tabs>
          <w:tab w:val="left" w:pos="1257"/>
        </w:tabs>
        <w:kinsoku/>
        <w:wordWrap/>
        <w:overflowPunct/>
        <w:topLinePunct w:val="0"/>
        <w:autoSpaceDE w:val="0"/>
        <w:autoSpaceDN w:val="0"/>
        <w:bidi w:val="0"/>
        <w:adjustRightInd/>
        <w:snapToGrid/>
        <w:spacing w:before="0" w:after="0" w:line="460" w:lineRule="exact"/>
        <w:ind w:left="0" w:leftChars="0" w:right="0" w:rightChars="0" w:firstLine="480" w:firstLineChars="20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lang w:val="en-US" w:eastAsia="zh-CN"/>
        </w:rPr>
        <w:t>4、</w:t>
      </w:r>
      <w:r>
        <w:rPr>
          <w:rFonts w:hint="eastAsia" w:ascii="宋体" w:hAnsi="宋体" w:eastAsia="宋体" w:cs="宋体"/>
          <w:spacing w:val="0"/>
          <w:w w:val="100"/>
          <w:sz w:val="24"/>
          <w:szCs w:val="24"/>
          <w:highlight w:val="none"/>
          <w:u w:val="none"/>
        </w:rPr>
        <w:t>取得推荐免试资格后，又参加全国研究生统一考试者；</w:t>
      </w:r>
    </w:p>
    <w:p>
      <w:pPr>
        <w:pStyle w:val="11"/>
        <w:keepNext w:val="0"/>
        <w:keepLines w:val="0"/>
        <w:pageBreakBefore w:val="0"/>
        <w:numPr>
          <w:ilvl w:val="0"/>
          <w:numId w:val="0"/>
        </w:numPr>
        <w:tabs>
          <w:tab w:val="left" w:pos="1257"/>
        </w:tabs>
        <w:kinsoku/>
        <w:wordWrap/>
        <w:overflowPunct/>
        <w:topLinePunct w:val="0"/>
        <w:autoSpaceDE w:val="0"/>
        <w:autoSpaceDN w:val="0"/>
        <w:bidi w:val="0"/>
        <w:adjustRightInd/>
        <w:snapToGrid/>
        <w:spacing w:before="0" w:after="0" w:line="460" w:lineRule="exact"/>
        <w:ind w:left="0" w:leftChars="0" w:right="0" w:rightChars="0" w:firstLine="480" w:firstLineChars="200"/>
        <w:jc w:val="both"/>
        <w:textAlignment w:val="auto"/>
        <w:rPr>
          <w:rFonts w:hint="eastAsia" w:ascii="宋体" w:hAnsi="宋体" w:eastAsia="宋体" w:cs="宋体"/>
          <w:spacing w:val="0"/>
          <w:w w:val="100"/>
          <w:sz w:val="24"/>
          <w:szCs w:val="24"/>
          <w:highlight w:val="none"/>
          <w:u w:val="none"/>
          <w:lang w:eastAsia="zh-CN"/>
        </w:rPr>
      </w:pPr>
      <w:r>
        <w:rPr>
          <w:rFonts w:hint="eastAsia" w:ascii="宋体" w:hAnsi="宋体" w:eastAsia="宋体" w:cs="宋体"/>
          <w:spacing w:val="0"/>
          <w:w w:val="100"/>
          <w:sz w:val="24"/>
          <w:szCs w:val="24"/>
          <w:highlight w:val="none"/>
          <w:u w:val="none"/>
          <w:lang w:val="en-US" w:eastAsia="zh-CN"/>
        </w:rPr>
        <w:t>5、</w:t>
      </w:r>
      <w:r>
        <w:rPr>
          <w:rFonts w:hint="eastAsia" w:ascii="宋体" w:hAnsi="宋体" w:eastAsia="宋体" w:cs="宋体"/>
          <w:spacing w:val="0"/>
          <w:w w:val="100"/>
          <w:sz w:val="24"/>
          <w:szCs w:val="24"/>
          <w:highlight w:val="none"/>
          <w:u w:val="none"/>
        </w:rPr>
        <w:t>其它需要取消推荐免试资格的情况</w:t>
      </w:r>
      <w:r>
        <w:rPr>
          <w:rFonts w:hint="eastAsia" w:cs="宋体"/>
          <w:spacing w:val="0"/>
          <w:w w:val="100"/>
          <w:sz w:val="24"/>
          <w:szCs w:val="24"/>
          <w:highlight w:val="none"/>
          <w:u w:val="none"/>
          <w:lang w:eastAsia="zh-CN"/>
        </w:rPr>
        <w:t>；</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2" w:firstLineChars="200"/>
        <w:jc w:val="both"/>
        <w:textAlignment w:val="auto"/>
        <w:rPr>
          <w:rFonts w:hint="eastAsia" w:ascii="宋体" w:hAnsi="宋体" w:eastAsia="宋体" w:cs="宋体"/>
          <w:spacing w:val="0"/>
          <w:w w:val="100"/>
          <w:sz w:val="24"/>
          <w:szCs w:val="24"/>
          <w:highlight w:val="none"/>
          <w:u w:val="none"/>
          <w:lang w:eastAsia="zh-CN"/>
        </w:rPr>
      </w:pPr>
      <w:r>
        <w:rPr>
          <w:rFonts w:hint="eastAsia" w:ascii="宋体" w:hAnsi="宋体" w:eastAsia="宋体" w:cs="宋体"/>
          <w:spacing w:val="0"/>
          <w:w w:val="100"/>
          <w:sz w:val="24"/>
          <w:szCs w:val="24"/>
          <w:highlight w:val="none"/>
          <w:u w:val="none"/>
        </w:rPr>
        <w:t>六、</w:t>
      </w:r>
      <w:r>
        <w:rPr>
          <w:rFonts w:hint="eastAsia" w:ascii="宋体" w:hAnsi="宋体" w:eastAsia="宋体" w:cs="宋体"/>
          <w:spacing w:val="0"/>
          <w:w w:val="100"/>
          <w:sz w:val="24"/>
          <w:szCs w:val="24"/>
          <w:highlight w:val="none"/>
          <w:u w:val="none"/>
          <w:lang w:eastAsia="zh-CN"/>
        </w:rPr>
        <w:t>附则</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zh-CN" w:eastAsia="zh-CN" w:bidi="zh-CN"/>
        </w:rPr>
        <w:t>（一）</w:t>
      </w:r>
      <w:r>
        <w:rPr>
          <w:rFonts w:hint="eastAsia" w:ascii="宋体" w:hAnsi="宋体" w:eastAsia="宋体" w:cs="宋体"/>
          <w:b w:val="0"/>
          <w:bCs w:val="0"/>
          <w:spacing w:val="0"/>
          <w:w w:val="100"/>
          <w:sz w:val="24"/>
          <w:szCs w:val="24"/>
          <w:highlight w:val="none"/>
          <w:u w:val="none"/>
          <w:lang w:val="en-US" w:eastAsia="zh-CN" w:bidi="zh-CN"/>
        </w:rPr>
        <w:t>高校中外学分互认联合培养项目班（行政管理专业）的推免办法另行制定。</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（二）</w:t>
      </w:r>
      <w:r>
        <w:rPr>
          <w:rFonts w:hint="eastAsia" w:ascii="宋体" w:hAnsi="宋体" w:eastAsia="宋体" w:cs="宋体"/>
          <w:b w:val="0"/>
          <w:bCs w:val="0"/>
          <w:spacing w:val="0"/>
          <w:w w:val="100"/>
          <w:sz w:val="24"/>
          <w:szCs w:val="24"/>
          <w:highlight w:val="none"/>
          <w:u w:val="none"/>
          <w:lang w:val="zh-CN" w:eastAsia="zh-CN" w:bidi="zh-CN"/>
        </w:rPr>
        <w:t>本办法实施过程中，如遇教育部、学校等上级有关政策调整，以上级有关政策为准。</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highlight w:val="none"/>
          <w:u w:val="none"/>
          <w:lang w:val="en-US" w:eastAsia="zh-CN"/>
        </w:rPr>
      </w:pPr>
      <w:r>
        <w:rPr>
          <w:rFonts w:hint="eastAsia" w:ascii="宋体" w:hAnsi="宋体" w:eastAsia="宋体" w:cs="宋体"/>
          <w:b w:val="0"/>
          <w:bCs w:val="0"/>
          <w:color w:val="000000"/>
          <w:kern w:val="0"/>
          <w:sz w:val="24"/>
          <w:szCs w:val="24"/>
          <w:highlight w:val="none"/>
          <w:u w:val="none"/>
          <w:lang w:val="en-US" w:eastAsia="zh-CN" w:bidi="zh-CN"/>
        </w:rPr>
        <w:t>（三）</w:t>
      </w:r>
      <w:r>
        <w:rPr>
          <w:rFonts w:hint="eastAsia" w:ascii="宋体" w:hAnsi="宋体" w:eastAsia="宋体" w:cs="宋体"/>
          <w:b w:val="0"/>
          <w:bCs w:val="0"/>
          <w:spacing w:val="0"/>
          <w:w w:val="100"/>
          <w:sz w:val="24"/>
          <w:szCs w:val="24"/>
          <w:highlight w:val="none"/>
          <w:u w:val="none"/>
          <w:lang w:val="zh-CN" w:eastAsia="zh-CN" w:bidi="zh-CN"/>
        </w:rPr>
        <w:t>未尽事宜由院推免工作领导小组议决</w:t>
      </w:r>
      <w:r>
        <w:rPr>
          <w:rFonts w:hint="eastAsia" w:ascii="宋体" w:hAnsi="宋体" w:eastAsia="宋体" w:cs="宋体"/>
          <w:b w:val="0"/>
          <w:bCs w:val="0"/>
          <w:color w:val="000000"/>
          <w:kern w:val="0"/>
          <w:sz w:val="24"/>
          <w:szCs w:val="24"/>
          <w:highlight w:val="none"/>
          <w:u w:val="none"/>
          <w:lang w:val="zh-CN" w:eastAsia="zh-CN" w:bidi="zh-CN"/>
        </w:rPr>
        <w:t>。</w:t>
      </w:r>
    </w:p>
    <w:p>
      <w:pPr>
        <w:pStyle w:val="3"/>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480" w:firstLineChars="200"/>
        <w:jc w:val="both"/>
        <w:textAlignment w:val="auto"/>
        <w:rPr>
          <w:rFonts w:hint="eastAsia" w:ascii="宋体" w:hAnsi="宋体" w:eastAsia="宋体" w:cs="宋体"/>
          <w:b w:val="0"/>
          <w:bCs w:val="0"/>
          <w:spacing w:val="0"/>
          <w:w w:val="100"/>
          <w:sz w:val="24"/>
          <w:szCs w:val="24"/>
          <w:highlight w:val="none"/>
          <w:u w:val="none"/>
          <w:lang w:val="en-US" w:eastAsia="zh-CN" w:bidi="zh-CN"/>
        </w:rPr>
      </w:pPr>
      <w:r>
        <w:rPr>
          <w:rFonts w:hint="eastAsia" w:ascii="宋体" w:hAnsi="宋体" w:eastAsia="宋体" w:cs="宋体"/>
          <w:b w:val="0"/>
          <w:bCs w:val="0"/>
          <w:spacing w:val="0"/>
          <w:w w:val="100"/>
          <w:sz w:val="24"/>
          <w:szCs w:val="24"/>
          <w:highlight w:val="none"/>
          <w:u w:val="none"/>
          <w:lang w:val="en-US" w:eastAsia="zh-CN" w:bidi="zh-CN"/>
        </w:rPr>
        <w:t>（四）本实施办法从2020年入校的学生开始实施，由院推免工作领导小组负责解释。</w:t>
      </w:r>
    </w:p>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6000" w:firstLineChars="2500"/>
        <w:jc w:val="center"/>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6000" w:firstLineChars="2500"/>
        <w:jc w:val="center"/>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6000" w:firstLineChars="2500"/>
        <w:jc w:val="center"/>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en-US" w:eastAsia="zh-CN"/>
        </w:rPr>
        <w:t>公共管理学院</w:t>
      </w:r>
    </w:p>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before="0" w:after="0" w:line="460" w:lineRule="exact"/>
        <w:ind w:right="0" w:firstLine="6000" w:firstLineChars="2500"/>
        <w:jc w:val="center"/>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en-US" w:eastAsia="zh-CN"/>
        </w:rPr>
        <w:t>202</w:t>
      </w:r>
      <w:r>
        <w:rPr>
          <w:rFonts w:hint="eastAsia" w:cs="宋体"/>
          <w:spacing w:val="0"/>
          <w:w w:val="100"/>
          <w:sz w:val="24"/>
          <w:szCs w:val="24"/>
          <w:highlight w:val="none"/>
          <w:u w:val="none"/>
          <w:lang w:val="en-US" w:eastAsia="zh-CN"/>
        </w:rPr>
        <w:t>3</w:t>
      </w:r>
      <w:r>
        <w:rPr>
          <w:rFonts w:hint="eastAsia" w:ascii="宋体" w:hAnsi="宋体" w:eastAsia="宋体" w:cs="宋体"/>
          <w:spacing w:val="0"/>
          <w:w w:val="100"/>
          <w:sz w:val="24"/>
          <w:szCs w:val="24"/>
          <w:highlight w:val="none"/>
          <w:u w:val="none"/>
          <w:lang w:val="en-US" w:eastAsia="zh-CN"/>
        </w:rPr>
        <w:t>年</w:t>
      </w:r>
      <w:r>
        <w:rPr>
          <w:rFonts w:hint="eastAsia" w:cs="宋体"/>
          <w:spacing w:val="0"/>
          <w:w w:val="100"/>
          <w:sz w:val="24"/>
          <w:szCs w:val="24"/>
          <w:highlight w:val="none"/>
          <w:u w:val="none"/>
          <w:lang w:val="en-US" w:eastAsia="zh-CN"/>
        </w:rPr>
        <w:t xml:space="preserve"> 12 </w:t>
      </w:r>
      <w:r>
        <w:rPr>
          <w:rFonts w:hint="eastAsia" w:ascii="宋体" w:hAnsi="宋体" w:eastAsia="宋体" w:cs="宋体"/>
          <w:spacing w:val="0"/>
          <w:w w:val="100"/>
          <w:sz w:val="24"/>
          <w:szCs w:val="24"/>
          <w:highlight w:val="none"/>
          <w:u w:val="none"/>
          <w:lang w:val="en-US" w:eastAsia="zh-CN"/>
        </w:rPr>
        <w:t>月</w:t>
      </w:r>
      <w:r>
        <w:rPr>
          <w:rFonts w:hint="eastAsia" w:cs="宋体"/>
          <w:spacing w:val="0"/>
          <w:w w:val="100"/>
          <w:sz w:val="24"/>
          <w:szCs w:val="24"/>
          <w:highlight w:val="none"/>
          <w:u w:val="none"/>
          <w:lang w:val="en-US" w:eastAsia="zh-CN"/>
        </w:rPr>
        <w:t xml:space="preserve"> 27 </w:t>
      </w:r>
      <w:r>
        <w:rPr>
          <w:rFonts w:hint="eastAsia" w:ascii="宋体" w:hAnsi="宋体" w:eastAsia="宋体" w:cs="宋体"/>
          <w:spacing w:val="0"/>
          <w:w w:val="100"/>
          <w:sz w:val="24"/>
          <w:szCs w:val="24"/>
          <w:highlight w:val="none"/>
          <w:u w:val="none"/>
          <w:lang w:val="en-US" w:eastAsia="zh-CN"/>
        </w:rPr>
        <w:t>日</w:t>
      </w:r>
    </w:p>
    <w:p>
      <w:pPr>
        <w:keepNext w:val="0"/>
        <w:keepLines w:val="0"/>
        <w:pageBreakBefore w:val="0"/>
        <w:kinsoku/>
        <w:wordWrap/>
        <w:overflowPunct/>
        <w:topLinePunct w:val="0"/>
        <w:autoSpaceDE w:val="0"/>
        <w:autoSpaceDN w:val="0"/>
        <w:bidi w:val="0"/>
        <w:adjustRightInd/>
        <w:snapToGrid/>
        <w:spacing w:before="0" w:after="0" w:line="460" w:lineRule="exact"/>
        <w:ind w:right="0"/>
        <w:jc w:val="both"/>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before="0" w:after="0" w:line="460" w:lineRule="exact"/>
        <w:ind w:right="0"/>
        <w:jc w:val="both"/>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before="0" w:after="0" w:line="460" w:lineRule="exact"/>
        <w:ind w:right="0"/>
        <w:jc w:val="both"/>
        <w:textAlignment w:val="auto"/>
        <w:rPr>
          <w:rFonts w:hint="eastAsia" w:ascii="宋体" w:hAnsi="宋体" w:eastAsia="宋体" w:cs="宋体"/>
          <w:spacing w:val="0"/>
          <w:w w:val="100"/>
          <w:sz w:val="24"/>
          <w:szCs w:val="24"/>
          <w:highlight w:val="none"/>
          <w:u w:val="none"/>
          <w:lang w:val="zh-CN" w:eastAsia="zh-CN"/>
        </w:rPr>
      </w:pPr>
      <w:r>
        <w:rPr>
          <w:rFonts w:hint="eastAsia" w:ascii="宋体" w:hAnsi="宋体" w:eastAsia="宋体" w:cs="宋体"/>
          <w:spacing w:val="0"/>
          <w:w w:val="100"/>
          <w:sz w:val="24"/>
          <w:szCs w:val="24"/>
          <w:highlight w:val="none"/>
          <w:u w:val="none"/>
          <w:lang w:val="en-US" w:eastAsia="zh-CN"/>
        </w:rPr>
        <w:t xml:space="preserve">附件1  </w:t>
      </w:r>
      <w:r>
        <w:rPr>
          <w:rFonts w:hint="eastAsia" w:ascii="宋体" w:hAnsi="宋体" w:eastAsia="宋体" w:cs="宋体"/>
          <w:spacing w:val="0"/>
          <w:w w:val="100"/>
          <w:sz w:val="24"/>
          <w:szCs w:val="24"/>
          <w:highlight w:val="none"/>
          <w:u w:val="none"/>
          <w:lang w:val="zh-CN" w:eastAsia="zh-CN"/>
        </w:rPr>
        <w:t>公共管理学院推免实施</w:t>
      </w:r>
      <w:r>
        <w:rPr>
          <w:rFonts w:hint="eastAsia" w:ascii="宋体" w:hAnsi="宋体" w:eastAsia="宋体" w:cs="宋体"/>
          <w:spacing w:val="0"/>
          <w:w w:val="100"/>
          <w:sz w:val="24"/>
          <w:szCs w:val="24"/>
          <w:highlight w:val="none"/>
          <w:u w:val="none"/>
          <w:lang w:val="en-US" w:eastAsia="zh-CN"/>
        </w:rPr>
        <w:t>办法</w:t>
      </w:r>
      <w:r>
        <w:rPr>
          <w:rFonts w:hint="eastAsia" w:ascii="宋体" w:hAnsi="宋体" w:eastAsia="宋体" w:cs="宋体"/>
          <w:spacing w:val="0"/>
          <w:w w:val="100"/>
          <w:sz w:val="24"/>
          <w:szCs w:val="24"/>
          <w:highlight w:val="none"/>
          <w:u w:val="none"/>
          <w:lang w:val="zh-CN" w:eastAsia="zh-CN"/>
        </w:rPr>
        <w:t>的</w:t>
      </w:r>
      <w:r>
        <w:rPr>
          <w:rFonts w:hint="eastAsia" w:ascii="宋体" w:hAnsi="宋体" w:eastAsia="宋体" w:cs="宋体"/>
          <w:spacing w:val="0"/>
          <w:w w:val="100"/>
          <w:sz w:val="24"/>
          <w:szCs w:val="24"/>
          <w:highlight w:val="none"/>
          <w:u w:val="none"/>
          <w:lang w:val="en-US" w:eastAsia="zh-CN"/>
        </w:rPr>
        <w:t>相关</w:t>
      </w:r>
      <w:r>
        <w:rPr>
          <w:rFonts w:hint="eastAsia" w:ascii="宋体" w:hAnsi="宋体" w:eastAsia="宋体" w:cs="宋体"/>
          <w:spacing w:val="0"/>
          <w:w w:val="100"/>
          <w:sz w:val="24"/>
          <w:szCs w:val="24"/>
          <w:highlight w:val="none"/>
          <w:u w:val="none"/>
          <w:lang w:val="zh-CN" w:eastAsia="zh-CN"/>
        </w:rPr>
        <w:t>解释</w:t>
      </w:r>
    </w:p>
    <w:p>
      <w:pPr>
        <w:keepNext w:val="0"/>
        <w:keepLines w:val="0"/>
        <w:pageBreakBefore w:val="0"/>
        <w:kinsoku/>
        <w:wordWrap/>
        <w:overflowPunct/>
        <w:topLinePunct w:val="0"/>
        <w:autoSpaceDE w:val="0"/>
        <w:autoSpaceDN w:val="0"/>
        <w:bidi w:val="0"/>
        <w:adjustRightInd/>
        <w:snapToGrid/>
        <w:spacing w:before="0" w:after="0" w:line="460" w:lineRule="exact"/>
        <w:ind w:right="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zh-CN" w:eastAsia="zh-CN"/>
        </w:rPr>
        <w:t>附件</w:t>
      </w:r>
      <w:r>
        <w:rPr>
          <w:rFonts w:hint="eastAsia" w:ascii="宋体" w:hAnsi="宋体" w:eastAsia="宋体" w:cs="宋体"/>
          <w:spacing w:val="0"/>
          <w:w w:val="100"/>
          <w:sz w:val="24"/>
          <w:szCs w:val="24"/>
          <w:highlight w:val="none"/>
          <w:u w:val="none"/>
          <w:lang w:val="en-US" w:eastAsia="zh-CN"/>
        </w:rPr>
        <w:t>2  科研和实践创新能力评价计分办法</w:t>
      </w:r>
    </w:p>
    <w:p>
      <w:pPr>
        <w:keepNext w:val="0"/>
        <w:keepLines w:val="0"/>
        <w:pageBreakBefore w:val="0"/>
        <w:kinsoku/>
        <w:wordWrap/>
        <w:overflowPunct/>
        <w:topLinePunct w:val="0"/>
        <w:autoSpaceDE w:val="0"/>
        <w:autoSpaceDN w:val="0"/>
        <w:bidi w:val="0"/>
        <w:adjustRightInd/>
        <w:snapToGrid/>
        <w:spacing w:before="0" w:after="0" w:line="460" w:lineRule="exact"/>
        <w:ind w:right="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en-US" w:eastAsia="zh-CN"/>
        </w:rPr>
        <w:t>附件3  各专业培养方案规定的前三年修读课程</w:t>
      </w:r>
      <w:r>
        <w:rPr>
          <w:rFonts w:hint="eastAsia" w:cs="宋体"/>
          <w:spacing w:val="0"/>
          <w:w w:val="100"/>
          <w:sz w:val="24"/>
          <w:szCs w:val="24"/>
          <w:highlight w:val="none"/>
          <w:u w:val="none"/>
          <w:lang w:val="en-US" w:eastAsia="zh-CN"/>
        </w:rPr>
        <w:t>清单</w:t>
      </w:r>
    </w:p>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6240" w:firstLineChars="2600"/>
        <w:jc w:val="both"/>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firstLine="6240" w:firstLineChars="2600"/>
        <w:jc w:val="both"/>
        <w:textAlignment w:val="auto"/>
        <w:rPr>
          <w:rFonts w:hint="eastAsia" w:ascii="宋体" w:hAnsi="宋体" w:eastAsia="宋体" w:cs="宋体"/>
          <w:spacing w:val="0"/>
          <w:w w:val="10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bCs/>
          <w:spacing w:val="0"/>
          <w:sz w:val="28"/>
          <w:szCs w:val="28"/>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bCs/>
          <w:spacing w:val="0"/>
          <w:sz w:val="28"/>
          <w:szCs w:val="28"/>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bCs/>
          <w:spacing w:val="0"/>
          <w:sz w:val="28"/>
          <w:szCs w:val="28"/>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bCs/>
          <w:spacing w:val="0"/>
          <w:sz w:val="28"/>
          <w:szCs w:val="28"/>
          <w:highlight w:val="none"/>
          <w:u w:val="none"/>
          <w:lang w:val="zh-CN"/>
        </w:rPr>
      </w:pPr>
      <w:r>
        <w:rPr>
          <w:rFonts w:hint="eastAsia" w:ascii="宋体" w:hAnsi="宋体" w:eastAsia="宋体" w:cs="宋体"/>
          <w:b/>
          <w:bCs/>
          <w:spacing w:val="0"/>
          <w:sz w:val="28"/>
          <w:szCs w:val="28"/>
          <w:highlight w:val="none"/>
          <w:u w:val="none"/>
          <w:lang w:val="en-US" w:eastAsia="zh-CN"/>
        </w:rPr>
        <w:t xml:space="preserve">附件1  </w:t>
      </w:r>
      <w:r>
        <w:rPr>
          <w:rFonts w:hint="eastAsia" w:ascii="宋体" w:hAnsi="宋体" w:eastAsia="宋体" w:cs="宋体"/>
          <w:b/>
          <w:bCs/>
          <w:spacing w:val="0"/>
          <w:sz w:val="28"/>
          <w:szCs w:val="28"/>
          <w:highlight w:val="none"/>
          <w:u w:val="none"/>
          <w:lang w:val="zh-CN"/>
        </w:rPr>
        <w:t>公共管理学院推免实施</w:t>
      </w:r>
      <w:r>
        <w:rPr>
          <w:rFonts w:hint="eastAsia" w:ascii="宋体" w:hAnsi="宋体" w:eastAsia="宋体" w:cs="宋体"/>
          <w:b/>
          <w:bCs/>
          <w:spacing w:val="0"/>
          <w:sz w:val="28"/>
          <w:szCs w:val="28"/>
          <w:highlight w:val="none"/>
          <w:u w:val="none"/>
          <w:lang w:val="en-US" w:eastAsia="zh-CN"/>
        </w:rPr>
        <w:t>办法</w:t>
      </w:r>
      <w:r>
        <w:rPr>
          <w:rFonts w:hint="eastAsia" w:ascii="宋体" w:hAnsi="宋体" w:eastAsia="宋体" w:cs="宋体"/>
          <w:b/>
          <w:bCs/>
          <w:spacing w:val="0"/>
          <w:sz w:val="28"/>
          <w:szCs w:val="28"/>
          <w:highlight w:val="none"/>
          <w:u w:val="none"/>
          <w:lang w:val="zh-CN"/>
        </w:rPr>
        <w:t>的</w:t>
      </w:r>
      <w:r>
        <w:rPr>
          <w:rFonts w:hint="eastAsia" w:ascii="宋体" w:hAnsi="宋体" w:eastAsia="宋体" w:cs="宋体"/>
          <w:b/>
          <w:bCs/>
          <w:spacing w:val="0"/>
          <w:sz w:val="28"/>
          <w:szCs w:val="28"/>
          <w:highlight w:val="none"/>
          <w:u w:val="none"/>
          <w:lang w:val="en-US" w:eastAsia="zh-CN"/>
        </w:rPr>
        <w:t>相关</w:t>
      </w:r>
      <w:r>
        <w:rPr>
          <w:rFonts w:hint="eastAsia" w:ascii="宋体" w:hAnsi="宋体" w:eastAsia="宋体" w:cs="宋体"/>
          <w:b/>
          <w:bCs/>
          <w:spacing w:val="0"/>
          <w:sz w:val="28"/>
          <w:szCs w:val="28"/>
          <w:highlight w:val="none"/>
          <w:u w:val="none"/>
          <w:lang w:val="zh-CN"/>
        </w:rPr>
        <w:t>解释</w:t>
      </w:r>
    </w:p>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bCs/>
          <w:spacing w:val="0"/>
          <w:sz w:val="24"/>
          <w:szCs w:val="24"/>
          <w:highlight w:val="none"/>
          <w:u w:val="none"/>
          <w:lang w:val="en-US" w:eastAsia="zh-CN"/>
        </w:rPr>
      </w:pPr>
    </w:p>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bCs/>
          <w:spacing w:val="0"/>
          <w:w w:val="100"/>
          <w:sz w:val="24"/>
          <w:szCs w:val="24"/>
          <w:highlight w:val="none"/>
          <w:u w:val="none"/>
        </w:rPr>
      </w:pPr>
      <w:r>
        <w:rPr>
          <w:rFonts w:hint="eastAsia" w:ascii="宋体" w:hAnsi="宋体" w:eastAsia="宋体" w:cs="宋体"/>
          <w:b/>
          <w:bCs/>
          <w:spacing w:val="0"/>
          <w:sz w:val="24"/>
          <w:szCs w:val="24"/>
          <w:highlight w:val="none"/>
          <w:u w:val="none"/>
          <w:lang w:val="en-US" w:eastAsia="zh-CN"/>
        </w:rPr>
        <w:t>一、</w:t>
      </w:r>
      <w:r>
        <w:rPr>
          <w:rFonts w:hint="eastAsia" w:ascii="宋体" w:hAnsi="宋体" w:eastAsia="宋体" w:cs="宋体"/>
          <w:b/>
          <w:bCs/>
          <w:spacing w:val="0"/>
          <w:w w:val="100"/>
          <w:sz w:val="24"/>
          <w:szCs w:val="24"/>
          <w:highlight w:val="none"/>
          <w:u w:val="none"/>
        </w:rPr>
        <w:t>因校外学习等导致培养方案中课程没有修读的处理办法</w:t>
      </w:r>
    </w:p>
    <w:p>
      <w:pPr>
        <w:keepNext w:val="0"/>
        <w:keepLines w:val="0"/>
        <w:pageBreakBefore w:val="0"/>
        <w:kinsoku/>
        <w:wordWrap/>
        <w:overflowPunct/>
        <w:topLinePunct w:val="0"/>
        <w:autoSpaceDE w:val="0"/>
        <w:autoSpaceDN w:val="0"/>
        <w:bidi w:val="0"/>
        <w:adjustRightInd/>
        <w:snapToGrid/>
        <w:spacing w:line="460" w:lineRule="exact"/>
        <w:ind w:firstLine="240" w:firstLineChars="100"/>
        <w:jc w:val="both"/>
        <w:textAlignment w:val="auto"/>
        <w:rPr>
          <w:rFonts w:hint="eastAsia" w:ascii="宋体" w:hAnsi="宋体" w:eastAsia="宋体" w:cs="宋体"/>
          <w:b w:val="0"/>
          <w:bCs w:val="0"/>
          <w:spacing w:val="0"/>
          <w:sz w:val="24"/>
          <w:szCs w:val="24"/>
          <w:highlight w:val="none"/>
          <w:u w:val="none"/>
          <w:lang w:val="zh-CN"/>
        </w:rPr>
      </w:pPr>
      <w:r>
        <w:rPr>
          <w:rFonts w:hint="eastAsia" w:ascii="宋体" w:hAnsi="宋体" w:eastAsia="宋体" w:cs="宋体"/>
          <w:b w:val="0"/>
          <w:bCs w:val="0"/>
          <w:spacing w:val="0"/>
          <w:sz w:val="24"/>
          <w:szCs w:val="24"/>
          <w:highlight w:val="none"/>
          <w:u w:val="none"/>
          <w:lang w:val="en-US" w:eastAsia="zh-CN"/>
        </w:rPr>
        <w:t>（一）</w:t>
      </w:r>
      <w:r>
        <w:rPr>
          <w:rFonts w:hint="eastAsia" w:ascii="宋体" w:hAnsi="宋体" w:eastAsia="宋体" w:cs="宋体"/>
          <w:b w:val="0"/>
          <w:bCs w:val="0"/>
          <w:spacing w:val="0"/>
          <w:sz w:val="24"/>
          <w:szCs w:val="24"/>
          <w:highlight w:val="none"/>
          <w:u w:val="none"/>
          <w:lang w:val="zh-CN"/>
        </w:rPr>
        <w:t>部分学生可能因</w:t>
      </w:r>
      <w:r>
        <w:rPr>
          <w:rFonts w:hint="eastAsia" w:ascii="宋体" w:hAnsi="宋体" w:eastAsia="宋体" w:cs="宋体"/>
          <w:b w:val="0"/>
          <w:bCs w:val="0"/>
          <w:spacing w:val="0"/>
          <w:sz w:val="24"/>
          <w:szCs w:val="24"/>
          <w:highlight w:val="none"/>
          <w:u w:val="none"/>
          <w:lang w:val="en-US" w:eastAsia="zh-CN"/>
        </w:rPr>
        <w:t>为</w:t>
      </w:r>
      <w:r>
        <w:rPr>
          <w:rFonts w:hint="eastAsia" w:ascii="宋体" w:hAnsi="宋体" w:eastAsia="宋体" w:cs="宋体"/>
          <w:b w:val="0"/>
          <w:bCs w:val="0"/>
          <w:spacing w:val="0"/>
          <w:sz w:val="24"/>
          <w:szCs w:val="24"/>
          <w:highlight w:val="none"/>
          <w:u w:val="none"/>
          <w:lang w:val="zh-CN"/>
        </w:rPr>
        <w:t>转专业、国内外访学交流、身体健康等各种因素（</w:t>
      </w:r>
      <w:r>
        <w:rPr>
          <w:rFonts w:hint="eastAsia" w:ascii="宋体" w:hAnsi="宋体" w:eastAsia="宋体" w:cs="宋体"/>
          <w:b w:val="0"/>
          <w:bCs w:val="0"/>
          <w:spacing w:val="0"/>
          <w:sz w:val="24"/>
          <w:szCs w:val="24"/>
          <w:highlight w:val="none"/>
          <w:u w:val="none"/>
          <w:lang w:val="en-US" w:eastAsia="zh-CN"/>
        </w:rPr>
        <w:t>须有规范的手续且经院推免工作领导小组认定</w:t>
      </w:r>
      <w:r>
        <w:rPr>
          <w:rFonts w:hint="eastAsia" w:ascii="宋体" w:hAnsi="宋体" w:eastAsia="宋体" w:cs="宋体"/>
          <w:b w:val="0"/>
          <w:bCs w:val="0"/>
          <w:spacing w:val="0"/>
          <w:sz w:val="24"/>
          <w:szCs w:val="24"/>
          <w:highlight w:val="none"/>
          <w:u w:val="none"/>
          <w:lang w:val="zh-CN"/>
        </w:rPr>
        <w:t>），未能按</w:t>
      </w:r>
      <w:r>
        <w:rPr>
          <w:rFonts w:hint="eastAsia" w:ascii="宋体" w:hAnsi="宋体" w:eastAsia="宋体" w:cs="宋体"/>
          <w:b w:val="0"/>
          <w:bCs w:val="0"/>
          <w:spacing w:val="0"/>
          <w:sz w:val="24"/>
          <w:szCs w:val="24"/>
          <w:highlight w:val="none"/>
          <w:u w:val="none"/>
          <w:lang w:val="en-US" w:eastAsia="zh-CN"/>
        </w:rPr>
        <w:t>相应专业培养方案前三年的培养</w:t>
      </w:r>
      <w:r>
        <w:rPr>
          <w:rFonts w:hint="eastAsia" w:ascii="宋体" w:hAnsi="宋体" w:eastAsia="宋体" w:cs="宋体"/>
          <w:b w:val="0"/>
          <w:bCs w:val="0"/>
          <w:spacing w:val="0"/>
          <w:sz w:val="24"/>
          <w:szCs w:val="24"/>
          <w:highlight w:val="none"/>
          <w:u w:val="none"/>
          <w:lang w:val="zh-CN"/>
        </w:rPr>
        <w:t>计划，</w:t>
      </w:r>
      <w:r>
        <w:rPr>
          <w:rFonts w:hint="eastAsia" w:ascii="宋体" w:hAnsi="宋体" w:eastAsia="宋体" w:cs="宋体"/>
          <w:b w:val="0"/>
          <w:bCs w:val="0"/>
          <w:spacing w:val="0"/>
          <w:sz w:val="24"/>
          <w:szCs w:val="24"/>
          <w:highlight w:val="none"/>
          <w:u w:val="none"/>
          <w:lang w:val="en-US" w:eastAsia="zh-CN"/>
        </w:rPr>
        <w:t>在</w:t>
      </w:r>
      <w:r>
        <w:rPr>
          <w:rFonts w:hint="eastAsia" w:ascii="宋体" w:hAnsi="宋体" w:eastAsia="宋体" w:cs="宋体"/>
          <w:b w:val="0"/>
          <w:bCs w:val="0"/>
          <w:color w:val="auto"/>
          <w:spacing w:val="0"/>
          <w:sz w:val="24"/>
          <w:szCs w:val="24"/>
          <w:highlight w:val="none"/>
          <w:u w:val="none"/>
          <w:lang w:val="en-US" w:eastAsia="zh-CN"/>
        </w:rPr>
        <w:t>学科</w:t>
      </w:r>
      <w:r>
        <w:rPr>
          <w:rFonts w:hint="eastAsia" w:ascii="宋体" w:hAnsi="宋体" w:eastAsia="宋体" w:cs="宋体"/>
          <w:b w:val="0"/>
          <w:bCs w:val="0"/>
          <w:spacing w:val="0"/>
          <w:sz w:val="24"/>
          <w:szCs w:val="24"/>
          <w:highlight w:val="none"/>
          <w:u w:val="none"/>
          <w:lang w:val="en-US" w:eastAsia="zh-CN"/>
        </w:rPr>
        <w:t>基础课程、专业主干课程、通识教育课程及自主发展课程四大类型的课程中</w:t>
      </w:r>
      <w:r>
        <w:rPr>
          <w:rFonts w:hint="eastAsia" w:ascii="宋体" w:hAnsi="宋体" w:eastAsia="宋体" w:cs="宋体"/>
          <w:b w:val="0"/>
          <w:bCs w:val="0"/>
          <w:spacing w:val="0"/>
          <w:sz w:val="24"/>
          <w:szCs w:val="24"/>
          <w:highlight w:val="none"/>
          <w:u w:val="none"/>
          <w:lang w:val="zh-CN"/>
        </w:rPr>
        <w:t>修读足够门数，拟</w:t>
      </w:r>
      <w:r>
        <w:rPr>
          <w:rFonts w:hint="eastAsia" w:ascii="宋体" w:hAnsi="宋体" w:eastAsia="宋体" w:cs="宋体"/>
          <w:b w:val="0"/>
          <w:bCs w:val="0"/>
          <w:spacing w:val="0"/>
          <w:sz w:val="24"/>
          <w:szCs w:val="24"/>
          <w:highlight w:val="none"/>
          <w:u w:val="none"/>
          <w:lang w:val="en-US" w:eastAsia="zh-CN"/>
        </w:rPr>
        <w:t>做如下规定</w:t>
      </w:r>
      <w:r>
        <w:rPr>
          <w:rFonts w:hint="eastAsia" w:ascii="宋体" w:hAnsi="宋体" w:eastAsia="宋体" w:cs="宋体"/>
          <w:b w:val="0"/>
          <w:bCs w:val="0"/>
          <w:spacing w:val="0"/>
          <w:sz w:val="24"/>
          <w:szCs w:val="24"/>
          <w:highlight w:val="none"/>
          <w:u w:val="none"/>
          <w:lang w:val="zh-CN"/>
        </w:rPr>
        <w:t>：</w:t>
      </w:r>
    </w:p>
    <w:p>
      <w:pPr>
        <w:keepNext w:val="0"/>
        <w:keepLines w:val="0"/>
        <w:pageBreakBefore w:val="0"/>
        <w:kinsoku/>
        <w:wordWrap/>
        <w:overflowPunct/>
        <w:topLinePunct w:val="0"/>
        <w:autoSpaceDE w:val="0"/>
        <w:autoSpaceDN w:val="0"/>
        <w:bidi w:val="0"/>
        <w:adjustRightInd/>
        <w:snapToGrid/>
        <w:spacing w:line="460" w:lineRule="exact"/>
        <w:ind w:firstLine="480" w:firstLineChars="200"/>
        <w:jc w:val="both"/>
        <w:textAlignment w:val="auto"/>
        <w:rPr>
          <w:rFonts w:hint="eastAsia" w:ascii="宋体" w:hAnsi="宋体" w:eastAsia="宋体" w:cs="宋体"/>
          <w:b w:val="0"/>
          <w:bCs w:val="0"/>
          <w:spacing w:val="0"/>
          <w:sz w:val="24"/>
          <w:szCs w:val="24"/>
          <w:highlight w:val="none"/>
          <w:u w:val="none"/>
          <w:lang w:val="zh-CN" w:eastAsia="zh-CN"/>
        </w:rPr>
      </w:pPr>
      <w:r>
        <w:rPr>
          <w:rFonts w:hint="eastAsia" w:ascii="宋体" w:hAnsi="宋体" w:eastAsia="宋体" w:cs="宋体"/>
          <w:b w:val="0"/>
          <w:bCs w:val="0"/>
          <w:spacing w:val="0"/>
          <w:sz w:val="24"/>
          <w:szCs w:val="24"/>
          <w:highlight w:val="none"/>
          <w:u w:val="none"/>
          <w:lang w:val="en-US" w:eastAsia="zh-CN"/>
        </w:rPr>
        <w:t>1.前三年学科基础课程、专业主干课程，</w:t>
      </w:r>
      <w:r>
        <w:rPr>
          <w:rFonts w:hint="eastAsia" w:ascii="宋体" w:hAnsi="宋体" w:eastAsia="宋体" w:cs="宋体"/>
          <w:b w:val="0"/>
          <w:bCs w:val="0"/>
          <w:spacing w:val="0"/>
          <w:sz w:val="24"/>
          <w:szCs w:val="24"/>
          <w:highlight w:val="none"/>
          <w:u w:val="none"/>
          <w:lang w:val="zh-CN" w:eastAsia="zh-CN"/>
        </w:rPr>
        <w:t>如缺修3门及以上，不论何种原因，不能获取推免资格；</w:t>
      </w:r>
    </w:p>
    <w:p>
      <w:pPr>
        <w:keepNext w:val="0"/>
        <w:keepLines w:val="0"/>
        <w:pageBreakBefore w:val="0"/>
        <w:kinsoku/>
        <w:wordWrap/>
        <w:overflowPunct/>
        <w:topLinePunct w:val="0"/>
        <w:autoSpaceDE w:val="0"/>
        <w:autoSpaceDN w:val="0"/>
        <w:bidi w:val="0"/>
        <w:adjustRightInd/>
        <w:snapToGrid/>
        <w:spacing w:line="460" w:lineRule="exact"/>
        <w:ind w:firstLine="480" w:firstLineChars="200"/>
        <w:jc w:val="both"/>
        <w:textAlignment w:val="auto"/>
        <w:rPr>
          <w:rFonts w:hint="eastAsia" w:ascii="宋体" w:hAnsi="宋体" w:eastAsia="宋体" w:cs="宋体"/>
          <w:b w:val="0"/>
          <w:bCs w:val="0"/>
          <w:spacing w:val="0"/>
          <w:sz w:val="24"/>
          <w:szCs w:val="24"/>
          <w:highlight w:val="none"/>
          <w:u w:val="none"/>
          <w:lang w:val="zh-CN" w:eastAsia="zh-CN"/>
        </w:rPr>
      </w:pPr>
      <w:r>
        <w:rPr>
          <w:rFonts w:hint="eastAsia" w:ascii="宋体" w:hAnsi="宋体" w:eastAsia="宋体" w:cs="宋体"/>
          <w:b w:val="0"/>
          <w:bCs w:val="0"/>
          <w:spacing w:val="0"/>
          <w:sz w:val="24"/>
          <w:szCs w:val="24"/>
          <w:highlight w:val="none"/>
          <w:u w:val="none"/>
          <w:lang w:val="en-US" w:eastAsia="zh-CN"/>
        </w:rPr>
        <w:t>2.前三年的通识教育课程的非博雅部分课程，</w:t>
      </w:r>
      <w:r>
        <w:rPr>
          <w:rFonts w:hint="eastAsia" w:ascii="宋体" w:hAnsi="宋体" w:eastAsia="宋体" w:cs="宋体"/>
          <w:b w:val="0"/>
          <w:bCs w:val="0"/>
          <w:spacing w:val="0"/>
          <w:sz w:val="24"/>
          <w:szCs w:val="24"/>
          <w:highlight w:val="none"/>
          <w:u w:val="none"/>
          <w:lang w:val="zh-CN" w:eastAsia="zh-CN"/>
        </w:rPr>
        <w:t>如缺修</w:t>
      </w:r>
      <w:r>
        <w:rPr>
          <w:rFonts w:hint="eastAsia" w:ascii="宋体" w:hAnsi="宋体" w:eastAsia="宋体" w:cs="宋体"/>
          <w:b w:val="0"/>
          <w:bCs w:val="0"/>
          <w:spacing w:val="0"/>
          <w:sz w:val="24"/>
          <w:szCs w:val="24"/>
          <w:highlight w:val="none"/>
          <w:u w:val="none"/>
          <w:lang w:val="en-US" w:eastAsia="zh-CN"/>
        </w:rPr>
        <w:t>2</w:t>
      </w:r>
      <w:r>
        <w:rPr>
          <w:rFonts w:hint="eastAsia" w:ascii="宋体" w:hAnsi="宋体" w:eastAsia="宋体" w:cs="宋体"/>
          <w:b w:val="0"/>
          <w:bCs w:val="0"/>
          <w:spacing w:val="0"/>
          <w:sz w:val="24"/>
          <w:szCs w:val="24"/>
          <w:highlight w:val="none"/>
          <w:u w:val="none"/>
          <w:lang w:val="zh-CN" w:eastAsia="zh-CN"/>
        </w:rPr>
        <w:t>门及以上，不论何种原因，不能获取推免资格；</w:t>
      </w:r>
    </w:p>
    <w:p>
      <w:pPr>
        <w:keepNext w:val="0"/>
        <w:keepLines w:val="0"/>
        <w:pageBreakBefore w:val="0"/>
        <w:kinsoku/>
        <w:wordWrap/>
        <w:overflowPunct/>
        <w:topLinePunct w:val="0"/>
        <w:autoSpaceDE w:val="0"/>
        <w:autoSpaceDN w:val="0"/>
        <w:bidi w:val="0"/>
        <w:adjustRightInd/>
        <w:snapToGrid/>
        <w:spacing w:line="460" w:lineRule="exact"/>
        <w:ind w:firstLine="480" w:firstLineChars="200"/>
        <w:jc w:val="both"/>
        <w:textAlignment w:val="auto"/>
        <w:rPr>
          <w:rFonts w:hint="eastAsia" w:ascii="宋体" w:hAnsi="宋体" w:eastAsia="宋体" w:cs="宋体"/>
          <w:b w:val="0"/>
          <w:bCs w:val="0"/>
          <w:spacing w:val="0"/>
          <w:sz w:val="24"/>
          <w:szCs w:val="24"/>
          <w:highlight w:val="none"/>
          <w:u w:val="single"/>
          <w:lang w:val="en-US" w:eastAsia="zh-CN"/>
        </w:rPr>
      </w:pPr>
      <w:r>
        <w:rPr>
          <w:rFonts w:hint="eastAsia" w:ascii="宋体" w:hAnsi="宋体" w:eastAsia="宋体" w:cs="宋体"/>
          <w:b w:val="0"/>
          <w:bCs w:val="0"/>
          <w:spacing w:val="0"/>
          <w:sz w:val="24"/>
          <w:szCs w:val="24"/>
          <w:highlight w:val="none"/>
          <w:u w:val="none"/>
          <w:lang w:val="en-US" w:eastAsia="zh-CN"/>
        </w:rPr>
        <w:t>3.</w:t>
      </w:r>
      <w:r>
        <w:rPr>
          <w:rFonts w:hint="eastAsia" w:ascii="宋体" w:hAnsi="宋体" w:eastAsia="宋体" w:cs="宋体"/>
          <w:b w:val="0"/>
          <w:bCs w:val="0"/>
          <w:spacing w:val="0"/>
          <w:w w:val="100"/>
          <w:sz w:val="24"/>
          <w:szCs w:val="24"/>
          <w:highlight w:val="none"/>
          <w:u w:val="none"/>
          <w:lang w:val="en-US" w:eastAsia="zh-CN" w:bidi="zh-CN"/>
        </w:rPr>
        <w:t>前三年自主发展课程所修课程门数（不含院外选修课程、非本专业选修课程）的比例不低于专业自主发展课程毕业要求的3/4</w:t>
      </w:r>
      <w:r>
        <w:rPr>
          <w:rFonts w:hint="eastAsia" w:ascii="宋体" w:hAnsi="宋体" w:eastAsia="宋体" w:cs="宋体"/>
          <w:b w:val="0"/>
          <w:bCs w:val="0"/>
          <w:spacing w:val="0"/>
          <w:sz w:val="24"/>
          <w:szCs w:val="24"/>
          <w:highlight w:val="none"/>
          <w:u w:val="none"/>
          <w:lang w:val="en-US" w:eastAsia="zh-CN"/>
        </w:rPr>
        <w:t>；</w:t>
      </w:r>
    </w:p>
    <w:p>
      <w:pPr>
        <w:keepNext w:val="0"/>
        <w:keepLines w:val="0"/>
        <w:pageBreakBefore w:val="0"/>
        <w:kinsoku/>
        <w:wordWrap/>
        <w:overflowPunct/>
        <w:topLinePunct w:val="0"/>
        <w:autoSpaceDE w:val="0"/>
        <w:autoSpaceDN w:val="0"/>
        <w:bidi w:val="0"/>
        <w:adjustRightInd/>
        <w:snapToGrid/>
        <w:spacing w:line="460" w:lineRule="exact"/>
        <w:ind w:firstLine="480" w:firstLineChars="200"/>
        <w:jc w:val="both"/>
        <w:textAlignment w:val="auto"/>
        <w:rPr>
          <w:rFonts w:hint="eastAsia" w:ascii="宋体" w:hAnsi="宋体" w:eastAsia="宋体" w:cs="宋体"/>
          <w:b w:val="0"/>
          <w:bCs w:val="0"/>
          <w:spacing w:val="0"/>
          <w:sz w:val="24"/>
          <w:szCs w:val="24"/>
          <w:highlight w:val="none"/>
          <w:u w:val="none"/>
          <w:lang w:val="en-US" w:eastAsia="zh-CN"/>
        </w:rPr>
      </w:pPr>
      <w:r>
        <w:rPr>
          <w:rFonts w:hint="eastAsia" w:ascii="宋体" w:hAnsi="宋体" w:eastAsia="宋体" w:cs="宋体"/>
          <w:b w:val="0"/>
          <w:bCs w:val="0"/>
          <w:spacing w:val="0"/>
          <w:sz w:val="24"/>
          <w:szCs w:val="24"/>
          <w:highlight w:val="none"/>
          <w:u w:val="none"/>
          <w:lang w:val="en-US" w:eastAsia="zh-CN"/>
        </w:rPr>
        <w:t>4.前三年博雅课程修读门数不少于</w:t>
      </w:r>
      <w:r>
        <w:rPr>
          <w:rFonts w:hint="eastAsia" w:ascii="宋体" w:hAnsi="宋体" w:eastAsia="宋体" w:cs="宋体"/>
          <w:b w:val="0"/>
          <w:bCs w:val="0"/>
          <w:spacing w:val="0"/>
          <w:w w:val="100"/>
          <w:sz w:val="24"/>
          <w:szCs w:val="24"/>
          <w:highlight w:val="none"/>
          <w:u w:val="none"/>
          <w:lang w:val="en-US" w:eastAsia="zh-CN" w:bidi="zh-CN"/>
        </w:rPr>
        <w:t>3</w:t>
      </w:r>
      <w:r>
        <w:rPr>
          <w:rFonts w:hint="eastAsia" w:ascii="宋体" w:hAnsi="宋体" w:eastAsia="宋体" w:cs="宋体"/>
          <w:b w:val="0"/>
          <w:bCs w:val="0"/>
          <w:spacing w:val="0"/>
          <w:sz w:val="24"/>
          <w:szCs w:val="24"/>
          <w:highlight w:val="none"/>
          <w:u w:val="none"/>
          <w:lang w:val="en-US" w:eastAsia="zh-CN"/>
        </w:rPr>
        <w:t>门。</w:t>
      </w:r>
    </w:p>
    <w:p>
      <w:pPr>
        <w:keepNext w:val="0"/>
        <w:keepLines w:val="0"/>
        <w:pageBreakBefore w:val="0"/>
        <w:kinsoku/>
        <w:wordWrap/>
        <w:overflowPunct/>
        <w:topLinePunct w:val="0"/>
        <w:autoSpaceDE w:val="0"/>
        <w:autoSpaceDN w:val="0"/>
        <w:bidi w:val="0"/>
        <w:adjustRightInd/>
        <w:snapToGrid/>
        <w:spacing w:line="460" w:lineRule="exact"/>
        <w:ind w:firstLine="240" w:firstLineChars="100"/>
        <w:jc w:val="both"/>
        <w:textAlignment w:val="auto"/>
        <w:rPr>
          <w:rFonts w:hint="eastAsia" w:ascii="宋体" w:hAnsi="宋体" w:eastAsia="宋体" w:cs="宋体"/>
          <w:b w:val="0"/>
          <w:bCs w:val="0"/>
          <w:spacing w:val="0"/>
          <w:sz w:val="24"/>
          <w:szCs w:val="24"/>
          <w:highlight w:val="none"/>
          <w:u w:val="none"/>
          <w:lang w:val="zh-CN"/>
        </w:rPr>
      </w:pPr>
      <w:r>
        <w:rPr>
          <w:rFonts w:hint="eastAsia" w:ascii="宋体" w:hAnsi="宋体" w:eastAsia="宋体" w:cs="宋体"/>
          <w:b w:val="0"/>
          <w:bCs w:val="0"/>
          <w:spacing w:val="0"/>
          <w:sz w:val="24"/>
          <w:szCs w:val="24"/>
          <w:highlight w:val="none"/>
          <w:u w:val="none"/>
          <w:lang w:val="en-US" w:eastAsia="zh-CN"/>
        </w:rPr>
        <w:t>（二）</w:t>
      </w:r>
      <w:r>
        <w:rPr>
          <w:rFonts w:hint="eastAsia" w:cs="宋体"/>
          <w:b w:val="0"/>
          <w:bCs w:val="0"/>
          <w:spacing w:val="0"/>
          <w:sz w:val="24"/>
          <w:szCs w:val="24"/>
          <w:highlight w:val="none"/>
          <w:u w:val="none"/>
          <w:lang w:val="en-US" w:eastAsia="zh-CN"/>
        </w:rPr>
        <w:t>如遇</w:t>
      </w:r>
      <w:r>
        <w:rPr>
          <w:rFonts w:hint="eastAsia" w:ascii="宋体" w:hAnsi="宋体" w:eastAsia="宋体" w:cs="宋体"/>
          <w:b w:val="0"/>
          <w:bCs w:val="0"/>
          <w:spacing w:val="0"/>
          <w:sz w:val="24"/>
          <w:szCs w:val="24"/>
          <w:highlight w:val="none"/>
          <w:u w:val="none"/>
          <w:lang w:val="zh-CN"/>
        </w:rPr>
        <w:t>学生因参加夏令营、身体健康等因素申请缓考（</w:t>
      </w:r>
      <w:r>
        <w:rPr>
          <w:rFonts w:hint="eastAsia" w:ascii="宋体" w:hAnsi="宋体" w:eastAsia="宋体" w:cs="宋体"/>
          <w:b w:val="0"/>
          <w:bCs w:val="0"/>
          <w:spacing w:val="0"/>
          <w:sz w:val="24"/>
          <w:szCs w:val="24"/>
          <w:highlight w:val="none"/>
          <w:u w:val="none"/>
          <w:lang w:val="en-US" w:eastAsia="zh-CN"/>
        </w:rPr>
        <w:t>须要有规范的缓考手续，且经院推免工作领导小组认定</w:t>
      </w:r>
      <w:r>
        <w:rPr>
          <w:rFonts w:hint="eastAsia" w:ascii="宋体" w:hAnsi="宋体" w:eastAsia="宋体" w:cs="宋体"/>
          <w:b w:val="0"/>
          <w:bCs w:val="0"/>
          <w:spacing w:val="0"/>
          <w:sz w:val="24"/>
          <w:szCs w:val="24"/>
          <w:highlight w:val="none"/>
          <w:u w:val="none"/>
          <w:lang w:val="zh-CN"/>
        </w:rPr>
        <w:t>）</w:t>
      </w:r>
      <w:r>
        <w:rPr>
          <w:rFonts w:hint="eastAsia" w:cs="宋体"/>
          <w:b w:val="0"/>
          <w:bCs w:val="0"/>
          <w:spacing w:val="0"/>
          <w:sz w:val="24"/>
          <w:szCs w:val="24"/>
          <w:highlight w:val="none"/>
          <w:u w:val="none"/>
          <w:lang w:val="zh-CN"/>
        </w:rPr>
        <w:t>，</w:t>
      </w:r>
      <w:r>
        <w:rPr>
          <w:rFonts w:hint="eastAsia" w:ascii="宋体" w:hAnsi="宋体" w:eastAsia="宋体" w:cs="宋体"/>
          <w:b w:val="0"/>
          <w:bCs w:val="0"/>
          <w:spacing w:val="0"/>
          <w:sz w:val="24"/>
          <w:szCs w:val="24"/>
          <w:highlight w:val="none"/>
          <w:u w:val="none"/>
          <w:lang w:val="zh-CN"/>
        </w:rPr>
        <w:t>但专业学习能力评价时缓考成绩</w:t>
      </w:r>
      <w:r>
        <w:rPr>
          <w:rFonts w:hint="eastAsia" w:cs="宋体"/>
          <w:b w:val="0"/>
          <w:bCs w:val="0"/>
          <w:spacing w:val="0"/>
          <w:sz w:val="24"/>
          <w:szCs w:val="24"/>
          <w:highlight w:val="none"/>
          <w:u w:val="none"/>
          <w:lang w:val="en-US" w:eastAsia="zh-CN"/>
        </w:rPr>
        <w:t>尚未获得的情况</w:t>
      </w:r>
      <w:r>
        <w:rPr>
          <w:rFonts w:hint="eastAsia" w:ascii="宋体" w:hAnsi="宋体" w:eastAsia="宋体" w:cs="宋体"/>
          <w:b w:val="0"/>
          <w:bCs w:val="0"/>
          <w:spacing w:val="0"/>
          <w:sz w:val="24"/>
          <w:szCs w:val="24"/>
          <w:highlight w:val="none"/>
          <w:u w:val="none"/>
          <w:lang w:val="zh-CN"/>
        </w:rPr>
        <w:t>。缓考课程</w:t>
      </w:r>
      <w:r>
        <w:rPr>
          <w:rFonts w:hint="eastAsia" w:cs="宋体"/>
          <w:b w:val="0"/>
          <w:bCs w:val="0"/>
          <w:spacing w:val="0"/>
          <w:sz w:val="24"/>
          <w:szCs w:val="24"/>
          <w:highlight w:val="none"/>
          <w:u w:val="none"/>
          <w:lang w:val="en-US" w:eastAsia="zh-CN"/>
        </w:rPr>
        <w:t>不计入计分加权的</w:t>
      </w:r>
      <w:r>
        <w:rPr>
          <w:rFonts w:hint="eastAsia" w:ascii="宋体" w:hAnsi="宋体" w:eastAsia="宋体" w:cs="宋体"/>
          <w:b w:val="0"/>
          <w:bCs w:val="0"/>
          <w:spacing w:val="0"/>
          <w:sz w:val="24"/>
          <w:szCs w:val="24"/>
          <w:highlight w:val="none"/>
          <w:u w:val="none"/>
          <w:lang w:val="zh-CN"/>
        </w:rPr>
        <w:t>门数限额为1门</w:t>
      </w:r>
      <w:r>
        <w:rPr>
          <w:rFonts w:hint="eastAsia" w:cs="宋体"/>
          <w:b w:val="0"/>
          <w:bCs w:val="0"/>
          <w:spacing w:val="0"/>
          <w:sz w:val="24"/>
          <w:szCs w:val="24"/>
          <w:highlight w:val="none"/>
          <w:u w:val="none"/>
          <w:lang w:val="zh-CN"/>
        </w:rPr>
        <w:t>，</w:t>
      </w:r>
      <w:r>
        <w:rPr>
          <w:rFonts w:hint="eastAsia" w:ascii="宋体" w:hAnsi="宋体" w:eastAsia="宋体" w:cs="宋体"/>
          <w:b w:val="0"/>
          <w:bCs w:val="0"/>
          <w:spacing w:val="0"/>
          <w:sz w:val="24"/>
          <w:szCs w:val="24"/>
          <w:highlight w:val="none"/>
          <w:u w:val="none"/>
          <w:lang w:val="zh-CN"/>
        </w:rPr>
        <w:t>超过1门将按系统0分进行</w:t>
      </w:r>
      <w:r>
        <w:rPr>
          <w:rFonts w:hint="eastAsia" w:cs="宋体"/>
          <w:b w:val="0"/>
          <w:bCs w:val="0"/>
          <w:spacing w:val="0"/>
          <w:sz w:val="24"/>
          <w:szCs w:val="24"/>
          <w:highlight w:val="none"/>
          <w:u w:val="none"/>
          <w:lang w:val="en-US" w:eastAsia="zh-CN"/>
        </w:rPr>
        <w:t>计分</w:t>
      </w:r>
      <w:r>
        <w:rPr>
          <w:rFonts w:hint="eastAsia" w:ascii="宋体" w:hAnsi="宋体" w:eastAsia="宋体" w:cs="宋体"/>
          <w:b w:val="0"/>
          <w:bCs w:val="0"/>
          <w:spacing w:val="0"/>
          <w:sz w:val="24"/>
          <w:szCs w:val="24"/>
          <w:highlight w:val="none"/>
          <w:u w:val="none"/>
          <w:lang w:val="zh-CN"/>
        </w:rPr>
        <w:t>加权。如在推免工作启动前，缓考成绩</w:t>
      </w:r>
      <w:r>
        <w:rPr>
          <w:rFonts w:hint="eastAsia" w:cs="宋体"/>
          <w:b w:val="0"/>
          <w:bCs w:val="0"/>
          <w:spacing w:val="0"/>
          <w:sz w:val="24"/>
          <w:szCs w:val="24"/>
          <w:highlight w:val="none"/>
          <w:u w:val="none"/>
          <w:lang w:val="en-US" w:eastAsia="zh-CN"/>
        </w:rPr>
        <w:t>能够获得</w:t>
      </w:r>
      <w:r>
        <w:rPr>
          <w:rFonts w:hint="eastAsia" w:ascii="宋体" w:hAnsi="宋体" w:eastAsia="宋体" w:cs="宋体"/>
          <w:b w:val="0"/>
          <w:bCs w:val="0"/>
          <w:spacing w:val="0"/>
          <w:sz w:val="24"/>
          <w:szCs w:val="24"/>
          <w:highlight w:val="none"/>
          <w:u w:val="none"/>
          <w:lang w:val="zh-CN"/>
        </w:rPr>
        <w:t>，则该门课程按</w:t>
      </w:r>
      <w:r>
        <w:rPr>
          <w:rFonts w:hint="eastAsia" w:cs="宋体"/>
          <w:b w:val="0"/>
          <w:bCs w:val="0"/>
          <w:spacing w:val="0"/>
          <w:sz w:val="24"/>
          <w:szCs w:val="24"/>
          <w:highlight w:val="none"/>
          <w:u w:val="none"/>
          <w:lang w:val="en-US" w:eastAsia="zh-CN"/>
        </w:rPr>
        <w:t>实际得分进行计分</w:t>
      </w:r>
      <w:r>
        <w:rPr>
          <w:rFonts w:hint="eastAsia" w:ascii="宋体" w:hAnsi="宋体" w:eastAsia="宋体" w:cs="宋体"/>
          <w:b w:val="0"/>
          <w:bCs w:val="0"/>
          <w:spacing w:val="0"/>
          <w:sz w:val="24"/>
          <w:szCs w:val="24"/>
          <w:highlight w:val="none"/>
          <w:u w:val="none"/>
          <w:lang w:val="zh-CN"/>
        </w:rPr>
        <w:t>加权。</w:t>
      </w:r>
    </w:p>
    <w:p>
      <w:pPr>
        <w:keepNext w:val="0"/>
        <w:keepLines w:val="0"/>
        <w:pageBreakBefore w:val="0"/>
        <w:kinsoku/>
        <w:wordWrap/>
        <w:overflowPunct/>
        <w:topLinePunct w:val="0"/>
        <w:autoSpaceDE w:val="0"/>
        <w:autoSpaceDN w:val="0"/>
        <w:bidi w:val="0"/>
        <w:adjustRightInd/>
        <w:snapToGrid/>
        <w:spacing w:line="460" w:lineRule="exact"/>
        <w:ind w:firstLine="240" w:firstLineChars="100"/>
        <w:jc w:val="both"/>
        <w:textAlignment w:val="auto"/>
        <w:rPr>
          <w:rFonts w:hint="eastAsia" w:ascii="宋体" w:hAnsi="宋体" w:eastAsia="宋体" w:cs="宋体"/>
          <w:b w:val="0"/>
          <w:bCs w:val="0"/>
          <w:spacing w:val="0"/>
          <w:sz w:val="24"/>
          <w:szCs w:val="24"/>
          <w:highlight w:val="none"/>
          <w:u w:val="none"/>
          <w:lang w:val="en-US" w:eastAsia="zh-CN"/>
        </w:rPr>
      </w:pPr>
      <w:r>
        <w:rPr>
          <w:rFonts w:hint="eastAsia" w:ascii="宋体" w:hAnsi="宋体" w:eastAsia="宋体" w:cs="宋体"/>
          <w:b w:val="0"/>
          <w:bCs w:val="0"/>
          <w:spacing w:val="0"/>
          <w:sz w:val="24"/>
          <w:szCs w:val="24"/>
          <w:highlight w:val="none"/>
          <w:u w:val="none"/>
          <w:lang w:val="en-US" w:eastAsia="zh-CN"/>
        </w:rPr>
        <w:t>（三）应修读而未修读的课程门数与缓考课程门数总计不能超过</w:t>
      </w:r>
      <w:r>
        <w:rPr>
          <w:rFonts w:hint="eastAsia" w:ascii="宋体" w:hAnsi="宋体" w:eastAsia="宋体" w:cs="宋体"/>
          <w:b w:val="0"/>
          <w:bCs w:val="0"/>
          <w:spacing w:val="0"/>
          <w:w w:val="100"/>
          <w:sz w:val="24"/>
          <w:szCs w:val="24"/>
          <w:highlight w:val="none"/>
          <w:u w:val="none"/>
          <w:lang w:val="en-US" w:eastAsia="zh-CN" w:bidi="zh-CN"/>
        </w:rPr>
        <w:t>4</w:t>
      </w:r>
      <w:r>
        <w:rPr>
          <w:rFonts w:hint="eastAsia" w:ascii="宋体" w:hAnsi="宋体" w:eastAsia="宋体" w:cs="宋体"/>
          <w:b w:val="0"/>
          <w:bCs w:val="0"/>
          <w:spacing w:val="0"/>
          <w:sz w:val="24"/>
          <w:szCs w:val="24"/>
          <w:highlight w:val="none"/>
          <w:u w:val="none"/>
          <w:lang w:val="en-US" w:eastAsia="zh-CN"/>
        </w:rPr>
        <w:t>门。</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bCs/>
          <w:spacing w:val="0"/>
          <w:w w:val="100"/>
          <w:sz w:val="24"/>
          <w:szCs w:val="24"/>
          <w:highlight w:val="none"/>
          <w:u w:val="none"/>
          <w:lang w:eastAsia="zh-CN"/>
        </w:rPr>
      </w:pPr>
      <w:r>
        <w:rPr>
          <w:rFonts w:hint="eastAsia" w:ascii="宋体" w:hAnsi="宋体" w:eastAsia="宋体" w:cs="宋体"/>
          <w:b/>
          <w:bCs/>
          <w:spacing w:val="0"/>
          <w:w w:val="100"/>
          <w:sz w:val="24"/>
          <w:szCs w:val="24"/>
          <w:highlight w:val="none"/>
          <w:u w:val="none"/>
          <w:lang w:val="en-US" w:eastAsia="zh-CN"/>
        </w:rPr>
        <w:t>二、</w:t>
      </w:r>
      <w:r>
        <w:rPr>
          <w:rFonts w:hint="eastAsia" w:ascii="宋体" w:hAnsi="宋体" w:eastAsia="宋体" w:cs="宋体"/>
          <w:b/>
          <w:bCs/>
          <w:spacing w:val="0"/>
          <w:w w:val="100"/>
          <w:sz w:val="24"/>
          <w:szCs w:val="24"/>
          <w:highlight w:val="none"/>
          <w:u w:val="none"/>
        </w:rPr>
        <w:t>专业学习能力评价计分课程范围</w:t>
      </w:r>
    </w:p>
    <w:p>
      <w:pPr>
        <w:keepNext w:val="0"/>
        <w:keepLines w:val="0"/>
        <w:pageBreakBefore w:val="0"/>
        <w:kinsoku/>
        <w:wordWrap/>
        <w:overflowPunct/>
        <w:topLinePunct w:val="0"/>
        <w:autoSpaceDE w:val="0"/>
        <w:autoSpaceDN w:val="0"/>
        <w:bidi w:val="0"/>
        <w:adjustRightInd/>
        <w:snapToGrid/>
        <w:spacing w:line="460" w:lineRule="exact"/>
        <w:ind w:firstLine="240" w:firstLineChars="100"/>
        <w:jc w:val="both"/>
        <w:textAlignment w:val="auto"/>
        <w:rPr>
          <w:rFonts w:hint="eastAsia" w:ascii="宋体" w:hAnsi="宋体" w:eastAsia="宋体" w:cs="宋体"/>
          <w:b w:val="0"/>
          <w:bCs w:val="0"/>
          <w:spacing w:val="0"/>
          <w:sz w:val="24"/>
          <w:szCs w:val="24"/>
          <w:highlight w:val="none"/>
          <w:u w:val="none"/>
          <w:lang w:val="en-US" w:eastAsia="zh-CN"/>
        </w:rPr>
      </w:pPr>
      <w:r>
        <w:rPr>
          <w:rFonts w:hint="eastAsia" w:ascii="宋体" w:hAnsi="宋体" w:eastAsia="宋体" w:cs="宋体"/>
          <w:b w:val="0"/>
          <w:bCs w:val="0"/>
          <w:spacing w:val="0"/>
          <w:sz w:val="24"/>
          <w:szCs w:val="24"/>
          <w:highlight w:val="none"/>
          <w:u w:val="none"/>
          <w:lang w:val="en-US" w:eastAsia="zh-CN"/>
        </w:rPr>
        <w:t>（一）在各专业培养方案规定的前三年应修读课程以外修读的非本专业课程、院外课程不计入专业学习能力评价课程范围。</w:t>
      </w:r>
    </w:p>
    <w:p>
      <w:pPr>
        <w:keepNext w:val="0"/>
        <w:keepLines w:val="0"/>
        <w:pageBreakBefore w:val="0"/>
        <w:kinsoku/>
        <w:wordWrap/>
        <w:overflowPunct/>
        <w:topLinePunct w:val="0"/>
        <w:autoSpaceDE w:val="0"/>
        <w:autoSpaceDN w:val="0"/>
        <w:bidi w:val="0"/>
        <w:adjustRightInd/>
        <w:snapToGrid/>
        <w:spacing w:line="460" w:lineRule="exact"/>
        <w:ind w:firstLine="240" w:firstLineChars="100"/>
        <w:jc w:val="both"/>
        <w:textAlignment w:val="auto"/>
        <w:rPr>
          <w:rFonts w:hint="eastAsia" w:ascii="宋体" w:hAnsi="宋体" w:eastAsia="宋体" w:cs="宋体"/>
          <w:b w:val="0"/>
          <w:bCs w:val="0"/>
          <w:spacing w:val="0"/>
          <w:sz w:val="24"/>
          <w:szCs w:val="24"/>
          <w:highlight w:val="none"/>
          <w:u w:val="none"/>
          <w:lang w:val="en-US" w:eastAsia="zh-CN"/>
        </w:rPr>
      </w:pPr>
      <w:r>
        <w:rPr>
          <w:rFonts w:hint="eastAsia" w:ascii="宋体" w:hAnsi="宋体" w:eastAsia="宋体" w:cs="宋体"/>
          <w:b w:val="0"/>
          <w:bCs w:val="0"/>
          <w:spacing w:val="0"/>
          <w:sz w:val="24"/>
          <w:szCs w:val="24"/>
          <w:highlight w:val="none"/>
          <w:u w:val="none"/>
          <w:lang w:val="en-US" w:eastAsia="zh-CN"/>
        </w:rPr>
        <w:t>（二）各专业培养方案</w:t>
      </w:r>
      <w:r>
        <w:rPr>
          <w:rFonts w:hint="eastAsia" w:ascii="宋体" w:hAnsi="宋体" w:eastAsia="宋体" w:cs="宋体"/>
          <w:b w:val="0"/>
          <w:bCs w:val="0"/>
          <w:spacing w:val="0"/>
          <w:w w:val="100"/>
          <w:sz w:val="24"/>
          <w:szCs w:val="24"/>
          <w:highlight w:val="none"/>
          <w:u w:val="none"/>
          <w:lang w:val="en-US" w:eastAsia="zh-CN" w:bidi="zh-CN"/>
        </w:rPr>
        <w:t>（2020版）</w:t>
      </w:r>
      <w:r>
        <w:rPr>
          <w:rFonts w:hint="eastAsia" w:ascii="宋体" w:hAnsi="宋体" w:eastAsia="宋体" w:cs="宋体"/>
          <w:b w:val="0"/>
          <w:bCs w:val="0"/>
          <w:spacing w:val="0"/>
          <w:sz w:val="24"/>
          <w:szCs w:val="24"/>
          <w:highlight w:val="none"/>
          <w:u w:val="none"/>
          <w:lang w:val="en-US" w:eastAsia="zh-CN"/>
        </w:rPr>
        <w:t>规定的前三年修读课程</w:t>
      </w:r>
      <w:r>
        <w:rPr>
          <w:rFonts w:hint="eastAsia" w:cs="宋体"/>
          <w:b w:val="0"/>
          <w:bCs w:val="0"/>
          <w:spacing w:val="0"/>
          <w:sz w:val="24"/>
          <w:szCs w:val="24"/>
          <w:highlight w:val="none"/>
          <w:u w:val="none"/>
          <w:lang w:val="en-US" w:eastAsia="zh-CN"/>
        </w:rPr>
        <w:t>清单</w:t>
      </w:r>
      <w:r>
        <w:rPr>
          <w:rFonts w:hint="eastAsia" w:ascii="宋体" w:hAnsi="宋体" w:eastAsia="宋体" w:cs="宋体"/>
          <w:b w:val="0"/>
          <w:bCs w:val="0"/>
          <w:spacing w:val="0"/>
          <w:sz w:val="24"/>
          <w:szCs w:val="24"/>
          <w:highlight w:val="none"/>
          <w:u w:val="none"/>
          <w:lang w:val="en-US" w:eastAsia="zh-CN"/>
        </w:rPr>
        <w:t>，见附件3。</w:t>
      </w:r>
    </w:p>
    <w:p>
      <w:pPr>
        <w:keepNext w:val="0"/>
        <w:keepLines w:val="0"/>
        <w:pageBreakBefore w:val="0"/>
        <w:kinsoku/>
        <w:wordWrap/>
        <w:overflowPunct/>
        <w:topLinePunct w:val="0"/>
        <w:autoSpaceDE w:val="0"/>
        <w:autoSpaceDN w:val="0"/>
        <w:bidi w:val="0"/>
        <w:adjustRightInd/>
        <w:snapToGrid/>
        <w:spacing w:line="460" w:lineRule="exact"/>
        <w:ind w:firstLine="240" w:firstLineChars="100"/>
        <w:jc w:val="both"/>
        <w:textAlignment w:val="auto"/>
        <w:rPr>
          <w:rFonts w:hint="eastAsia" w:ascii="宋体" w:hAnsi="宋体" w:eastAsia="宋体" w:cs="宋体"/>
          <w:b w:val="0"/>
          <w:bCs w:val="0"/>
          <w:spacing w:val="0"/>
          <w:sz w:val="24"/>
          <w:szCs w:val="24"/>
          <w:highlight w:val="none"/>
          <w:u w:val="none"/>
          <w:lang w:val="en-US" w:eastAsia="zh-CN"/>
        </w:rPr>
      </w:pPr>
      <w:r>
        <w:rPr>
          <w:rFonts w:hint="eastAsia" w:ascii="宋体" w:hAnsi="宋体" w:eastAsia="宋体" w:cs="宋体"/>
          <w:b w:val="0"/>
          <w:bCs w:val="0"/>
          <w:spacing w:val="0"/>
          <w:w w:val="100"/>
          <w:sz w:val="24"/>
          <w:szCs w:val="24"/>
          <w:highlight w:val="none"/>
          <w:u w:val="none"/>
          <w:lang w:val="en-US" w:eastAsia="zh-CN" w:bidi="zh-CN"/>
        </w:rPr>
        <w:t>（三）2020培养方案中的读书报告A、读书报告B不计入加权计分。</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bCs/>
          <w:spacing w:val="0"/>
          <w:w w:val="100"/>
          <w:sz w:val="24"/>
          <w:szCs w:val="24"/>
          <w:highlight w:val="none"/>
          <w:u w:val="none"/>
        </w:rPr>
      </w:pPr>
      <w:r>
        <w:rPr>
          <w:rFonts w:hint="eastAsia" w:ascii="宋体" w:hAnsi="宋体" w:eastAsia="宋体" w:cs="宋体"/>
          <w:b/>
          <w:bCs/>
          <w:spacing w:val="0"/>
          <w:w w:val="100"/>
          <w:sz w:val="24"/>
          <w:szCs w:val="24"/>
          <w:highlight w:val="none"/>
          <w:u w:val="none"/>
          <w:lang w:val="en-US" w:eastAsia="zh-CN"/>
        </w:rPr>
        <w:t>三、</w:t>
      </w:r>
      <w:r>
        <w:rPr>
          <w:rFonts w:hint="eastAsia" w:ascii="宋体" w:hAnsi="宋体" w:eastAsia="宋体" w:cs="宋体"/>
          <w:b/>
          <w:bCs/>
          <w:spacing w:val="0"/>
          <w:w w:val="100"/>
          <w:sz w:val="24"/>
          <w:szCs w:val="24"/>
          <w:highlight w:val="none"/>
          <w:u w:val="none"/>
        </w:rPr>
        <w:t>转专业学生转专业前所修课程计分办法</w:t>
      </w:r>
    </w:p>
    <w:p>
      <w:pPr>
        <w:keepNext w:val="0"/>
        <w:keepLines w:val="0"/>
        <w:pageBreakBefore w:val="0"/>
        <w:kinsoku/>
        <w:wordWrap/>
        <w:overflowPunct/>
        <w:topLinePunct w:val="0"/>
        <w:autoSpaceDE w:val="0"/>
        <w:autoSpaceDN w:val="0"/>
        <w:bidi w:val="0"/>
        <w:adjustRightInd/>
        <w:snapToGrid/>
        <w:spacing w:line="460" w:lineRule="exact"/>
        <w:ind w:firstLine="480"/>
        <w:jc w:val="both"/>
        <w:textAlignment w:val="auto"/>
        <w:rPr>
          <w:rFonts w:hint="eastAsia" w:ascii="宋体" w:hAnsi="宋体" w:eastAsia="宋体" w:cs="宋体"/>
          <w:spacing w:val="0"/>
          <w:w w:val="100"/>
          <w:sz w:val="24"/>
          <w:szCs w:val="24"/>
          <w:highlight w:val="none"/>
          <w:u w:val="none"/>
          <w:lang w:val="en-US" w:eastAsia="zh-CN"/>
        </w:rPr>
      </w:pPr>
      <w:r>
        <w:rPr>
          <w:rFonts w:hint="eastAsia" w:ascii="宋体" w:hAnsi="宋体" w:eastAsia="宋体" w:cs="宋体"/>
          <w:spacing w:val="0"/>
          <w:w w:val="100"/>
          <w:sz w:val="24"/>
          <w:szCs w:val="24"/>
          <w:highlight w:val="none"/>
          <w:u w:val="none"/>
          <w:lang w:val="en-US" w:eastAsia="zh-CN"/>
        </w:rPr>
        <w:t>由其他专业转入本院学习的学生，其转专业之前所修初始专业的课程，根据学校相关规定，可以并入转入专业的，可纳入新转入专业的学习能力评价计分范围；其他仅属于初始专业范围内的课程，不予评价计分。</w:t>
      </w:r>
    </w:p>
    <w:p>
      <w:pPr>
        <w:pStyle w:val="5"/>
        <w:keepNext w:val="0"/>
        <w:keepLines w:val="0"/>
        <w:pageBreakBefore w:val="0"/>
        <w:numPr>
          <w:ilvl w:val="0"/>
          <w:numId w:val="0"/>
        </w:numPr>
        <w:kinsoku/>
        <w:wordWrap/>
        <w:overflowPunct/>
        <w:topLinePunct w:val="0"/>
        <w:autoSpaceDE w:val="0"/>
        <w:autoSpaceDN w:val="0"/>
        <w:bidi w:val="0"/>
        <w:adjustRightInd/>
        <w:snapToGrid/>
        <w:spacing w:before="0" w:after="0" w:line="460" w:lineRule="exact"/>
        <w:ind w:right="0" w:rightChars="0"/>
        <w:jc w:val="both"/>
        <w:textAlignment w:val="auto"/>
        <w:rPr>
          <w:rFonts w:hint="eastAsia" w:ascii="宋体" w:hAnsi="宋体" w:eastAsia="宋体" w:cs="宋体"/>
          <w:b/>
          <w:bCs/>
          <w:color w:val="0000FF"/>
          <w:spacing w:val="0"/>
          <w:w w:val="100"/>
          <w:sz w:val="24"/>
          <w:szCs w:val="24"/>
          <w:highlight w:val="none"/>
          <w:u w:val="none"/>
        </w:rPr>
      </w:pPr>
      <w:r>
        <w:rPr>
          <w:rFonts w:hint="eastAsia" w:ascii="宋体" w:hAnsi="宋体" w:eastAsia="宋体" w:cs="宋体"/>
          <w:b/>
          <w:bCs/>
          <w:spacing w:val="0"/>
          <w:sz w:val="24"/>
          <w:szCs w:val="24"/>
          <w:highlight w:val="none"/>
          <w:u w:val="none"/>
          <w:lang w:val="en-US" w:eastAsia="zh-CN" w:bidi="zh-CN"/>
        </w:rPr>
        <w:t>四、</w:t>
      </w:r>
      <w:r>
        <w:rPr>
          <w:rFonts w:hint="eastAsia" w:ascii="宋体" w:hAnsi="宋体" w:eastAsia="宋体" w:cs="宋体"/>
          <w:b/>
          <w:bCs/>
          <w:spacing w:val="0"/>
          <w:w w:val="100"/>
          <w:sz w:val="24"/>
          <w:szCs w:val="24"/>
          <w:highlight w:val="none"/>
          <w:u w:val="none"/>
          <w:lang w:val="en-US" w:eastAsia="zh-CN" w:bidi="zh-CN"/>
        </w:rPr>
        <w:t>走特殊学术专长推免通道的，不占学院指标。</w:t>
      </w: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bCs/>
          <w:spacing w:val="0"/>
          <w:w w:val="100"/>
          <w:sz w:val="24"/>
          <w:szCs w:val="24"/>
          <w:highlight w:val="none"/>
          <w:u w:val="none"/>
          <w:lang w:val="en-US" w:eastAsia="zh-CN"/>
        </w:rPr>
      </w:pPr>
      <w:r>
        <w:rPr>
          <w:rFonts w:hint="eastAsia" w:ascii="宋体" w:hAnsi="宋体" w:eastAsia="宋体" w:cs="宋体"/>
          <w:b/>
          <w:bCs/>
          <w:spacing w:val="0"/>
          <w:w w:val="100"/>
          <w:sz w:val="24"/>
          <w:szCs w:val="24"/>
          <w:highlight w:val="none"/>
          <w:u w:val="none"/>
          <w:lang w:val="en-US" w:eastAsia="zh-CN"/>
        </w:rPr>
        <w:t>五、排序及递补规则</w:t>
      </w:r>
    </w:p>
    <w:p>
      <w:pPr>
        <w:keepNext w:val="0"/>
        <w:keepLines w:val="0"/>
        <w:pageBreakBefore w:val="0"/>
        <w:numPr>
          <w:ilvl w:val="0"/>
          <w:numId w:val="1"/>
        </w:numPr>
        <w:kinsoku/>
        <w:wordWrap/>
        <w:overflowPunct/>
        <w:topLinePunct w:val="0"/>
        <w:autoSpaceDE w:val="0"/>
        <w:autoSpaceDN w:val="0"/>
        <w:bidi w:val="0"/>
        <w:adjustRightInd/>
        <w:snapToGrid/>
        <w:spacing w:line="460" w:lineRule="exact"/>
        <w:ind w:firstLine="482"/>
        <w:jc w:val="both"/>
        <w:textAlignment w:val="auto"/>
        <w:rPr>
          <w:rFonts w:hint="eastAsia" w:ascii="宋体" w:hAnsi="宋体" w:eastAsia="宋体" w:cs="宋体"/>
          <w:sz w:val="24"/>
          <w:szCs w:val="24"/>
          <w:highlight w:val="none"/>
          <w:u w:val="none"/>
          <w:lang w:val="zh-CN"/>
        </w:rPr>
      </w:pPr>
      <w:r>
        <w:rPr>
          <w:rFonts w:hint="eastAsia" w:ascii="宋体" w:hAnsi="宋体" w:eastAsia="宋体" w:cs="宋体"/>
          <w:sz w:val="24"/>
          <w:szCs w:val="24"/>
          <w:highlight w:val="none"/>
          <w:u w:val="none"/>
          <w:lang w:val="en-US" w:eastAsia="zh-CN"/>
        </w:rPr>
        <w:t>学院根据学校下达学院的推免指标，依据学院相关专业当年毕业生人数比例，切割指标到各专业。</w:t>
      </w:r>
      <w:r>
        <w:rPr>
          <w:rFonts w:hint="eastAsia" w:ascii="宋体" w:hAnsi="宋体" w:eastAsia="宋体" w:cs="宋体"/>
          <w:kern w:val="36"/>
          <w:sz w:val="24"/>
          <w:szCs w:val="24"/>
          <w:highlight w:val="none"/>
          <w:u w:val="none"/>
          <w:lang w:val="en-US" w:eastAsia="zh-CN"/>
        </w:rPr>
        <w:t>高校中外学分互认联合培养项目班（行政管理专业）</w:t>
      </w:r>
      <w:r>
        <w:rPr>
          <w:rFonts w:hint="eastAsia" w:ascii="宋体" w:hAnsi="宋体" w:eastAsia="宋体" w:cs="宋体"/>
          <w:sz w:val="24"/>
          <w:szCs w:val="24"/>
          <w:highlight w:val="none"/>
          <w:u w:val="none"/>
          <w:lang w:val="en-US" w:eastAsia="zh-CN"/>
        </w:rPr>
        <w:t>单独作为指标分配单位。</w:t>
      </w:r>
    </w:p>
    <w:p>
      <w:pPr>
        <w:keepNext w:val="0"/>
        <w:keepLines w:val="0"/>
        <w:pageBreakBefore w:val="0"/>
        <w:numPr>
          <w:ilvl w:val="0"/>
          <w:numId w:val="1"/>
        </w:numPr>
        <w:kinsoku/>
        <w:wordWrap/>
        <w:overflowPunct/>
        <w:topLinePunct w:val="0"/>
        <w:autoSpaceDE w:val="0"/>
        <w:autoSpaceDN w:val="0"/>
        <w:bidi w:val="0"/>
        <w:adjustRightInd/>
        <w:snapToGrid/>
        <w:spacing w:line="460" w:lineRule="exact"/>
        <w:ind w:left="0" w:leftChars="0" w:right="0" w:rightChars="0" w:firstLine="482" w:firstLineChars="0"/>
        <w:jc w:val="both"/>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lang w:val="zh-CN"/>
        </w:rPr>
        <w:t>根据</w:t>
      </w:r>
      <w:r>
        <w:rPr>
          <w:rFonts w:hint="eastAsia" w:ascii="宋体" w:hAnsi="宋体" w:eastAsia="宋体" w:cs="宋体"/>
          <w:sz w:val="24"/>
          <w:szCs w:val="24"/>
          <w:highlight w:val="none"/>
          <w:u w:val="none"/>
          <w:lang w:val="en-US" w:eastAsia="zh-CN"/>
        </w:rPr>
        <w:t>推免计分规则</w:t>
      </w:r>
      <w:r>
        <w:rPr>
          <w:rFonts w:hint="eastAsia" w:ascii="宋体" w:hAnsi="宋体" w:eastAsia="宋体" w:cs="宋体"/>
          <w:sz w:val="24"/>
          <w:szCs w:val="24"/>
          <w:highlight w:val="none"/>
          <w:u w:val="none"/>
          <w:lang w:val="zh-CN"/>
        </w:rPr>
        <w:t>计算出的结果作为排序依据。各专业的学生按最终得分的高低分别排序，按排序的高低依次获得学院总排序中分配给各专业的名额。</w:t>
      </w:r>
    </w:p>
    <w:p>
      <w:pPr>
        <w:keepNext w:val="0"/>
        <w:keepLines w:val="0"/>
        <w:pageBreakBefore w:val="0"/>
        <w:kinsoku/>
        <w:wordWrap/>
        <w:overflowPunct/>
        <w:topLinePunct w:val="0"/>
        <w:autoSpaceDE w:val="0"/>
        <w:autoSpaceDN w:val="0"/>
        <w:bidi w:val="0"/>
        <w:adjustRightInd/>
        <w:snapToGrid/>
        <w:spacing w:line="460" w:lineRule="exact"/>
        <w:ind w:firstLine="480" w:firstLineChars="200"/>
        <w:jc w:val="both"/>
        <w:textAlignment w:val="auto"/>
        <w:rPr>
          <w:rFonts w:hint="eastAsia" w:ascii="宋体" w:hAnsi="宋体" w:eastAsia="宋体" w:cs="宋体"/>
          <w:sz w:val="24"/>
          <w:szCs w:val="24"/>
          <w:highlight w:val="none"/>
          <w:u w:val="none"/>
          <w:lang w:val="zh-CN"/>
        </w:rPr>
      </w:pPr>
      <w:r>
        <w:rPr>
          <w:rFonts w:hint="eastAsia" w:ascii="宋体" w:hAnsi="宋体" w:eastAsia="宋体" w:cs="宋体"/>
          <w:sz w:val="24"/>
          <w:szCs w:val="24"/>
          <w:highlight w:val="none"/>
          <w:u w:val="none"/>
          <w:lang w:val="zh-CN"/>
        </w:rPr>
        <w:t>（三）如有同学符合</w:t>
      </w:r>
      <w:r>
        <w:rPr>
          <w:rFonts w:hint="eastAsia" w:ascii="宋体" w:hAnsi="宋体" w:eastAsia="宋体" w:cs="宋体"/>
          <w:b w:val="0"/>
          <w:bCs w:val="0"/>
          <w:spacing w:val="0"/>
          <w:w w:val="100"/>
          <w:sz w:val="24"/>
          <w:szCs w:val="24"/>
          <w:highlight w:val="none"/>
          <w:u w:val="none"/>
          <w:lang w:val="zh-CN" w:eastAsia="zh-CN" w:bidi="zh-CN"/>
        </w:rPr>
        <w:t>国家一流专业、</w:t>
      </w:r>
      <w:r>
        <w:rPr>
          <w:rFonts w:hint="eastAsia" w:ascii="宋体" w:hAnsi="宋体" w:eastAsia="宋体" w:cs="宋体"/>
          <w:sz w:val="24"/>
          <w:szCs w:val="24"/>
          <w:highlight w:val="none"/>
          <w:u w:val="none"/>
          <w:lang w:val="zh-CN"/>
        </w:rPr>
        <w:t>“英才计划”、全国性竞赛获奖、</w:t>
      </w:r>
      <w:r>
        <w:rPr>
          <w:rFonts w:hint="eastAsia" w:ascii="宋体" w:hAnsi="宋体" w:eastAsia="宋体" w:cs="宋体"/>
          <w:b w:val="0"/>
          <w:bCs w:val="0"/>
          <w:spacing w:val="0"/>
          <w:sz w:val="24"/>
          <w:szCs w:val="24"/>
          <w:highlight w:val="none"/>
          <w:u w:val="none"/>
          <w:lang w:val="zh-CN" w:eastAsia="zh-CN"/>
        </w:rPr>
        <w:t>“</w:t>
      </w:r>
      <w:r>
        <w:rPr>
          <w:rFonts w:hint="eastAsia" w:cs="宋体"/>
          <w:b w:val="0"/>
          <w:bCs w:val="0"/>
          <w:spacing w:val="0"/>
          <w:sz w:val="24"/>
          <w:szCs w:val="24"/>
          <w:highlight w:val="none"/>
          <w:u w:val="none"/>
          <w:lang w:val="en-US" w:eastAsia="zh-CN"/>
        </w:rPr>
        <w:t>有特殊学术专长”或研究生支教团专项推免资格</w:t>
      </w:r>
      <w:r>
        <w:rPr>
          <w:rFonts w:hint="eastAsia" w:ascii="宋体" w:hAnsi="宋体" w:eastAsia="宋体" w:cs="宋体"/>
          <w:sz w:val="24"/>
          <w:szCs w:val="24"/>
          <w:highlight w:val="none"/>
          <w:u w:val="none"/>
          <w:lang w:val="zh-CN"/>
        </w:rPr>
        <w:t>等相应</w:t>
      </w:r>
      <w:r>
        <w:rPr>
          <w:rFonts w:hint="eastAsia" w:cs="宋体"/>
          <w:sz w:val="24"/>
          <w:szCs w:val="24"/>
          <w:highlight w:val="none"/>
          <w:u w:val="none"/>
          <w:lang w:val="zh-CN"/>
        </w:rPr>
        <w:t>推免</w:t>
      </w:r>
      <w:r>
        <w:rPr>
          <w:rFonts w:hint="eastAsia" w:ascii="宋体" w:hAnsi="宋体" w:eastAsia="宋体" w:cs="宋体"/>
          <w:sz w:val="24"/>
          <w:szCs w:val="24"/>
          <w:highlight w:val="none"/>
          <w:u w:val="none"/>
          <w:lang w:val="zh-CN"/>
        </w:rPr>
        <w:t>条件且获得学校单独推免指标，其名额由各自专业的同学依次递补。</w:t>
      </w:r>
    </w:p>
    <w:p>
      <w:pPr>
        <w:keepNext w:val="0"/>
        <w:keepLines w:val="0"/>
        <w:pageBreakBefore w:val="0"/>
        <w:kinsoku/>
        <w:wordWrap/>
        <w:overflowPunct/>
        <w:topLinePunct w:val="0"/>
        <w:autoSpaceDE w:val="0"/>
        <w:autoSpaceDN w:val="0"/>
        <w:bidi w:val="0"/>
        <w:adjustRightInd/>
        <w:snapToGrid/>
        <w:spacing w:line="460" w:lineRule="exact"/>
        <w:ind w:firstLine="480" w:firstLineChars="200"/>
        <w:jc w:val="both"/>
        <w:textAlignment w:val="auto"/>
        <w:rPr>
          <w:rFonts w:hint="eastAsia" w:ascii="宋体" w:hAnsi="宋体" w:eastAsia="宋体" w:cs="宋体"/>
          <w:color w:val="auto"/>
          <w:spacing w:val="0"/>
          <w:w w:val="100"/>
          <w:sz w:val="24"/>
          <w:szCs w:val="24"/>
          <w:highlight w:val="none"/>
          <w:u w:val="none"/>
          <w:lang w:val="zh-CN" w:eastAsia="zh-CN" w:bidi="zh-CN"/>
        </w:rPr>
      </w:pPr>
      <w:r>
        <w:rPr>
          <w:rFonts w:hint="eastAsia" w:cs="宋体"/>
          <w:color w:val="auto"/>
          <w:sz w:val="24"/>
          <w:szCs w:val="24"/>
          <w:highlight w:val="none"/>
          <w:u w:val="none"/>
          <w:lang w:val="zh-CN"/>
        </w:rPr>
        <w:t>（</w:t>
      </w:r>
      <w:r>
        <w:rPr>
          <w:rFonts w:hint="eastAsia" w:cs="宋体"/>
          <w:color w:val="auto"/>
          <w:sz w:val="24"/>
          <w:szCs w:val="24"/>
          <w:highlight w:val="none"/>
          <w:u w:val="none"/>
          <w:lang w:val="en-US" w:eastAsia="zh-CN"/>
        </w:rPr>
        <w:t>四</w:t>
      </w:r>
      <w:r>
        <w:rPr>
          <w:rFonts w:hint="eastAsia" w:cs="宋体"/>
          <w:color w:val="auto"/>
          <w:sz w:val="24"/>
          <w:szCs w:val="24"/>
          <w:highlight w:val="none"/>
          <w:u w:val="none"/>
          <w:lang w:val="zh-CN"/>
        </w:rPr>
        <w:t>）</w:t>
      </w:r>
      <w:r>
        <w:rPr>
          <w:rFonts w:hint="eastAsia" w:ascii="宋体" w:hAnsi="宋体" w:eastAsia="宋体" w:cs="宋体"/>
          <w:color w:val="auto"/>
          <w:sz w:val="24"/>
          <w:szCs w:val="24"/>
          <w:highlight w:val="none"/>
          <w:u w:val="none"/>
          <w:lang w:val="zh-CN"/>
        </w:rPr>
        <w:t>学校下达学院的正式指标，按上述排序上报学校后，如出现被取消的情况，其空余的指标由所在专业的同学依次递补；如所在专业递补人数不足，可调整给其它专业，按排序依次递补。</w:t>
      </w:r>
    </w:p>
    <w:p>
      <w:pPr>
        <w:keepNext w:val="0"/>
        <w:keepLines w:val="0"/>
        <w:pageBreakBefore w:val="0"/>
        <w:kinsoku/>
        <w:wordWrap/>
        <w:overflowPunct/>
        <w:topLinePunct w:val="0"/>
        <w:autoSpaceDE w:val="0"/>
        <w:autoSpaceDN w:val="0"/>
        <w:bidi w:val="0"/>
        <w:adjustRightInd/>
        <w:snapToGrid/>
        <w:spacing w:line="460" w:lineRule="exact"/>
        <w:ind w:firstLine="482"/>
        <w:jc w:val="both"/>
        <w:textAlignment w:val="auto"/>
        <w:rPr>
          <w:rFonts w:hint="eastAsia" w:ascii="宋体" w:hAnsi="宋体" w:eastAsia="宋体" w:cs="宋体"/>
          <w:color w:val="1D41D5"/>
          <w:spacing w:val="0"/>
          <w:w w:val="100"/>
          <w:sz w:val="24"/>
          <w:szCs w:val="24"/>
          <w:highlight w:val="none"/>
          <w:u w:val="none"/>
          <w:lang w:val="zh-CN" w:eastAsia="zh-CN" w:bidi="zh-CN"/>
        </w:rPr>
      </w:pPr>
    </w:p>
    <w:p>
      <w:pPr>
        <w:keepNext w:val="0"/>
        <w:keepLines w:val="0"/>
        <w:pageBreakBefore w:val="0"/>
        <w:kinsoku/>
        <w:wordWrap/>
        <w:overflowPunct/>
        <w:topLinePunct w:val="0"/>
        <w:autoSpaceDE w:val="0"/>
        <w:autoSpaceDN w:val="0"/>
        <w:bidi w:val="0"/>
        <w:adjustRightInd/>
        <w:snapToGrid/>
        <w:spacing w:line="460" w:lineRule="exact"/>
        <w:ind w:firstLine="482"/>
        <w:jc w:val="both"/>
        <w:textAlignment w:val="auto"/>
        <w:rPr>
          <w:rFonts w:hint="eastAsia" w:ascii="宋体" w:hAnsi="宋体" w:eastAsia="宋体" w:cs="宋体"/>
          <w:color w:val="1D41D5"/>
          <w:spacing w:val="0"/>
          <w:w w:val="100"/>
          <w:sz w:val="24"/>
          <w:szCs w:val="24"/>
          <w:highlight w:val="none"/>
          <w:u w:val="none"/>
          <w:lang w:val="zh-CN" w:eastAsia="zh-CN" w:bidi="zh-CN"/>
        </w:rPr>
      </w:pPr>
    </w:p>
    <w:p>
      <w:pPr>
        <w:keepNext w:val="0"/>
        <w:keepLines w:val="0"/>
        <w:pageBreakBefore w:val="0"/>
        <w:kinsoku/>
        <w:wordWrap/>
        <w:overflowPunct/>
        <w:topLinePunct w:val="0"/>
        <w:autoSpaceDE w:val="0"/>
        <w:autoSpaceDN w:val="0"/>
        <w:bidi w:val="0"/>
        <w:adjustRightInd/>
        <w:snapToGrid/>
        <w:spacing w:line="460" w:lineRule="exact"/>
        <w:ind w:firstLine="482"/>
        <w:jc w:val="both"/>
        <w:textAlignment w:val="auto"/>
        <w:rPr>
          <w:rFonts w:hint="eastAsia" w:ascii="宋体" w:hAnsi="宋体" w:eastAsia="宋体" w:cs="宋体"/>
          <w:color w:val="1D41D5"/>
          <w:spacing w:val="0"/>
          <w:w w:val="100"/>
          <w:sz w:val="24"/>
          <w:szCs w:val="24"/>
          <w:highlight w:val="none"/>
          <w:u w:val="none"/>
          <w:lang w:val="zh-CN"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bCs/>
          <w:spacing w:val="0"/>
          <w:sz w:val="28"/>
          <w:szCs w:val="28"/>
          <w:highlight w:val="none"/>
          <w:u w:val="none"/>
          <w:lang w:val="en-US" w:eastAsia="zh-CN" w:bidi="zh-CN"/>
        </w:rPr>
      </w:pPr>
    </w:p>
    <w:p>
      <w:pPr>
        <w:keepNext w:val="0"/>
        <w:keepLines w:val="0"/>
        <w:pageBreakBefore w:val="0"/>
        <w:widowControl/>
        <w:kinsoku/>
        <w:wordWrap/>
        <w:overflowPunct/>
        <w:topLinePunct w:val="0"/>
        <w:autoSpaceDE w:val="0"/>
        <w:autoSpaceDN w:val="0"/>
        <w:bidi w:val="0"/>
        <w:adjustRightInd w:val="0"/>
        <w:snapToGrid w:val="0"/>
        <w:spacing w:line="460" w:lineRule="exact"/>
        <w:jc w:val="left"/>
        <w:rPr>
          <w:rFonts w:hint="eastAsia" w:ascii="宋体" w:hAnsi="宋体" w:eastAsia="宋体" w:cs="宋体"/>
          <w:b/>
          <w:sz w:val="28"/>
          <w:szCs w:val="28"/>
          <w:highlight w:val="none"/>
          <w:u w:val="none"/>
        </w:rPr>
      </w:pPr>
      <w:bookmarkStart w:id="1" w:name="_GoBack"/>
      <w:bookmarkEnd w:id="1"/>
      <w:r>
        <w:rPr>
          <w:rFonts w:hint="eastAsia" w:ascii="宋体" w:hAnsi="宋体" w:eastAsia="宋体" w:cs="宋体"/>
          <w:b/>
          <w:bCs/>
          <w:spacing w:val="0"/>
          <w:sz w:val="28"/>
          <w:szCs w:val="28"/>
          <w:highlight w:val="none"/>
          <w:u w:val="none"/>
          <w:lang w:val="en-US" w:eastAsia="zh-CN" w:bidi="zh-CN"/>
        </w:rPr>
        <w:t xml:space="preserve">附件2  </w:t>
      </w:r>
      <w:r>
        <w:rPr>
          <w:rFonts w:hint="eastAsia" w:ascii="宋体" w:hAnsi="宋体" w:eastAsia="宋体" w:cs="宋体"/>
          <w:b/>
          <w:sz w:val="28"/>
          <w:szCs w:val="28"/>
          <w:highlight w:val="none"/>
          <w:u w:val="none"/>
        </w:rPr>
        <w:t>科研和实践创新能力评价计分办法</w:t>
      </w:r>
    </w:p>
    <w:p>
      <w:pPr>
        <w:pStyle w:val="5"/>
        <w:keepNext w:val="0"/>
        <w:keepLines w:val="0"/>
        <w:pageBreakBefore w:val="0"/>
        <w:kinsoku/>
        <w:wordWrap/>
        <w:overflowPunct/>
        <w:topLinePunct w:val="0"/>
        <w:autoSpaceDE w:val="0"/>
        <w:autoSpaceDN w:val="0"/>
        <w:bidi w:val="0"/>
        <w:adjustRightInd/>
        <w:snapToGrid/>
        <w:spacing w:before="0" w:after="0" w:line="460" w:lineRule="exact"/>
        <w:ind w:right="0" w:firstLine="480" w:firstLineChars="200"/>
        <w:jc w:val="both"/>
        <w:textAlignment w:val="auto"/>
        <w:rPr>
          <w:rFonts w:hint="eastAsia" w:ascii="宋体" w:hAnsi="宋体" w:eastAsia="宋体" w:cs="宋体"/>
          <w:bCs/>
          <w:color w:val="000000"/>
          <w:kern w:val="0"/>
          <w:sz w:val="24"/>
          <w:szCs w:val="24"/>
          <w:highlight w:val="none"/>
          <w:u w:val="none"/>
        </w:rPr>
      </w:pPr>
      <w:r>
        <w:rPr>
          <w:rFonts w:hint="eastAsia" w:ascii="宋体" w:hAnsi="宋体" w:eastAsia="宋体" w:cs="宋体"/>
          <w:bCs/>
          <w:color w:val="000000"/>
          <w:kern w:val="0"/>
          <w:sz w:val="24"/>
          <w:szCs w:val="24"/>
          <w:highlight w:val="none"/>
          <w:u w:val="none"/>
        </w:rPr>
        <w:t>按照《南京师范大学本科生创新创业实践成果和学分认定办法》（宁师教〔2018〕6号）附录的“南京师范大学创新创业实践活动和成果分级目录”对各级各类科研和实践创新活动和成果进行计分，具体计分办法见表1、表2、表3。</w:t>
      </w:r>
    </w:p>
    <w:p/>
    <w:p>
      <w:pPr>
        <w:jc w:val="center"/>
        <w:rPr>
          <w:rFonts w:hint="eastAsia" w:ascii="宋体" w:hAnsi="宋体" w:eastAsia="宋体" w:cs="宋体"/>
          <w:b/>
          <w:bCs/>
          <w:spacing w:val="0"/>
          <w:w w:val="100"/>
          <w:sz w:val="32"/>
          <w:szCs w:val="32"/>
          <w:highlight w:val="none"/>
          <w:u w:val="none"/>
        </w:rPr>
      </w:pPr>
      <w:r>
        <w:rPr>
          <w:rFonts w:hint="eastAsia" w:ascii="宋体" w:hAnsi="宋体" w:eastAsia="宋体" w:cs="宋体"/>
          <w:b/>
          <w:bCs/>
          <w:spacing w:val="0"/>
          <w:w w:val="100"/>
          <w:sz w:val="32"/>
          <w:szCs w:val="32"/>
          <w:highlight w:val="none"/>
          <w:u w:val="none"/>
        </w:rPr>
        <w:t>表1</w:t>
      </w:r>
      <w:r>
        <w:rPr>
          <w:rFonts w:hint="eastAsia" w:ascii="宋体" w:hAnsi="宋体" w:eastAsia="宋体" w:cs="宋体"/>
          <w:b/>
          <w:bCs/>
          <w:spacing w:val="0"/>
          <w:w w:val="100"/>
          <w:sz w:val="32"/>
          <w:szCs w:val="32"/>
          <w:highlight w:val="none"/>
          <w:u w:val="none"/>
        </w:rPr>
        <w:tab/>
      </w:r>
      <w:r>
        <w:rPr>
          <w:rFonts w:hint="eastAsia" w:ascii="宋体" w:hAnsi="宋体" w:eastAsia="宋体" w:cs="宋体"/>
          <w:b/>
          <w:bCs/>
          <w:spacing w:val="0"/>
          <w:w w:val="100"/>
          <w:sz w:val="32"/>
          <w:szCs w:val="32"/>
          <w:highlight w:val="none"/>
          <w:u w:val="none"/>
        </w:rPr>
        <w:t>竞赛计分办法</w:t>
      </w:r>
    </w:p>
    <w:p>
      <w:pPr>
        <w:rPr>
          <w:rFonts w:hint="eastAsia" w:ascii="宋体" w:hAnsi="宋体" w:eastAsia="宋体" w:cs="宋体"/>
          <w:b/>
          <w:bCs/>
          <w:spacing w:val="0"/>
          <w:w w:val="100"/>
          <w:sz w:val="24"/>
          <w:szCs w:val="24"/>
          <w:highlight w:val="none"/>
          <w:u w:val="none"/>
        </w:rPr>
      </w:pPr>
    </w:p>
    <w:tbl>
      <w:tblPr>
        <w:tblStyle w:val="9"/>
        <w:tblW w:w="96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2128"/>
        <w:gridCol w:w="1267"/>
        <w:gridCol w:w="1283"/>
        <w:gridCol w:w="2867"/>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ascii="仿宋_GB2312" w:hAnsi="仿宋_GB2312" w:eastAsia="仿宋_GB2312" w:cs="仿宋_GB2312"/>
                <w:b/>
                <w:bCs/>
                <w:color w:val="000000"/>
                <w:kern w:val="0"/>
                <w:sz w:val="31"/>
                <w:szCs w:val="31"/>
                <w:lang w:val="en-US" w:eastAsia="zh-CN" w:bidi="ar"/>
              </w:rPr>
              <w:t>类型</w:t>
            </w:r>
          </w:p>
        </w:tc>
        <w:tc>
          <w:tcPr>
            <w:tcW w:w="2128"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r>
              <w:rPr>
                <w:rFonts w:ascii="仿宋_GB2312" w:hAnsi="仿宋_GB2312" w:eastAsia="仿宋_GB2312" w:cs="仿宋_GB2312"/>
                <w:b/>
                <w:bCs/>
                <w:color w:val="000000"/>
                <w:kern w:val="0"/>
                <w:sz w:val="31"/>
                <w:szCs w:val="31"/>
                <w:lang w:val="en-US" w:eastAsia="zh-CN" w:bidi="ar"/>
              </w:rPr>
              <w:t>排序</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rPr>
            </w:pPr>
            <w:r>
              <w:rPr>
                <w:rFonts w:ascii="仿宋_GB2312" w:hAnsi="仿宋_GB2312" w:eastAsia="仿宋_GB2312" w:cs="仿宋_GB2312"/>
                <w:b/>
                <w:bCs/>
                <w:color w:val="000000"/>
                <w:kern w:val="0"/>
                <w:sz w:val="31"/>
                <w:szCs w:val="31"/>
                <w:lang w:val="en-US" w:eastAsia="zh-CN" w:bidi="ar"/>
              </w:rPr>
              <w:t>第一等</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ascii="仿宋_GB2312" w:hAnsi="仿宋_GB2312" w:eastAsia="仿宋_GB2312" w:cs="仿宋_GB2312"/>
                <w:b/>
                <w:bCs/>
                <w:color w:val="000000"/>
                <w:kern w:val="0"/>
                <w:sz w:val="31"/>
                <w:szCs w:val="31"/>
                <w:lang w:val="en-US" w:eastAsia="zh-CN" w:bidi="ar"/>
              </w:rPr>
              <w:t>次奖</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rPr>
            </w:pPr>
            <w:r>
              <w:rPr>
                <w:rFonts w:ascii="仿宋_GB2312" w:hAnsi="仿宋_GB2312" w:eastAsia="仿宋_GB2312" w:cs="仿宋_GB2312"/>
                <w:b/>
                <w:bCs/>
                <w:color w:val="000000"/>
                <w:kern w:val="0"/>
                <w:sz w:val="31"/>
                <w:szCs w:val="31"/>
                <w:lang w:val="en-US" w:eastAsia="zh-CN" w:bidi="ar"/>
              </w:rPr>
              <w:t>第二等</w:t>
            </w:r>
          </w:p>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r>
              <w:rPr>
                <w:rFonts w:ascii="仿宋_GB2312" w:hAnsi="仿宋_GB2312" w:eastAsia="仿宋_GB2312" w:cs="仿宋_GB2312"/>
                <w:b/>
                <w:bCs/>
                <w:color w:val="000000"/>
                <w:kern w:val="0"/>
                <w:sz w:val="31"/>
                <w:szCs w:val="31"/>
                <w:lang w:val="en-US" w:eastAsia="zh-CN" w:bidi="ar"/>
              </w:rPr>
              <w:t>次奖</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ascii="仿宋_GB2312" w:hAnsi="仿宋_GB2312" w:eastAsia="仿宋_GB2312" w:cs="仿宋_GB2312"/>
                <w:b/>
                <w:bCs/>
                <w:color w:val="000000"/>
                <w:kern w:val="0"/>
                <w:sz w:val="31"/>
                <w:szCs w:val="31"/>
                <w:lang w:val="en-US" w:eastAsia="zh-CN" w:bidi="ar"/>
              </w:rPr>
              <w:t>第三等次奖（演艺类成果获入围或提奖）</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rPr>
            </w:pPr>
            <w:r>
              <w:rPr>
                <w:rFonts w:ascii="仿宋_GB2312" w:hAnsi="仿宋_GB2312" w:eastAsia="仿宋_GB2312" w:cs="仿宋_GB2312"/>
                <w:b/>
                <w:bCs/>
                <w:color w:val="000000"/>
                <w:kern w:val="0"/>
                <w:sz w:val="31"/>
                <w:szCs w:val="31"/>
                <w:lang w:val="en-US" w:eastAsia="zh-CN" w:bidi="ar"/>
              </w:rPr>
              <w:t>第四等</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ascii="仿宋_GB2312" w:hAnsi="仿宋_GB2312" w:eastAsia="仿宋_GB2312" w:cs="仿宋_GB2312"/>
                <w:b/>
                <w:bCs/>
                <w:color w:val="000000"/>
                <w:kern w:val="0"/>
                <w:sz w:val="31"/>
                <w:szCs w:val="31"/>
                <w:lang w:val="en-US" w:eastAsia="zh-CN" w:bidi="ar"/>
              </w:rPr>
              <w:t>次奖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rPr>
            </w:pPr>
            <w:r>
              <w:rPr>
                <w:rFonts w:ascii="仿宋_GB2312" w:hAnsi="仿宋_GB2312" w:eastAsia="仿宋_GB2312" w:cs="仿宋_GB2312"/>
                <w:b/>
                <w:bCs/>
                <w:color w:val="000000"/>
                <w:kern w:val="0"/>
                <w:sz w:val="31"/>
                <w:szCs w:val="31"/>
                <w:lang w:val="en-US" w:eastAsia="zh-CN" w:bidi="ar"/>
              </w:rPr>
              <w:t>一类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hint="default" w:ascii="Times New Roman" w:hAnsi="Times New Roman" w:eastAsia="宋体" w:cs="Times New Roman"/>
                <w:b/>
                <w:bCs/>
                <w:color w:val="000000"/>
                <w:kern w:val="0"/>
                <w:sz w:val="31"/>
                <w:szCs w:val="31"/>
                <w:lang w:val="en-US" w:eastAsia="zh-CN" w:bidi="ar"/>
              </w:rPr>
              <w:t>A</w:t>
            </w: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1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5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3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1.5 </w:t>
            </w:r>
            <w:r>
              <w:rPr>
                <w:rFonts w:ascii="仿宋_GB2312" w:hAnsi="仿宋_GB2312" w:eastAsia="仿宋_GB2312" w:cs="仿宋_GB2312"/>
                <w:b w:val="0"/>
                <w:bCs w:val="0"/>
                <w:color w:val="000000"/>
                <w:kern w:val="0"/>
                <w:sz w:val="31"/>
                <w:szCs w:val="31"/>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3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1.5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3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1.5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0.5 </w:t>
            </w:r>
            <w:r>
              <w:rPr>
                <w:rFonts w:ascii="仿宋_GB2312" w:hAnsi="仿宋_GB2312" w:eastAsia="仿宋_GB2312" w:cs="仿宋_GB2312"/>
                <w:b w:val="0"/>
                <w:bCs w:val="0"/>
                <w:color w:val="000000"/>
                <w:kern w:val="0"/>
                <w:sz w:val="31"/>
                <w:szCs w:val="31"/>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4-5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1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0.8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0.3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0.2 </w:t>
            </w:r>
            <w:r>
              <w:rPr>
                <w:rFonts w:ascii="仿宋_GB2312" w:hAnsi="仿宋_GB2312" w:eastAsia="仿宋_GB2312" w:cs="仿宋_GB2312"/>
                <w:b w:val="0"/>
                <w:bCs w:val="0"/>
                <w:color w:val="000000"/>
                <w:kern w:val="0"/>
                <w:sz w:val="31"/>
                <w:szCs w:val="31"/>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bCs/>
                <w:color w:val="000000"/>
                <w:kern w:val="0"/>
                <w:sz w:val="31"/>
                <w:szCs w:val="31"/>
                <w:lang w:val="en-US" w:eastAsia="zh-CN" w:bidi="ar"/>
              </w:rPr>
            </w:pPr>
            <w:r>
              <w:rPr>
                <w:rFonts w:ascii="仿宋_GB2312" w:hAnsi="仿宋_GB2312" w:eastAsia="仿宋_GB2312" w:cs="仿宋_GB2312"/>
                <w:b/>
                <w:bCs/>
                <w:color w:val="000000"/>
                <w:kern w:val="0"/>
                <w:sz w:val="31"/>
                <w:szCs w:val="31"/>
                <w:lang w:val="en-US" w:eastAsia="zh-CN" w:bidi="ar"/>
              </w:rPr>
              <w:t>一类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hint="eastAsia" w:ascii="仿宋_GB2312" w:hAnsi="仿宋_GB2312" w:eastAsia="仿宋_GB2312" w:cs="仿宋_GB2312"/>
                <w:b/>
                <w:bCs/>
                <w:color w:val="000000"/>
                <w:kern w:val="0"/>
                <w:sz w:val="31"/>
                <w:szCs w:val="31"/>
                <w:lang w:val="en-US" w:eastAsia="zh-CN" w:bidi="ar"/>
              </w:rPr>
              <w:t>B</w:t>
            </w: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1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2</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1.5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0.8</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1.5</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hint="eastAsia"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w:t>
            </w:r>
            <w:r>
              <w:rPr>
                <w:rFonts w:hint="default" w:ascii="Times New Roman" w:hAnsi="Times New Roman" w:eastAsia="宋体" w:cs="Times New Roman"/>
                <w:b w:val="0"/>
                <w:bCs w:val="0"/>
                <w:color w:val="000000"/>
                <w:kern w:val="0"/>
                <w:sz w:val="31"/>
                <w:szCs w:val="31"/>
                <w:lang w:val="en-US" w:eastAsia="zh-CN" w:bidi="ar"/>
              </w:rPr>
              <w:t xml:space="preserve">.5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3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0.5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0.3</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4-5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仿宋_GB2312" w:hAnsi="仿宋_GB2312" w:eastAsia="仿宋_GB2312" w:cs="仿宋_GB2312"/>
                <w:b w:val="0"/>
                <w:bCs w:val="0"/>
                <w:color w:val="000000"/>
                <w:kern w:val="0"/>
                <w:sz w:val="31"/>
                <w:szCs w:val="31"/>
                <w:lang w:val="en-US" w:eastAsia="zh-CN" w:bidi="ar"/>
              </w:rPr>
              <w:t>0.3</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0.2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0.</w:t>
            </w: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hint="eastAsia" w:ascii="仿宋_GB2312" w:hAnsi="仿宋_GB2312" w:eastAsia="仿宋_GB2312" w:cs="仿宋_GB2312"/>
                <w:b/>
                <w:bCs/>
                <w:color w:val="000000"/>
                <w:kern w:val="0"/>
                <w:sz w:val="31"/>
                <w:szCs w:val="31"/>
                <w:lang w:val="en-US" w:eastAsia="zh-CN" w:bidi="ar"/>
              </w:rPr>
              <w:t>二</w:t>
            </w:r>
            <w:r>
              <w:rPr>
                <w:rFonts w:ascii="仿宋_GB2312" w:hAnsi="仿宋_GB2312" w:eastAsia="仿宋_GB2312" w:cs="仿宋_GB2312"/>
                <w:b/>
                <w:bCs/>
                <w:color w:val="000000"/>
                <w:kern w:val="0"/>
                <w:sz w:val="31"/>
                <w:szCs w:val="31"/>
                <w:lang w:val="en-US" w:eastAsia="zh-CN" w:bidi="ar"/>
              </w:rPr>
              <w:t>类</w:t>
            </w: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1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1.5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0.8</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0.5</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w:t>
            </w:r>
            <w:r>
              <w:rPr>
                <w:rFonts w:hint="default" w:ascii="Times New Roman" w:hAnsi="Times New Roman" w:eastAsia="宋体" w:cs="Times New Roman"/>
                <w:b w:val="0"/>
                <w:bCs w:val="0"/>
                <w:color w:val="000000"/>
                <w:kern w:val="0"/>
                <w:sz w:val="31"/>
                <w:szCs w:val="31"/>
                <w:lang w:val="en-US" w:eastAsia="zh-CN" w:bidi="ar"/>
              </w:rPr>
              <w:t>.5</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w:t>
            </w:r>
            <w:r>
              <w:rPr>
                <w:rFonts w:hint="default" w:ascii="Times New Roman" w:hAnsi="Times New Roman" w:eastAsia="宋体" w:cs="Times New Roman"/>
                <w:b w:val="0"/>
                <w:bCs w:val="0"/>
                <w:color w:val="000000"/>
                <w:kern w:val="0"/>
                <w:sz w:val="31"/>
                <w:szCs w:val="31"/>
                <w:lang w:val="en-US" w:eastAsia="zh-CN" w:bidi="ar"/>
              </w:rPr>
              <w:t>.</w:t>
            </w:r>
            <w:r>
              <w:rPr>
                <w:rFonts w:hint="eastAsia" w:ascii="Times New Roman" w:hAnsi="Times New Roman" w:eastAsia="宋体" w:cs="Times New Roman"/>
                <w:b w:val="0"/>
                <w:bCs w:val="0"/>
                <w:color w:val="000000"/>
                <w:kern w:val="0"/>
                <w:sz w:val="31"/>
                <w:szCs w:val="31"/>
                <w:lang w:val="en-US" w:eastAsia="zh-CN" w:bidi="ar"/>
              </w:rPr>
              <w:t>3</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3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0.5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0.3</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0.2</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b/>
                <w:bCs/>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4-5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 xml:space="preserve">0.2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0.</w:t>
            </w:r>
            <w:r>
              <w:rPr>
                <w:rFonts w:hint="eastAsia" w:ascii="Times New Roman" w:hAnsi="Times New Roman" w:eastAsia="宋体" w:cs="Times New Roman"/>
                <w:b w:val="0"/>
                <w:bCs w:val="0"/>
                <w:color w:val="000000"/>
                <w:kern w:val="0"/>
                <w:sz w:val="31"/>
                <w:szCs w:val="31"/>
                <w:lang w:val="en-US" w:eastAsia="zh-CN" w:bidi="ar"/>
              </w:rPr>
              <w:t>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0.</w:t>
            </w:r>
            <w:r>
              <w:rPr>
                <w:rFonts w:hint="eastAsia" w:ascii="Times New Roman" w:hAnsi="Times New Roman" w:eastAsia="宋体" w:cs="Times New Roman"/>
                <w:b w:val="0"/>
                <w:bCs w:val="0"/>
                <w:color w:val="000000"/>
                <w:kern w:val="0"/>
                <w:sz w:val="31"/>
                <w:szCs w:val="31"/>
                <w:lang w:val="en-US" w:eastAsia="zh-CN" w:bidi="ar"/>
              </w:rPr>
              <w:t>1</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b/>
                <w:bCs/>
                <w:vertAlign w:val="baseline"/>
              </w:rPr>
            </w:pPr>
            <w:r>
              <w:rPr>
                <w:rFonts w:hint="eastAsia" w:ascii="仿宋_GB2312" w:hAnsi="仿宋_GB2312" w:eastAsia="仿宋_GB2312" w:cs="仿宋_GB2312"/>
                <w:b/>
                <w:bCs/>
                <w:color w:val="000000"/>
                <w:kern w:val="0"/>
                <w:sz w:val="31"/>
                <w:szCs w:val="31"/>
                <w:lang w:val="en-US" w:eastAsia="zh-CN" w:bidi="ar"/>
              </w:rPr>
              <w:t>三</w:t>
            </w:r>
            <w:r>
              <w:rPr>
                <w:rFonts w:ascii="仿宋_GB2312" w:hAnsi="仿宋_GB2312" w:eastAsia="仿宋_GB2312" w:cs="仿宋_GB2312"/>
                <w:b/>
                <w:bCs/>
                <w:color w:val="000000"/>
                <w:kern w:val="0"/>
                <w:sz w:val="31"/>
                <w:szCs w:val="31"/>
                <w:lang w:val="en-US" w:eastAsia="zh-CN" w:bidi="ar"/>
              </w:rPr>
              <w:t>类</w:t>
            </w: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1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0.7</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0.4</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0.2</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2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0.4</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w:t>
            </w:r>
            <w:r>
              <w:rPr>
                <w:rFonts w:hint="default" w:ascii="Times New Roman" w:hAnsi="Times New Roman" w:eastAsia="宋体" w:cs="Times New Roman"/>
                <w:b w:val="0"/>
                <w:bCs w:val="0"/>
                <w:color w:val="000000"/>
                <w:kern w:val="0"/>
                <w:sz w:val="31"/>
                <w:szCs w:val="31"/>
                <w:lang w:val="en-US" w:eastAsia="zh-CN" w:bidi="ar"/>
              </w:rPr>
              <w:t>.</w:t>
            </w:r>
            <w:r>
              <w:rPr>
                <w:rFonts w:hint="eastAsia" w:ascii="Times New Roman" w:hAnsi="Times New Roman" w:eastAsia="宋体" w:cs="Times New Roman"/>
                <w:b w:val="0"/>
                <w:bCs w:val="0"/>
                <w:color w:val="000000"/>
                <w:kern w:val="0"/>
                <w:sz w:val="31"/>
                <w:szCs w:val="31"/>
                <w:lang w:val="en-US" w:eastAsia="zh-CN" w:bidi="ar"/>
              </w:rPr>
              <w:t>2</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w:t>
            </w:r>
            <w:r>
              <w:rPr>
                <w:rFonts w:hint="default" w:ascii="Times New Roman" w:hAnsi="Times New Roman" w:eastAsia="宋体" w:cs="Times New Roman"/>
                <w:b w:val="0"/>
                <w:bCs w:val="0"/>
                <w:color w:val="000000"/>
                <w:kern w:val="0"/>
                <w:sz w:val="31"/>
                <w:szCs w:val="31"/>
                <w:lang w:val="en-US" w:eastAsia="zh-CN" w:bidi="ar"/>
              </w:rPr>
              <w:t>.</w:t>
            </w:r>
            <w:r>
              <w:rPr>
                <w:rFonts w:hint="eastAsia" w:ascii="Times New Roman" w:hAnsi="Times New Roman" w:eastAsia="宋体" w:cs="Times New Roman"/>
                <w:b w:val="0"/>
                <w:bCs w:val="0"/>
                <w:color w:val="000000"/>
                <w:kern w:val="0"/>
                <w:sz w:val="31"/>
                <w:szCs w:val="31"/>
                <w:lang w:val="en-US" w:eastAsia="zh-CN" w:bidi="ar"/>
              </w:rPr>
              <w:t>1</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vertAlign w:val="baseline"/>
              </w:rPr>
            </w:pPr>
          </w:p>
        </w:tc>
        <w:tc>
          <w:tcPr>
            <w:tcW w:w="2128"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ascii="仿宋_GB2312" w:hAnsi="仿宋_GB2312" w:eastAsia="仿宋_GB2312" w:cs="仿宋_GB2312"/>
                <w:b w:val="0"/>
                <w:bCs w:val="0"/>
                <w:color w:val="000000"/>
                <w:kern w:val="0"/>
                <w:sz w:val="31"/>
                <w:szCs w:val="31"/>
                <w:lang w:val="en-US" w:eastAsia="zh-CN" w:bidi="ar"/>
              </w:rPr>
              <w:t xml:space="preserve">第 </w:t>
            </w:r>
            <w:r>
              <w:rPr>
                <w:rFonts w:hint="default" w:ascii="Times New Roman" w:hAnsi="Times New Roman" w:eastAsia="宋体" w:cs="Times New Roman"/>
                <w:b w:val="0"/>
                <w:bCs w:val="0"/>
                <w:color w:val="000000"/>
                <w:kern w:val="0"/>
                <w:sz w:val="31"/>
                <w:szCs w:val="31"/>
                <w:lang w:val="en-US" w:eastAsia="zh-CN" w:bidi="ar"/>
              </w:rPr>
              <w:t xml:space="preserve">3 </w:t>
            </w:r>
            <w:r>
              <w:rPr>
                <w:rFonts w:ascii="仿宋_GB2312" w:hAnsi="仿宋_GB2312" w:eastAsia="仿宋_GB2312" w:cs="仿宋_GB2312"/>
                <w:b w:val="0"/>
                <w:bCs w:val="0"/>
                <w:color w:val="000000"/>
                <w:kern w:val="0"/>
                <w:sz w:val="31"/>
                <w:szCs w:val="31"/>
                <w:lang w:val="en-US" w:eastAsia="zh-CN" w:bidi="ar"/>
              </w:rPr>
              <w:t>完成人</w:t>
            </w:r>
          </w:p>
        </w:tc>
        <w:tc>
          <w:tcPr>
            <w:tcW w:w="12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default" w:ascii="Times New Roman" w:hAnsi="Times New Roman" w:eastAsia="宋体" w:cs="Times New Roman"/>
                <w:b w:val="0"/>
                <w:bCs w:val="0"/>
                <w:color w:val="000000"/>
                <w:kern w:val="0"/>
                <w:sz w:val="31"/>
                <w:szCs w:val="31"/>
                <w:lang w:val="en-US" w:eastAsia="zh-CN" w:bidi="ar"/>
              </w:rPr>
              <w:t>0.</w:t>
            </w:r>
            <w:r>
              <w:rPr>
                <w:rFonts w:hint="eastAsia" w:ascii="Times New Roman" w:hAnsi="Times New Roman" w:eastAsia="宋体" w:cs="Times New Roman"/>
                <w:b w:val="0"/>
                <w:bCs w:val="0"/>
                <w:color w:val="000000"/>
                <w:kern w:val="0"/>
                <w:sz w:val="31"/>
                <w:szCs w:val="31"/>
                <w:lang w:val="en-US" w:eastAsia="zh-CN" w:bidi="ar"/>
              </w:rPr>
              <w:t>3</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128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0.1</w:t>
            </w:r>
            <w:r>
              <w:rPr>
                <w:rFonts w:hint="default" w:ascii="Times New Roman" w:hAnsi="Times New Roman" w:eastAsia="宋体" w:cs="Times New Roman"/>
                <w:b w:val="0"/>
                <w:bCs w:val="0"/>
                <w:color w:val="000000"/>
                <w:kern w:val="0"/>
                <w:sz w:val="31"/>
                <w:szCs w:val="31"/>
                <w:lang w:val="en-US" w:eastAsia="zh-CN" w:bidi="ar"/>
              </w:rPr>
              <w:t xml:space="preserve"> </w:t>
            </w:r>
            <w:r>
              <w:rPr>
                <w:rFonts w:ascii="仿宋_GB2312" w:hAnsi="仿宋_GB2312" w:eastAsia="仿宋_GB2312" w:cs="仿宋_GB2312"/>
                <w:b w:val="0"/>
                <w:bCs w:val="0"/>
                <w:color w:val="000000"/>
                <w:kern w:val="0"/>
                <w:sz w:val="31"/>
                <w:szCs w:val="31"/>
                <w:lang w:val="en-US" w:eastAsia="zh-CN" w:bidi="ar"/>
              </w:rPr>
              <w:t>分</w:t>
            </w:r>
          </w:p>
        </w:tc>
        <w:tc>
          <w:tcPr>
            <w:tcW w:w="286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0.1</w:t>
            </w:r>
            <w:r>
              <w:rPr>
                <w:rFonts w:ascii="仿宋_GB2312" w:hAnsi="仿宋_GB2312" w:eastAsia="仿宋_GB2312" w:cs="仿宋_GB2312"/>
                <w:b w:val="0"/>
                <w:bCs w:val="0"/>
                <w:color w:val="000000"/>
                <w:kern w:val="0"/>
                <w:sz w:val="31"/>
                <w:szCs w:val="31"/>
                <w:lang w:val="en-US" w:eastAsia="zh-CN" w:bidi="ar"/>
              </w:rPr>
              <w:t>分</w:t>
            </w:r>
          </w:p>
        </w:tc>
        <w:tc>
          <w:tcPr>
            <w:tcW w:w="1217"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color w:val="000000"/>
                <w:kern w:val="0"/>
                <w:sz w:val="31"/>
                <w:szCs w:val="31"/>
                <w:lang w:val="en-US" w:eastAsia="zh-CN" w:bidi="ar"/>
              </w:rPr>
            </w:pPr>
            <w:r>
              <w:rPr>
                <w:rFonts w:hint="eastAsia" w:ascii="Times New Roman" w:hAnsi="Times New Roman" w:eastAsia="宋体" w:cs="Times New Roman"/>
                <w:b w:val="0"/>
                <w:bCs w:val="0"/>
                <w:color w:val="000000"/>
                <w:kern w:val="0"/>
                <w:sz w:val="31"/>
                <w:szCs w:val="31"/>
                <w:lang w:val="en-US" w:eastAsia="zh-CN" w:bidi="ar"/>
              </w:rPr>
              <w:t>——</w:t>
            </w:r>
          </w:p>
        </w:tc>
      </w:tr>
    </w:tbl>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right="0"/>
        <w:jc w:val="both"/>
        <w:textAlignment w:val="auto"/>
        <w:rPr>
          <w:rFonts w:hint="eastAsia" w:ascii="宋体" w:hAnsi="宋体" w:eastAsia="宋体" w:cs="宋体"/>
          <w:b/>
          <w:bCs/>
          <w:spacing w:val="0"/>
          <w:w w:val="100"/>
          <w:sz w:val="24"/>
          <w:szCs w:val="24"/>
          <w:highlight w:val="none"/>
          <w:u w:val="none"/>
        </w:rPr>
      </w:pP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right="0"/>
        <w:jc w:val="center"/>
        <w:textAlignment w:val="auto"/>
        <w:rPr>
          <w:rFonts w:hint="eastAsia" w:ascii="宋体" w:hAnsi="宋体" w:eastAsia="宋体" w:cs="宋体"/>
          <w:b/>
          <w:bCs/>
          <w:spacing w:val="0"/>
          <w:w w:val="100"/>
          <w:sz w:val="32"/>
          <w:szCs w:val="32"/>
          <w:highlight w:val="none"/>
          <w:u w:val="none"/>
        </w:rPr>
      </w:pPr>
      <w:r>
        <w:rPr>
          <w:rFonts w:hint="eastAsia" w:ascii="宋体" w:hAnsi="宋体" w:eastAsia="宋体" w:cs="宋体"/>
          <w:b/>
          <w:bCs/>
          <w:spacing w:val="0"/>
          <w:w w:val="100"/>
          <w:sz w:val="32"/>
          <w:szCs w:val="32"/>
          <w:highlight w:val="none"/>
          <w:u w:val="none"/>
        </w:rPr>
        <w:t>表2</w:t>
      </w:r>
      <w:r>
        <w:rPr>
          <w:rFonts w:hint="eastAsia" w:ascii="宋体" w:hAnsi="宋体" w:eastAsia="宋体" w:cs="宋体"/>
          <w:b/>
          <w:bCs/>
          <w:spacing w:val="0"/>
          <w:w w:val="100"/>
          <w:sz w:val="32"/>
          <w:szCs w:val="32"/>
          <w:highlight w:val="none"/>
          <w:u w:val="none"/>
        </w:rPr>
        <w:tab/>
      </w:r>
      <w:r>
        <w:rPr>
          <w:rFonts w:hint="eastAsia" w:ascii="宋体" w:hAnsi="宋体" w:eastAsia="宋体" w:cs="宋体"/>
          <w:b/>
          <w:bCs/>
          <w:spacing w:val="0"/>
          <w:w w:val="100"/>
          <w:sz w:val="32"/>
          <w:szCs w:val="32"/>
          <w:highlight w:val="none"/>
          <w:u w:val="none"/>
        </w:rPr>
        <w:t>发表论文或文学艺术作品、一类专利计分办法</w:t>
      </w: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right="0"/>
        <w:jc w:val="center"/>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（合计计分不超过1.5分）</w:t>
      </w:r>
    </w:p>
    <w:tbl>
      <w:tblPr>
        <w:tblStyle w:val="9"/>
        <w:tblpPr w:leftFromText="180" w:rightFromText="180" w:vertAnchor="text" w:horzAnchor="page" w:tblpX="1365" w:tblpY="4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1"/>
        <w:gridCol w:w="2391"/>
        <w:gridCol w:w="2392"/>
        <w:gridCol w:w="2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Pr>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right="0"/>
              <w:jc w:val="center"/>
              <w:textAlignment w:val="auto"/>
              <w:rPr>
                <w:rFonts w:hint="eastAsia" w:ascii="宋体" w:hAnsi="宋体" w:eastAsia="宋体" w:cs="宋体"/>
                <w:b/>
                <w:bCs/>
                <w:spacing w:val="0"/>
                <w:w w:val="100"/>
                <w:sz w:val="24"/>
                <w:szCs w:val="24"/>
                <w:highlight w:val="none"/>
                <w:u w:val="none"/>
                <w:vertAlign w:val="baseline"/>
              </w:rPr>
            </w:pPr>
          </w:p>
        </w:tc>
        <w:tc>
          <w:tcPr>
            <w:tcW w:w="2391" w:type="dxa"/>
            <w:vAlign w:val="top"/>
          </w:tcPr>
          <w:p>
            <w:pPr>
              <w:pStyle w:val="12"/>
              <w:spacing w:before="187"/>
              <w:ind w:left="659" w:leftChars="0" w:right="0" w:rightChars="0"/>
              <w:rPr>
                <w:rFonts w:hint="eastAsia" w:ascii="宋体" w:hAnsi="Times New Roman" w:eastAsia="宋体" w:cs="Times New Roman"/>
                <w:b/>
                <w:bCs/>
                <w:sz w:val="28"/>
                <w:szCs w:val="22"/>
                <w:lang w:val="zh-CN" w:eastAsia="zh-CN" w:bidi="zh-CN"/>
              </w:rPr>
            </w:pPr>
            <w:r>
              <w:rPr>
                <w:rFonts w:hint="eastAsia" w:ascii="宋体" w:eastAsia="宋体"/>
                <w:b/>
                <w:bCs/>
                <w:sz w:val="28"/>
              </w:rPr>
              <w:t>一类</w:t>
            </w:r>
          </w:p>
        </w:tc>
        <w:tc>
          <w:tcPr>
            <w:tcW w:w="2392" w:type="dxa"/>
            <w:vAlign w:val="top"/>
          </w:tcPr>
          <w:p>
            <w:pPr>
              <w:pStyle w:val="12"/>
              <w:spacing w:before="187"/>
              <w:ind w:left="658" w:leftChars="0" w:right="0" w:rightChars="0"/>
              <w:rPr>
                <w:rFonts w:hint="eastAsia" w:ascii="宋体" w:hAnsi="Times New Roman" w:eastAsia="宋体" w:cs="Times New Roman"/>
                <w:b/>
                <w:bCs/>
                <w:sz w:val="28"/>
                <w:szCs w:val="22"/>
                <w:lang w:val="zh-CN" w:eastAsia="zh-CN" w:bidi="zh-CN"/>
              </w:rPr>
            </w:pPr>
            <w:r>
              <w:rPr>
                <w:rFonts w:hint="eastAsia" w:ascii="宋体" w:eastAsia="宋体"/>
                <w:b/>
                <w:bCs/>
                <w:sz w:val="28"/>
              </w:rPr>
              <w:t>二类</w:t>
            </w:r>
          </w:p>
        </w:tc>
        <w:tc>
          <w:tcPr>
            <w:tcW w:w="2392" w:type="dxa"/>
            <w:vAlign w:val="top"/>
          </w:tcPr>
          <w:p>
            <w:pPr>
              <w:pStyle w:val="12"/>
              <w:spacing w:before="187"/>
              <w:ind w:left="658" w:leftChars="0" w:right="0" w:rightChars="0"/>
              <w:rPr>
                <w:rFonts w:hint="eastAsia" w:ascii="宋体" w:hAnsi="Times New Roman" w:eastAsia="宋体" w:cs="Times New Roman"/>
                <w:b/>
                <w:bCs/>
                <w:sz w:val="28"/>
                <w:szCs w:val="22"/>
                <w:lang w:val="zh-CN" w:eastAsia="zh-CN" w:bidi="zh-CN"/>
              </w:rPr>
            </w:pPr>
            <w:r>
              <w:rPr>
                <w:rFonts w:hint="eastAsia" w:ascii="宋体" w:eastAsia="宋体"/>
                <w:b/>
                <w:bCs/>
                <w:sz w:val="28"/>
              </w:rPr>
              <w:t>三类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vAlign w:val="top"/>
          </w:tcPr>
          <w:p>
            <w:pPr>
              <w:pStyle w:val="12"/>
              <w:spacing w:before="95" w:line="508" w:lineRule="exact"/>
              <w:ind w:left="659"/>
              <w:rPr>
                <w:rFonts w:hint="eastAsia" w:ascii="Microsoft JhengHei" w:hAnsi="Times New Roman" w:eastAsia="Microsoft JhengHei" w:cs="Times New Roman"/>
                <w:b/>
                <w:sz w:val="28"/>
                <w:szCs w:val="22"/>
                <w:lang w:val="zh-CN" w:eastAsia="zh-CN" w:bidi="zh-CN"/>
              </w:rPr>
            </w:pPr>
            <w:r>
              <w:rPr>
                <w:rFonts w:hint="eastAsia" w:ascii="Microsoft JhengHei" w:eastAsia="Microsoft JhengHei"/>
                <w:b/>
                <w:sz w:val="28"/>
              </w:rPr>
              <w:t>第一作者</w:t>
            </w:r>
          </w:p>
        </w:tc>
        <w:tc>
          <w:tcPr>
            <w:tcW w:w="2391" w:type="dxa"/>
            <w:vAlign w:val="top"/>
          </w:tcPr>
          <w:p>
            <w:pPr>
              <w:pStyle w:val="12"/>
              <w:spacing w:before="188"/>
              <w:ind w:left="659" w:leftChars="0" w:right="0" w:rightChars="0"/>
              <w:rPr>
                <w:rFonts w:hint="eastAsia" w:ascii="宋体" w:hAnsi="Times New Roman" w:eastAsia="宋体" w:cs="Times New Roman"/>
                <w:sz w:val="28"/>
                <w:szCs w:val="22"/>
                <w:lang w:val="zh-CN" w:eastAsia="zh-CN" w:bidi="zh-CN"/>
              </w:rPr>
            </w:pPr>
            <w:r>
              <w:rPr>
                <w:sz w:val="28"/>
              </w:rPr>
              <w:t>1.5</w:t>
            </w:r>
            <w:r>
              <w:rPr>
                <w:rFonts w:hint="eastAsia" w:ascii="宋体" w:eastAsia="宋体"/>
                <w:sz w:val="28"/>
              </w:rPr>
              <w:t>分</w:t>
            </w:r>
          </w:p>
        </w:tc>
        <w:tc>
          <w:tcPr>
            <w:tcW w:w="2392" w:type="dxa"/>
            <w:vAlign w:val="top"/>
          </w:tcPr>
          <w:p>
            <w:pPr>
              <w:pStyle w:val="12"/>
              <w:spacing w:before="188"/>
              <w:ind w:left="658" w:leftChars="0" w:right="0" w:rightChars="0"/>
              <w:rPr>
                <w:rFonts w:hint="eastAsia" w:ascii="宋体" w:hAnsi="Times New Roman" w:eastAsia="宋体" w:cs="Times New Roman"/>
                <w:sz w:val="28"/>
                <w:szCs w:val="22"/>
                <w:lang w:val="zh-CN" w:eastAsia="zh-CN" w:bidi="zh-CN"/>
              </w:rPr>
            </w:pPr>
            <w:r>
              <w:rPr>
                <w:sz w:val="28"/>
              </w:rPr>
              <w:t>1.2</w:t>
            </w:r>
            <w:r>
              <w:rPr>
                <w:rFonts w:hint="eastAsia" w:ascii="宋体" w:eastAsia="宋体"/>
                <w:sz w:val="28"/>
              </w:rPr>
              <w:t>分</w:t>
            </w:r>
          </w:p>
        </w:tc>
        <w:tc>
          <w:tcPr>
            <w:tcW w:w="2392" w:type="dxa"/>
            <w:vAlign w:val="top"/>
          </w:tcPr>
          <w:p>
            <w:pPr>
              <w:pStyle w:val="12"/>
              <w:spacing w:before="188"/>
              <w:ind w:left="658" w:leftChars="0" w:right="0" w:rightChars="0"/>
              <w:rPr>
                <w:rFonts w:hint="eastAsia" w:ascii="宋体" w:hAnsi="Times New Roman" w:eastAsia="宋体" w:cs="Times New Roman"/>
                <w:sz w:val="28"/>
                <w:szCs w:val="22"/>
                <w:lang w:val="zh-CN" w:eastAsia="zh-CN" w:bidi="zh-CN"/>
              </w:rPr>
            </w:pPr>
            <w:r>
              <w:rPr>
                <w:sz w:val="28"/>
              </w:rPr>
              <w:t>1</w:t>
            </w:r>
            <w:r>
              <w:rPr>
                <w:rFonts w:hint="eastAsia" w:ascii="宋体" w:eastAsia="宋体"/>
                <w:sz w:val="28"/>
              </w:rPr>
              <w:t>分</w:t>
            </w:r>
          </w:p>
        </w:tc>
      </w:tr>
    </w:tbl>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right="0"/>
        <w:jc w:val="center"/>
        <w:textAlignment w:val="auto"/>
        <w:rPr>
          <w:rFonts w:hint="eastAsia" w:ascii="宋体" w:hAnsi="宋体" w:eastAsia="宋体" w:cs="宋体"/>
          <w:spacing w:val="0"/>
          <w:w w:val="100"/>
          <w:sz w:val="24"/>
          <w:szCs w:val="24"/>
          <w:highlight w:val="none"/>
          <w:u w:val="none"/>
        </w:rPr>
      </w:pP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left="0" w:leftChars="0" w:right="0" w:firstLine="0"/>
        <w:jc w:val="both"/>
        <w:textAlignment w:val="auto"/>
        <w:rPr>
          <w:rFonts w:hint="eastAsia" w:ascii="宋体" w:hAnsi="宋体" w:eastAsia="宋体" w:cs="宋体"/>
          <w:b/>
          <w:bCs/>
          <w:spacing w:val="0"/>
          <w:w w:val="100"/>
          <w:sz w:val="24"/>
          <w:szCs w:val="24"/>
          <w:highlight w:val="none"/>
          <w:u w:val="none"/>
        </w:rPr>
      </w:pP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left="0" w:leftChars="0" w:right="0" w:firstLine="0"/>
        <w:jc w:val="center"/>
        <w:textAlignment w:val="auto"/>
        <w:rPr>
          <w:rFonts w:hint="eastAsia" w:ascii="宋体" w:hAnsi="宋体" w:eastAsia="宋体" w:cs="宋体"/>
          <w:b/>
          <w:bCs/>
          <w:spacing w:val="0"/>
          <w:w w:val="100"/>
          <w:sz w:val="24"/>
          <w:szCs w:val="24"/>
          <w:highlight w:val="none"/>
          <w:u w:val="none"/>
        </w:rPr>
      </w:pP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left="0" w:leftChars="0" w:right="0" w:firstLine="0"/>
        <w:jc w:val="center"/>
        <w:textAlignment w:val="auto"/>
        <w:rPr>
          <w:rFonts w:hint="eastAsia" w:ascii="宋体" w:hAnsi="宋体" w:eastAsia="宋体" w:cs="宋体"/>
          <w:b/>
          <w:bCs/>
          <w:spacing w:val="0"/>
          <w:w w:val="100"/>
          <w:sz w:val="24"/>
          <w:szCs w:val="24"/>
          <w:highlight w:val="none"/>
          <w:u w:val="none"/>
        </w:rPr>
      </w:pP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left="0" w:leftChars="0" w:right="0" w:firstLine="0"/>
        <w:jc w:val="center"/>
        <w:textAlignment w:val="auto"/>
        <w:rPr>
          <w:rFonts w:hint="eastAsia" w:ascii="宋体" w:hAnsi="宋体" w:eastAsia="宋体" w:cs="宋体"/>
          <w:spacing w:val="0"/>
          <w:w w:val="100"/>
          <w:sz w:val="32"/>
          <w:szCs w:val="32"/>
          <w:highlight w:val="none"/>
          <w:u w:val="none"/>
        </w:rPr>
      </w:pPr>
      <w:r>
        <w:rPr>
          <w:rFonts w:hint="eastAsia" w:ascii="宋体" w:hAnsi="宋体" w:eastAsia="宋体" w:cs="宋体"/>
          <w:b/>
          <w:bCs/>
          <w:spacing w:val="0"/>
          <w:w w:val="100"/>
          <w:sz w:val="32"/>
          <w:szCs w:val="32"/>
          <w:highlight w:val="none"/>
          <w:u w:val="none"/>
        </w:rPr>
        <w:t>表3</w:t>
      </w:r>
      <w:r>
        <w:rPr>
          <w:rFonts w:hint="eastAsia" w:ascii="宋体" w:hAnsi="宋体" w:eastAsia="宋体" w:cs="宋体"/>
          <w:b/>
          <w:bCs/>
          <w:spacing w:val="0"/>
          <w:w w:val="100"/>
          <w:sz w:val="32"/>
          <w:szCs w:val="32"/>
          <w:highlight w:val="none"/>
          <w:u w:val="none"/>
        </w:rPr>
        <w:tab/>
      </w:r>
      <w:r>
        <w:rPr>
          <w:rFonts w:hint="eastAsia" w:ascii="宋体" w:hAnsi="宋体" w:eastAsia="宋体" w:cs="宋体"/>
          <w:b/>
          <w:bCs/>
          <w:spacing w:val="0"/>
          <w:w w:val="100"/>
          <w:sz w:val="32"/>
          <w:szCs w:val="32"/>
          <w:highlight w:val="none"/>
          <w:u w:val="none"/>
        </w:rPr>
        <w:t>创新创业训练计分办法</w:t>
      </w:r>
      <w:r>
        <w:rPr>
          <w:rFonts w:hint="eastAsia" w:ascii="宋体" w:hAnsi="宋体" w:eastAsia="宋体" w:cs="宋体"/>
          <w:spacing w:val="0"/>
          <w:w w:val="100"/>
          <w:sz w:val="32"/>
          <w:szCs w:val="32"/>
          <w:highlight w:val="none"/>
          <w:u w:val="none"/>
        </w:rPr>
        <w:t>（合计计分不超过1.5分）</w:t>
      </w:r>
    </w:p>
    <w:p>
      <w:pPr>
        <w:keepNext w:val="0"/>
        <w:keepLines w:val="0"/>
        <w:pageBreakBefore w:val="0"/>
        <w:tabs>
          <w:tab w:val="left" w:pos="765"/>
        </w:tabs>
        <w:kinsoku/>
        <w:wordWrap/>
        <w:overflowPunct/>
        <w:topLinePunct w:val="0"/>
        <w:autoSpaceDE w:val="0"/>
        <w:autoSpaceDN w:val="0"/>
        <w:bidi w:val="0"/>
        <w:adjustRightInd/>
        <w:snapToGrid/>
        <w:spacing w:before="0" w:after="0" w:line="460" w:lineRule="exact"/>
        <w:ind w:left="0" w:leftChars="0" w:right="0" w:firstLine="0"/>
        <w:jc w:val="both"/>
        <w:textAlignment w:val="auto"/>
        <w:rPr>
          <w:rFonts w:hint="eastAsia" w:ascii="宋体" w:hAnsi="宋体" w:eastAsia="宋体" w:cs="宋体"/>
          <w:spacing w:val="0"/>
          <w:w w:val="100"/>
          <w:sz w:val="24"/>
          <w:szCs w:val="24"/>
          <w:highlight w:val="none"/>
          <w:u w:val="none"/>
        </w:rPr>
      </w:pPr>
    </w:p>
    <w:tbl>
      <w:tblPr>
        <w:tblStyle w:val="8"/>
        <w:tblW w:w="0" w:type="auto"/>
        <w:tblInd w:w="12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975"/>
        <w:gridCol w:w="1299"/>
        <w:gridCol w:w="1121"/>
        <w:gridCol w:w="1124"/>
        <w:gridCol w:w="1299"/>
        <w:gridCol w:w="1122"/>
        <w:gridCol w:w="112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7" w:hRule="atLeast"/>
        </w:trPr>
        <w:tc>
          <w:tcPr>
            <w:tcW w:w="1975" w:type="dxa"/>
            <w:vMerge w:val="restart"/>
            <w:tcBorders>
              <w:left w:val="single" w:color="000000" w:sz="2"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tc>
        <w:tc>
          <w:tcPr>
            <w:tcW w:w="3544" w:type="dxa"/>
            <w:gridSpan w:val="3"/>
            <w:tcBorders>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验收评审结论为“优秀”</w:t>
            </w:r>
          </w:p>
        </w:tc>
        <w:tc>
          <w:tcPr>
            <w:tcW w:w="3545" w:type="dxa"/>
            <w:gridSpan w:val="3"/>
            <w:tcBorders>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验收评审结论为“合格”</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8" w:hRule="atLeast"/>
        </w:trPr>
        <w:tc>
          <w:tcPr>
            <w:tcW w:w="1975" w:type="dxa"/>
            <w:vMerge w:val="continue"/>
            <w:tcBorders>
              <w:top w:val="nil"/>
              <w:left w:val="single" w:color="000000" w:sz="2" w:space="0"/>
              <w:bottom w:val="single" w:color="000000" w:sz="4" w:space="0"/>
              <w:right w:val="single" w:color="000000" w:sz="4" w:space="0"/>
            </w:tcBorders>
          </w:tcPr>
          <w:p>
            <w:pPr>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tc>
        <w:tc>
          <w:tcPr>
            <w:tcW w:w="1299"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一类</w:t>
            </w:r>
          </w:p>
        </w:tc>
        <w:tc>
          <w:tcPr>
            <w:tcW w:w="1121"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二类</w:t>
            </w:r>
          </w:p>
        </w:tc>
        <w:tc>
          <w:tcPr>
            <w:tcW w:w="1124"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三类</w:t>
            </w:r>
          </w:p>
        </w:tc>
        <w:tc>
          <w:tcPr>
            <w:tcW w:w="1299"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一类</w:t>
            </w:r>
          </w:p>
        </w:tc>
        <w:tc>
          <w:tcPr>
            <w:tcW w:w="1122"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二类</w:t>
            </w:r>
          </w:p>
        </w:tc>
        <w:tc>
          <w:tcPr>
            <w:tcW w:w="1124"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center"/>
              <w:textAlignment w:val="auto"/>
              <w:rPr>
                <w:rFonts w:hint="eastAsia" w:ascii="宋体" w:hAnsi="宋体" w:eastAsia="宋体" w:cs="宋体"/>
                <w:b/>
                <w:spacing w:val="0"/>
                <w:w w:val="100"/>
                <w:sz w:val="24"/>
                <w:szCs w:val="24"/>
                <w:highlight w:val="none"/>
                <w:u w:val="none"/>
              </w:rPr>
            </w:pPr>
            <w:r>
              <w:rPr>
                <w:rFonts w:hint="eastAsia" w:ascii="宋体" w:hAnsi="宋体" w:eastAsia="宋体" w:cs="宋体"/>
                <w:b/>
                <w:spacing w:val="0"/>
                <w:w w:val="100"/>
                <w:sz w:val="24"/>
                <w:szCs w:val="24"/>
                <w:highlight w:val="none"/>
                <w:u w:val="none"/>
              </w:rPr>
              <w:t>三类</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1" w:hRule="atLeast"/>
        </w:trPr>
        <w:tc>
          <w:tcPr>
            <w:tcW w:w="1975" w:type="dxa"/>
            <w:tcBorders>
              <w:top w:val="single" w:color="000000" w:sz="4" w:space="0"/>
              <w:left w:val="single" w:color="000000" w:sz="2"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bCs/>
                <w:spacing w:val="0"/>
                <w:w w:val="100"/>
                <w:sz w:val="24"/>
                <w:szCs w:val="24"/>
                <w:highlight w:val="none"/>
                <w:u w:val="none"/>
              </w:rPr>
            </w:pPr>
            <w:r>
              <w:rPr>
                <w:rFonts w:hint="eastAsia" w:ascii="宋体" w:hAnsi="宋体" w:eastAsia="宋体" w:cs="宋体"/>
                <w:b/>
                <w:bCs/>
                <w:spacing w:val="0"/>
                <w:w w:val="100"/>
                <w:sz w:val="24"/>
                <w:szCs w:val="24"/>
                <w:highlight w:val="none"/>
                <w:u w:val="none"/>
              </w:rPr>
              <w:t>第1完成人</w:t>
            </w:r>
          </w:p>
        </w:tc>
        <w:tc>
          <w:tcPr>
            <w:tcW w:w="1299" w:type="dxa"/>
            <w:tcBorders>
              <w:top w:val="single" w:color="000000" w:sz="4" w:space="0"/>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0.8分</w:t>
            </w:r>
          </w:p>
        </w:tc>
        <w:tc>
          <w:tcPr>
            <w:tcW w:w="1121" w:type="dxa"/>
            <w:tcBorders>
              <w:top w:val="single" w:color="000000" w:sz="4" w:space="0"/>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0.7分</w:t>
            </w:r>
          </w:p>
        </w:tc>
        <w:tc>
          <w:tcPr>
            <w:tcW w:w="1124" w:type="dxa"/>
            <w:tcBorders>
              <w:top w:val="single" w:color="000000" w:sz="4" w:space="0"/>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0.5分</w:t>
            </w:r>
          </w:p>
        </w:tc>
        <w:tc>
          <w:tcPr>
            <w:tcW w:w="1299" w:type="dxa"/>
            <w:tcBorders>
              <w:top w:val="single" w:color="000000" w:sz="4" w:space="0"/>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0.5分</w:t>
            </w:r>
          </w:p>
        </w:tc>
        <w:tc>
          <w:tcPr>
            <w:tcW w:w="1122" w:type="dxa"/>
            <w:tcBorders>
              <w:top w:val="single" w:color="000000" w:sz="4" w:space="0"/>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0.4分</w:t>
            </w:r>
          </w:p>
        </w:tc>
        <w:tc>
          <w:tcPr>
            <w:tcW w:w="1124" w:type="dxa"/>
            <w:tcBorders>
              <w:top w:val="single" w:color="000000" w:sz="4" w:space="0"/>
              <w:left w:val="single" w:color="000000" w:sz="4" w:space="0"/>
              <w:bottom w:val="single" w:color="000000" w:sz="2"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0.2分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1" w:hRule="atLeast"/>
        </w:trPr>
        <w:tc>
          <w:tcPr>
            <w:tcW w:w="1975"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bCs/>
                <w:spacing w:val="0"/>
                <w:w w:val="100"/>
                <w:sz w:val="24"/>
                <w:szCs w:val="24"/>
                <w:highlight w:val="none"/>
                <w:u w:val="none"/>
              </w:rPr>
            </w:pPr>
            <w:r>
              <w:rPr>
                <w:rFonts w:hint="eastAsia" w:ascii="宋体" w:hAnsi="宋体" w:eastAsia="宋体" w:cs="宋体"/>
                <w:b/>
                <w:bCs/>
                <w:spacing w:val="0"/>
                <w:w w:val="100"/>
                <w:sz w:val="24"/>
                <w:szCs w:val="24"/>
                <w:highlight w:val="none"/>
                <w:u w:val="none"/>
              </w:rPr>
              <w:t>第2完成人</w:t>
            </w:r>
          </w:p>
        </w:tc>
        <w:tc>
          <w:tcPr>
            <w:tcW w:w="1299"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0.5分</w:t>
            </w:r>
          </w:p>
        </w:tc>
        <w:tc>
          <w:tcPr>
            <w:tcW w:w="1121"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0.4分</w:t>
            </w:r>
          </w:p>
        </w:tc>
        <w:tc>
          <w:tcPr>
            <w:tcW w:w="1124"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0.3分</w:t>
            </w:r>
          </w:p>
        </w:tc>
        <w:tc>
          <w:tcPr>
            <w:tcW w:w="1299"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0.3分</w:t>
            </w:r>
          </w:p>
        </w:tc>
        <w:tc>
          <w:tcPr>
            <w:tcW w:w="1122"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0.2分</w:t>
            </w:r>
          </w:p>
        </w:tc>
        <w:tc>
          <w:tcPr>
            <w:tcW w:w="1124" w:type="dxa"/>
            <w:tcBorders>
              <w:top w:val="single" w:color="000000" w:sz="2"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0.1分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3" w:hRule="atLeast"/>
        </w:trPr>
        <w:tc>
          <w:tcPr>
            <w:tcW w:w="1975"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b/>
                <w:bCs/>
                <w:spacing w:val="0"/>
                <w:w w:val="100"/>
                <w:sz w:val="24"/>
                <w:szCs w:val="24"/>
                <w:highlight w:val="none"/>
                <w:u w:val="none"/>
              </w:rPr>
            </w:pPr>
            <w:r>
              <w:rPr>
                <w:rFonts w:hint="eastAsia" w:ascii="宋体" w:hAnsi="宋体" w:eastAsia="宋体" w:cs="宋体"/>
                <w:b/>
                <w:bCs/>
                <w:spacing w:val="0"/>
                <w:w w:val="100"/>
                <w:sz w:val="24"/>
                <w:szCs w:val="24"/>
                <w:highlight w:val="none"/>
                <w:u w:val="none"/>
              </w:rPr>
              <w:t>第3-5完成人</w:t>
            </w:r>
          </w:p>
        </w:tc>
        <w:tc>
          <w:tcPr>
            <w:tcW w:w="1299"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0.4分</w:t>
            </w:r>
          </w:p>
        </w:tc>
        <w:tc>
          <w:tcPr>
            <w:tcW w:w="1121"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0.3分</w:t>
            </w:r>
          </w:p>
        </w:tc>
        <w:tc>
          <w:tcPr>
            <w:tcW w:w="1124"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0.2分</w:t>
            </w:r>
          </w:p>
        </w:tc>
        <w:tc>
          <w:tcPr>
            <w:tcW w:w="1299"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0.2分</w:t>
            </w:r>
          </w:p>
        </w:tc>
        <w:tc>
          <w:tcPr>
            <w:tcW w:w="1122"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0.1分</w:t>
            </w:r>
          </w:p>
        </w:tc>
        <w:tc>
          <w:tcPr>
            <w:tcW w:w="1124"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r>
              <w:rPr>
                <w:rFonts w:hint="eastAsia" w:ascii="宋体" w:hAnsi="宋体" w:eastAsia="宋体" w:cs="宋体"/>
                <w:spacing w:val="0"/>
                <w:w w:val="100"/>
                <w:sz w:val="24"/>
                <w:szCs w:val="24"/>
                <w:highlight w:val="none"/>
                <w:u w:val="none"/>
              </w:rPr>
              <w:t>0.1分</w:t>
            </w:r>
          </w:p>
        </w:tc>
      </w:tr>
    </w:tbl>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eastAsia" w:ascii="宋体" w:hAnsi="宋体" w:eastAsia="宋体" w:cs="宋体"/>
          <w:spacing w:val="0"/>
          <w:w w:val="100"/>
          <w:sz w:val="24"/>
          <w:szCs w:val="24"/>
          <w:highlight w:val="none"/>
          <w:u w:val="none"/>
        </w:rPr>
      </w:pPr>
    </w:p>
    <w:p>
      <w:pPr>
        <w:pStyle w:val="5"/>
        <w:keepNext w:val="0"/>
        <w:keepLines w:val="0"/>
        <w:pageBreakBefore w:val="0"/>
        <w:kinsoku/>
        <w:wordWrap/>
        <w:overflowPunct/>
        <w:topLinePunct w:val="0"/>
        <w:autoSpaceDE w:val="0"/>
        <w:autoSpaceDN w:val="0"/>
        <w:bidi w:val="0"/>
        <w:adjustRightInd/>
        <w:snapToGrid/>
        <w:spacing w:before="0" w:after="0" w:line="460" w:lineRule="exact"/>
        <w:ind w:left="0" w:leftChars="0" w:right="0"/>
        <w:jc w:val="both"/>
        <w:textAlignment w:val="auto"/>
        <w:rPr>
          <w:rFonts w:hint="default" w:cs="宋体"/>
          <w:spacing w:val="0"/>
          <w:w w:val="100"/>
          <w:sz w:val="24"/>
          <w:szCs w:val="24"/>
          <w:highlight w:val="none"/>
          <w:u w:val="none"/>
          <w:lang w:val="en-US" w:eastAsia="zh-CN"/>
        </w:rPr>
      </w:pPr>
      <w:r>
        <w:rPr>
          <w:rFonts w:hint="eastAsia" w:ascii="宋体" w:hAnsi="宋体" w:eastAsia="宋体" w:cs="宋体"/>
          <w:b/>
          <w:bCs/>
          <w:spacing w:val="0"/>
          <w:w w:val="100"/>
          <w:sz w:val="24"/>
          <w:szCs w:val="24"/>
          <w:highlight w:val="none"/>
          <w:u w:val="none"/>
          <w:lang w:eastAsia="zh-CN"/>
        </w:rPr>
        <w:t>附件</w:t>
      </w:r>
      <w:r>
        <w:rPr>
          <w:rFonts w:hint="eastAsia" w:ascii="宋体" w:hAnsi="宋体" w:eastAsia="宋体" w:cs="宋体"/>
          <w:b/>
          <w:bCs/>
          <w:spacing w:val="0"/>
          <w:w w:val="100"/>
          <w:sz w:val="24"/>
          <w:szCs w:val="24"/>
          <w:highlight w:val="none"/>
          <w:u w:val="none"/>
          <w:lang w:val="en-US" w:eastAsia="zh-CN"/>
        </w:rPr>
        <w:t>3</w:t>
      </w:r>
      <w:r>
        <w:rPr>
          <w:rFonts w:hint="eastAsia" w:cs="宋体"/>
          <w:b/>
          <w:bCs/>
          <w:spacing w:val="0"/>
          <w:w w:val="100"/>
          <w:sz w:val="24"/>
          <w:szCs w:val="24"/>
          <w:highlight w:val="none"/>
          <w:u w:val="none"/>
          <w:lang w:val="en-US" w:eastAsia="zh-CN"/>
        </w:rPr>
        <w:t xml:space="preserve">  </w:t>
      </w:r>
      <w:r>
        <w:rPr>
          <w:rFonts w:hint="eastAsia" w:ascii="宋体" w:hAnsi="宋体" w:eastAsia="宋体" w:cs="宋体"/>
          <w:b/>
          <w:bCs/>
          <w:spacing w:val="0"/>
          <w:w w:val="100"/>
          <w:sz w:val="24"/>
          <w:szCs w:val="24"/>
          <w:highlight w:val="none"/>
          <w:u w:val="none"/>
          <w:lang w:val="en-US" w:eastAsia="zh-CN"/>
        </w:rPr>
        <w:t>各专业培养方案规定的前三年修读课程</w:t>
      </w:r>
      <w:r>
        <w:rPr>
          <w:rFonts w:hint="eastAsia" w:cs="宋体"/>
          <w:b/>
          <w:bCs/>
          <w:spacing w:val="0"/>
          <w:w w:val="100"/>
          <w:sz w:val="24"/>
          <w:szCs w:val="24"/>
          <w:highlight w:val="none"/>
          <w:u w:val="none"/>
          <w:lang w:val="en-US" w:eastAsia="zh-CN"/>
        </w:rPr>
        <w:t>清单</w:t>
      </w:r>
      <w:r>
        <w:commentReference w:id="0"/>
      </w:r>
      <w:r>
        <w:rPr>
          <w:rFonts w:hint="eastAsia"/>
          <w:lang w:val="en-US" w:eastAsia="zh-CN"/>
        </w:rPr>
        <w:t xml:space="preserve"> </w:t>
      </w:r>
    </w:p>
    <w:tbl>
      <w:tblPr>
        <w:tblStyle w:val="8"/>
        <w:tblW w:w="10350" w:type="dxa"/>
        <w:jc w:val="center"/>
        <w:shd w:val="clear" w:color="auto" w:fill="auto"/>
        <w:tblLayout w:type="autofit"/>
        <w:tblCellMar>
          <w:top w:w="0" w:type="dxa"/>
          <w:left w:w="0" w:type="dxa"/>
          <w:bottom w:w="0" w:type="dxa"/>
          <w:right w:w="0" w:type="dxa"/>
        </w:tblCellMar>
      </w:tblPr>
      <w:tblGrid>
        <w:gridCol w:w="1650"/>
        <w:gridCol w:w="1020"/>
        <w:gridCol w:w="1650"/>
        <w:gridCol w:w="3015"/>
        <w:gridCol w:w="1680"/>
        <w:gridCol w:w="1335"/>
      </w:tblGrid>
      <w:tr>
        <w:tblPrEx>
          <w:tblCellMar>
            <w:top w:w="0" w:type="dxa"/>
            <w:left w:w="0" w:type="dxa"/>
            <w:bottom w:w="0" w:type="dxa"/>
            <w:right w:w="0" w:type="dxa"/>
          </w:tblCellMar>
        </w:tblPrEx>
        <w:trPr>
          <w:trHeight w:val="510" w:hRule="atLeast"/>
          <w:jc w:val="center"/>
        </w:trPr>
        <w:tc>
          <w:tcPr>
            <w:tcW w:w="1035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40"/>
                <w:szCs w:val="40"/>
                <w:highlight w:val="none"/>
                <w:u w:val="none"/>
              </w:rPr>
            </w:pPr>
            <w:r>
              <w:rPr>
                <w:rFonts w:hint="eastAsia" w:ascii="宋体" w:hAnsi="宋体" w:eastAsia="宋体" w:cs="宋体"/>
                <w:b/>
                <w:i w:val="0"/>
                <w:color w:val="000000"/>
                <w:kern w:val="0"/>
                <w:sz w:val="40"/>
                <w:szCs w:val="40"/>
                <w:highlight w:val="none"/>
                <w:u w:val="none"/>
                <w:lang w:val="en-US" w:eastAsia="zh-CN" w:bidi="ar"/>
              </w:rPr>
              <w:t>哲学</w:t>
            </w:r>
            <w:r>
              <w:rPr>
                <w:rFonts w:hint="eastAsia" w:cs="宋体"/>
                <w:b w:val="0"/>
                <w:bCs w:val="0"/>
                <w:spacing w:val="0"/>
                <w:sz w:val="24"/>
                <w:szCs w:val="24"/>
                <w:highlight w:val="none"/>
                <w:u w:val="none"/>
                <w:lang w:val="en-US" w:eastAsia="zh-CN"/>
              </w:rPr>
              <w:t>（2020版）</w:t>
            </w:r>
          </w:p>
        </w:tc>
      </w:tr>
      <w:tr>
        <w:tblPrEx>
          <w:shd w:val="clear" w:color="auto" w:fill="auto"/>
          <w:tblCellMar>
            <w:top w:w="0" w:type="dxa"/>
            <w:left w:w="0" w:type="dxa"/>
            <w:bottom w:w="0" w:type="dxa"/>
            <w:right w:w="0" w:type="dxa"/>
          </w:tblCellMar>
        </w:tblPrEx>
        <w:trPr>
          <w:trHeight w:val="405" w:hRule="atLeast"/>
          <w:jc w:val="center"/>
        </w:trPr>
        <w:tc>
          <w:tcPr>
            <w:tcW w:w="26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课程性质</w:t>
            </w: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课程代码</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课程名称</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开课学期</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学分</w:t>
            </w:r>
          </w:p>
        </w:tc>
      </w:tr>
      <w:tr>
        <w:tblPrEx>
          <w:shd w:val="clear" w:color="auto" w:fill="auto"/>
          <w:tblCellMar>
            <w:top w:w="0" w:type="dxa"/>
            <w:left w:w="0" w:type="dxa"/>
            <w:bottom w:w="0" w:type="dxa"/>
            <w:right w:w="0" w:type="dxa"/>
          </w:tblCellMar>
        </w:tblPrEx>
        <w:trPr>
          <w:trHeight w:val="336" w:hRule="atLeast"/>
          <w:jc w:val="center"/>
        </w:trPr>
        <w:tc>
          <w:tcPr>
            <w:tcW w:w="2670" w:type="dxa"/>
            <w:gridSpan w:val="2"/>
            <w:vMerge w:val="restart"/>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学科基础课程</w:t>
            </w:r>
          </w:p>
        </w:tc>
        <w:tc>
          <w:tcPr>
            <w:tcW w:w="165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1003000001</w:t>
            </w:r>
          </w:p>
        </w:tc>
        <w:tc>
          <w:tcPr>
            <w:tcW w:w="301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哲学导论</w:t>
            </w:r>
          </w:p>
        </w:tc>
        <w:tc>
          <w:tcPr>
            <w:tcW w:w="16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一</w:t>
            </w:r>
          </w:p>
        </w:tc>
        <w:tc>
          <w:tcPr>
            <w:tcW w:w="133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1003000002</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社会科学方法论与中英文论文写作</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val="en-US" w:eastAsia="zh-CN"/>
              </w:rPr>
            </w:pPr>
            <w:r>
              <w:rPr>
                <w:rFonts w:hint="eastAsia" w:ascii="宋体" w:hAnsi="宋体" w:eastAsia="宋体" w:cs="宋体"/>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1003000003</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马克思主义哲学原理</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val="en-US" w:eastAsia="zh-CN"/>
              </w:rPr>
            </w:pPr>
            <w:r>
              <w:rPr>
                <w:rFonts w:hint="eastAsia" w:ascii="宋体" w:hAnsi="宋体" w:eastAsia="宋体" w:cs="宋体"/>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1003000004</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逻辑学基础</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val="en-US" w:eastAsia="zh-CN"/>
              </w:rPr>
            </w:pPr>
            <w:r>
              <w:rPr>
                <w:rFonts w:hint="eastAsia" w:ascii="宋体" w:hAnsi="宋体" w:eastAsia="宋体" w:cs="宋体"/>
                <w:highlight w:val="none"/>
                <w:u w:val="none"/>
                <w:lang w:val="en-US" w:eastAsia="zh-CN"/>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1003000005</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科学哲学导论</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val="en-US" w:eastAsia="zh-CN"/>
              </w:rPr>
            </w:pPr>
            <w:r>
              <w:rPr>
                <w:rFonts w:hint="eastAsia" w:ascii="宋体" w:hAnsi="宋体" w:eastAsia="宋体" w:cs="宋体"/>
                <w:highlight w:val="none"/>
                <w:u w:val="none"/>
                <w:lang w:val="en-US" w:eastAsia="zh-CN"/>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1003000006</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伦理学导论</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eastAsia="zh-CN"/>
              </w:rPr>
            </w:pPr>
            <w:r>
              <w:rPr>
                <w:rFonts w:hint="eastAsia" w:ascii="宋体" w:hAnsi="宋体" w:eastAsia="宋体" w:cs="宋体"/>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1003000007</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美学导论</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eastAsia="zh-CN"/>
              </w:rPr>
            </w:pPr>
            <w:r>
              <w:rPr>
                <w:rFonts w:hint="eastAsia" w:ascii="宋体" w:hAnsi="宋体" w:eastAsia="宋体" w:cs="宋体"/>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1003000008</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宗教学导论</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nil"/>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1003000009</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rPr>
              <w:t>心理学基础</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lang w:eastAsia="zh-CN"/>
              </w:rPr>
            </w:pPr>
            <w:r>
              <w:rPr>
                <w:rFonts w:hint="eastAsia" w:ascii="宋体" w:hAnsi="宋体" w:eastAsia="宋体" w:cs="宋体"/>
                <w:highlight w:val="none"/>
                <w:u w:val="none"/>
                <w:lang w:val="en-US" w:eastAsia="zh-CN"/>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highlight w:val="none"/>
                <w:u w:val="none"/>
              </w:rPr>
            </w:pPr>
            <w:r>
              <w:rPr>
                <w:rFonts w:hint="eastAsia" w:ascii="宋体" w:hAnsi="宋体" w:eastAsia="宋体" w:cs="宋体"/>
                <w:highlight w:val="none"/>
                <w:u w:val="none"/>
                <w:lang w:val="en-US" w:eastAsia="zh-CN"/>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restart"/>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专业主干课程</w:t>
            </w:r>
          </w:p>
        </w:tc>
        <w:tc>
          <w:tcPr>
            <w:tcW w:w="1650"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highlight w:val="none"/>
                <w:u w:val="none"/>
              </w:rPr>
              <w:t>1003000010</w:t>
            </w:r>
            <w:r>
              <w:rPr>
                <w:rFonts w:hint="eastAsia" w:ascii="宋体" w:hAnsi="宋体" w:eastAsia="宋体" w:cs="宋体"/>
                <w:highlight w:val="none"/>
                <w:u w:val="none"/>
              </w:rPr>
              <w:tab/>
            </w:r>
          </w:p>
        </w:tc>
        <w:tc>
          <w:tcPr>
            <w:tcW w:w="301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highlight w:val="none"/>
                <w:u w:val="none"/>
              </w:rPr>
              <w:t>马克思主义哲学史</w:t>
            </w:r>
          </w:p>
        </w:tc>
        <w:tc>
          <w:tcPr>
            <w:tcW w:w="1680"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eastAsia="zh-CN"/>
              </w:rPr>
            </w:pPr>
            <w:r>
              <w:rPr>
                <w:rFonts w:hint="eastAsia" w:ascii="宋体" w:hAnsi="宋体" w:eastAsia="宋体" w:cs="宋体"/>
                <w:highlight w:val="none"/>
                <w:u w:val="none"/>
                <w:lang w:val="en-US" w:eastAsia="zh-CN"/>
              </w:rPr>
              <w:t>一</w:t>
            </w:r>
          </w:p>
        </w:tc>
        <w:tc>
          <w:tcPr>
            <w:tcW w:w="133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18"/>
                <w:szCs w:val="18"/>
                <w:highlight w:val="none"/>
                <w:u w:val="none"/>
              </w:rPr>
            </w:pPr>
            <w:r>
              <w:rPr>
                <w:rFonts w:hint="eastAsia" w:ascii="宋体" w:hAnsi="宋体" w:eastAsia="宋体" w:cs="宋体"/>
                <w:highlight w:val="none"/>
                <w:u w:val="none"/>
              </w:rPr>
              <w:t>1003000011</w:t>
            </w:r>
            <w:r>
              <w:rPr>
                <w:rFonts w:hint="eastAsia" w:ascii="宋体" w:hAnsi="宋体" w:eastAsia="宋体" w:cs="宋体"/>
                <w:highlight w:val="none"/>
                <w:u w:val="none"/>
              </w:rPr>
              <w:tab/>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highlight w:val="none"/>
                <w:u w:val="none"/>
              </w:rPr>
              <w:t>西方马克思主义哲学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eastAsia="zh-CN"/>
              </w:rPr>
            </w:pPr>
            <w:r>
              <w:rPr>
                <w:rFonts w:hint="eastAsia" w:ascii="宋体" w:hAnsi="宋体" w:eastAsia="宋体" w:cs="宋体"/>
                <w:highlight w:val="none"/>
                <w:u w:val="none"/>
                <w:lang w:val="en-US" w:eastAsia="zh-CN"/>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1003000012</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马克思主义哲学原著选读（上）</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1003000013</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马克思主义哲学原著选读（下）</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val="en-US" w:eastAsia="zh-CN"/>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1003000014</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中国哲学史（上）</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val="en-US" w:eastAsia="zh-CN"/>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1003000015</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中国哲学史（下）</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1003000016</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中国近代哲学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1003000017</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中国哲学原著选读（上）</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1003000018</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中国哲学原著选读（下）</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1003000019</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西方哲学史（上）</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1003000020</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西方哲学史（下）</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1003000021</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现代西方哲学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1003000022</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西方哲学原著选读（上）</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1003000023</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西方哲学原著选读（下）</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center"/>
              <w:rPr>
                <w:rFonts w:hint="eastAsia" w:ascii="宋体" w:hAnsi="宋体" w:eastAsia="宋体" w:cs="宋体"/>
                <w:i w:val="0"/>
                <w:color w:val="000000"/>
                <w:sz w:val="22"/>
                <w:szCs w:val="22"/>
                <w:highlight w:val="none"/>
                <w:u w:val="none"/>
                <w:lang w:val="en-US" w:eastAsia="zh-CN" w:bidi="zh-CN"/>
              </w:rPr>
            </w:pPr>
            <w:r>
              <w:rPr>
                <w:rFonts w:hint="eastAsia" w:ascii="宋体" w:hAnsi="宋体" w:eastAsia="宋体" w:cs="宋体"/>
                <w:i w:val="0"/>
                <w:color w:val="000000"/>
                <w:kern w:val="0"/>
                <w:sz w:val="22"/>
                <w:szCs w:val="22"/>
                <w:highlight w:val="none"/>
                <w:u w:val="none"/>
                <w:lang w:val="en-US" w:eastAsia="zh-CN" w:bidi="ar"/>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both"/>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1003000024</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科技思想史</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both"/>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1003000025</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数理逻辑</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both"/>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1003000027</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eastAsia="zh-CN"/>
              </w:rPr>
              <w:t>田野调查A</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1</w:t>
            </w:r>
          </w:p>
        </w:tc>
      </w:tr>
      <w:tr>
        <w:tblPrEx>
          <w:tblCellMar>
            <w:top w:w="0" w:type="dxa"/>
            <w:left w:w="0" w:type="dxa"/>
            <w:bottom w:w="0" w:type="dxa"/>
            <w:right w:w="0" w:type="dxa"/>
          </w:tblCellMar>
        </w:tblPrEx>
        <w:trPr>
          <w:trHeight w:val="285" w:hRule="atLeast"/>
          <w:jc w:val="center"/>
        </w:trPr>
        <w:tc>
          <w:tcPr>
            <w:tcW w:w="2670" w:type="dxa"/>
            <w:gridSpan w:val="2"/>
            <w:vMerge w:val="continue"/>
            <w:tcBorders>
              <w:top w:val="single" w:color="000000" w:sz="8" w:space="0"/>
              <w:left w:val="single" w:color="000000" w:sz="8" w:space="0"/>
              <w:bottom w:val="single" w:color="auto" w:sz="4"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both"/>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1003000028</w:t>
            </w:r>
          </w:p>
        </w:tc>
        <w:tc>
          <w:tcPr>
            <w:tcW w:w="301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eastAsia="zh-CN"/>
              </w:rPr>
              <w:t>学年论文A</w:t>
            </w:r>
          </w:p>
        </w:tc>
        <w:tc>
          <w:tcPr>
            <w:tcW w:w="168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33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1</w:t>
            </w:r>
          </w:p>
        </w:tc>
      </w:tr>
      <w:tr>
        <w:tblPrEx>
          <w:tblCellMar>
            <w:top w:w="0" w:type="dxa"/>
            <w:left w:w="0" w:type="dxa"/>
            <w:bottom w:w="0" w:type="dxa"/>
            <w:right w:w="0" w:type="dxa"/>
          </w:tblCellMar>
        </w:tblPrEx>
        <w:trPr>
          <w:trHeight w:val="270" w:hRule="atLeast"/>
          <w:jc w:val="center"/>
        </w:trPr>
        <w:tc>
          <w:tcPr>
            <w:tcW w:w="16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通识教育课程</w:t>
            </w:r>
          </w:p>
        </w:tc>
        <w:tc>
          <w:tcPr>
            <w:tcW w:w="102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r>
              <w:rPr>
                <w:rFonts w:hint="eastAsia" w:ascii="宋体" w:hAnsi="宋体" w:eastAsia="宋体" w:cs="宋体"/>
                <w:b/>
                <w:i w:val="0"/>
                <w:color w:val="000000"/>
                <w:kern w:val="0"/>
                <w:sz w:val="24"/>
                <w:szCs w:val="24"/>
                <w:highlight w:val="none"/>
                <w:u w:val="none"/>
                <w:lang w:val="en-US" w:eastAsia="zh-CN" w:bidi="ar"/>
              </w:rPr>
              <w:t>公共</w:t>
            </w: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r>
              <w:rPr>
                <w:rFonts w:hint="eastAsia" w:ascii="宋体" w:hAnsi="宋体" w:eastAsia="宋体" w:cs="宋体"/>
                <w:b/>
                <w:i w:val="0"/>
                <w:color w:val="000000"/>
                <w:kern w:val="0"/>
                <w:sz w:val="24"/>
                <w:szCs w:val="24"/>
                <w:highlight w:val="none"/>
                <w:u w:val="none"/>
                <w:lang w:val="en-US" w:eastAsia="zh-CN" w:bidi="ar"/>
              </w:rPr>
              <w:t>必修</w:t>
            </w: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4"/>
                <w:szCs w:val="24"/>
                <w:highlight w:val="none"/>
                <w:u w:val="none"/>
                <w:lang w:val="en-US" w:eastAsia="zh-CN" w:bidi="ar"/>
              </w:rPr>
              <w:t>课程</w:t>
            </w: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1025009007</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思想道德修养与法律基础</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1025009009</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中国近现代史纲要</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3</w:t>
            </w:r>
          </w:p>
        </w:tc>
      </w:tr>
      <w:tr>
        <w:tblPrEx>
          <w:shd w:val="clear" w:color="auto" w:fill="auto"/>
          <w:tblCellMar>
            <w:top w:w="0" w:type="dxa"/>
            <w:left w:w="0" w:type="dxa"/>
            <w:bottom w:w="0" w:type="dxa"/>
            <w:right w:w="0" w:type="dxa"/>
          </w:tblCellMar>
        </w:tblPrEx>
        <w:trPr>
          <w:trHeight w:val="51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1025009010</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毛泽东思想和中国特色社会主义理论体系概论</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形势与政策</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一、二、三、四、五、六</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1025009011</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思想政治理论课实践教学</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1025009012</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习近平新时代中国特色社会主义思想概论</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大学外语</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一、二、三、四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rPr>
            </w:pPr>
            <w:r>
              <w:rPr>
                <w:rFonts w:hint="eastAsia" w:ascii="宋体" w:hAnsi="宋体" w:eastAsia="宋体" w:cs="宋体"/>
                <w:i w:val="0"/>
                <w:color w:val="000000"/>
                <w:kern w:val="0"/>
                <w:sz w:val="21"/>
                <w:szCs w:val="21"/>
                <w:highlight w:val="none"/>
                <w:u w:val="none"/>
                <w:lang w:val="en-US" w:eastAsia="zh-CN" w:bidi="ar"/>
              </w:rPr>
              <w:t>10</w:t>
            </w:r>
          </w:p>
        </w:tc>
      </w:tr>
      <w:tr>
        <w:tblPrEx>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1013009001</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大学体育通修课程</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1</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1013009002</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大学体育普修课程</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1</w:t>
            </w:r>
          </w:p>
        </w:tc>
      </w:tr>
      <w:tr>
        <w:tblPrEx>
          <w:tblCellMar>
            <w:top w:w="0" w:type="dxa"/>
            <w:left w:w="0" w:type="dxa"/>
            <w:bottom w:w="0" w:type="dxa"/>
            <w:right w:w="0" w:type="dxa"/>
          </w:tblCellMar>
        </w:tblPrEx>
        <w:trPr>
          <w:trHeight w:val="51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大学体育专修课程(1)(2)</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rPr>
            </w:pPr>
            <w:r>
              <w:rPr>
                <w:rFonts w:hint="eastAsia" w:ascii="宋体" w:hAnsi="宋体" w:eastAsia="宋体" w:cs="宋体"/>
                <w:i w:val="0"/>
                <w:color w:val="000000"/>
                <w:kern w:val="0"/>
                <w:sz w:val="22"/>
                <w:szCs w:val="22"/>
                <w:highlight w:val="none"/>
                <w:u w:val="none"/>
                <w:lang w:val="en-US" w:eastAsia="zh-CN" w:bidi="ar"/>
              </w:rPr>
              <w:t>三、四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1019009001</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计算机信息技术基础（文科）</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4</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1099009001</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军事技能训练</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一</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1</w:t>
            </w:r>
          </w:p>
        </w:tc>
      </w:tr>
      <w:tr>
        <w:tblPrEx>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1099009002</w:t>
            </w:r>
          </w:p>
        </w:tc>
        <w:tc>
          <w:tcPr>
            <w:tcW w:w="301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军事理论</w:t>
            </w:r>
          </w:p>
        </w:tc>
        <w:tc>
          <w:tcPr>
            <w:tcW w:w="168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1</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109900900</w:t>
            </w:r>
            <w:r>
              <w:rPr>
                <w:rFonts w:hint="eastAsia" w:ascii="宋体" w:hAnsi="宋体" w:eastAsia="宋体" w:cs="宋体"/>
                <w:color w:val="000000"/>
                <w:highlight w:val="none"/>
                <w:u w:val="none"/>
                <w:lang w:val="en-US" w:eastAsia="zh-CN"/>
              </w:rPr>
              <w:t>3</w:t>
            </w:r>
          </w:p>
        </w:tc>
        <w:tc>
          <w:tcPr>
            <w:tcW w:w="301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大学生职业生涯规划与心理健康教育</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33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lang w:val="en-US" w:eastAsia="zh-CN"/>
              </w:rPr>
            </w:pPr>
            <w:r>
              <w:rPr>
                <w:rFonts w:hint="eastAsia" w:ascii="宋体" w:hAnsi="宋体" w:eastAsia="宋体" w:cs="宋体"/>
                <w:i w:val="0"/>
                <w:color w:val="000000"/>
                <w:sz w:val="21"/>
                <w:szCs w:val="21"/>
                <w:highlight w:val="none"/>
                <w:u w:val="none"/>
                <w:lang w:val="en-US" w:eastAsia="zh-CN"/>
              </w:rPr>
              <w:t>1</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restart"/>
            <w:tcBorders>
              <w:top w:val="single" w:color="000000" w:sz="4" w:space="0"/>
              <w:left w:val="single" w:color="000000" w:sz="4" w:space="0"/>
              <w:bottom w:val="single" w:color="000000" w:sz="12" w:space="0"/>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博雅课程</w:t>
            </w: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人文与社会类</w:t>
            </w:r>
          </w:p>
        </w:tc>
        <w:tc>
          <w:tcPr>
            <w:tcW w:w="1680" w:type="dxa"/>
            <w:vMerge w:val="restar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top"/>
              <w:rPr>
                <w:rFonts w:hint="eastAsia" w:ascii="宋体" w:hAnsi="宋体" w:eastAsia="宋体" w:cs="宋体"/>
                <w:i w:val="0"/>
                <w:color w:val="000000"/>
                <w:sz w:val="20"/>
                <w:szCs w:val="20"/>
                <w:highlight w:val="none"/>
                <w:u w:val="none"/>
              </w:rPr>
            </w:pPr>
          </w:p>
        </w:tc>
        <w:tc>
          <w:tcPr>
            <w:tcW w:w="1335" w:type="dxa"/>
            <w:vMerge w:val="restart"/>
            <w:tcBorders>
              <w:top w:val="single" w:color="auto" w:sz="4" w:space="0"/>
              <w:left w:val="single" w:color="auto" w:sz="4" w:space="0"/>
              <w:bottom w:val="single" w:color="000000" w:sz="12"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8</w:t>
            </w: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000000" w:sz="4" w:space="0"/>
              <w:left w:val="single" w:color="000000" w:sz="4" w:space="0"/>
              <w:bottom w:val="single" w:color="000000" w:sz="12"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4"/>
                <w:szCs w:val="24"/>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科技与自然类</w:t>
            </w:r>
          </w:p>
        </w:tc>
        <w:tc>
          <w:tcPr>
            <w:tcW w:w="1680"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val="0"/>
              <w:autoSpaceDN w:val="0"/>
              <w:bidi w:val="0"/>
              <w:spacing w:line="460" w:lineRule="exact"/>
              <w:jc w:val="left"/>
              <w:rPr>
                <w:rFonts w:hint="eastAsia" w:ascii="宋体" w:hAnsi="宋体" w:eastAsia="宋体" w:cs="宋体"/>
                <w:i w:val="0"/>
                <w:color w:val="000000"/>
                <w:sz w:val="20"/>
                <w:szCs w:val="20"/>
                <w:highlight w:val="none"/>
                <w:u w:val="none"/>
              </w:rPr>
            </w:pPr>
          </w:p>
        </w:tc>
        <w:tc>
          <w:tcPr>
            <w:tcW w:w="1335" w:type="dxa"/>
            <w:vMerge w:val="continue"/>
            <w:tcBorders>
              <w:top w:val="single" w:color="000000" w:sz="4" w:space="0"/>
              <w:left w:val="single" w:color="auto" w:sz="4" w:space="0"/>
              <w:bottom w:val="single" w:color="000000" w:sz="12"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i w:val="0"/>
                <w:color w:val="000000"/>
                <w:sz w:val="21"/>
                <w:szCs w:val="21"/>
                <w:highlight w:val="none"/>
                <w:u w:val="none"/>
              </w:rPr>
            </w:pPr>
          </w:p>
        </w:tc>
      </w:tr>
      <w:tr>
        <w:tblPrEx>
          <w:tblCellMar>
            <w:top w:w="0" w:type="dxa"/>
            <w:left w:w="0" w:type="dxa"/>
            <w:bottom w:w="0" w:type="dxa"/>
            <w:right w:w="0" w:type="dxa"/>
          </w:tblCellMar>
        </w:tblPrEx>
        <w:trPr>
          <w:trHeight w:val="270" w:hRule="atLeast"/>
          <w:jc w:val="center"/>
        </w:trPr>
        <w:tc>
          <w:tcPr>
            <w:tcW w:w="1650"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000000" w:sz="4" w:space="0"/>
              <w:left w:val="single" w:color="000000" w:sz="4" w:space="0"/>
              <w:bottom w:val="single" w:color="000000" w:sz="12"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4"/>
                <w:szCs w:val="24"/>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艺术与审美类</w:t>
            </w:r>
          </w:p>
        </w:tc>
        <w:tc>
          <w:tcPr>
            <w:tcW w:w="1680"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val="0"/>
              <w:autoSpaceDN w:val="0"/>
              <w:bidi w:val="0"/>
              <w:spacing w:line="460" w:lineRule="exact"/>
              <w:jc w:val="left"/>
              <w:rPr>
                <w:rFonts w:hint="eastAsia" w:ascii="宋体" w:hAnsi="宋体" w:eastAsia="宋体" w:cs="宋体"/>
                <w:i w:val="0"/>
                <w:color w:val="000000"/>
                <w:sz w:val="20"/>
                <w:szCs w:val="20"/>
                <w:highlight w:val="none"/>
                <w:u w:val="none"/>
              </w:rPr>
            </w:pPr>
          </w:p>
        </w:tc>
        <w:tc>
          <w:tcPr>
            <w:tcW w:w="1335" w:type="dxa"/>
            <w:vMerge w:val="continue"/>
            <w:tcBorders>
              <w:top w:val="single" w:color="000000" w:sz="4" w:space="0"/>
              <w:left w:val="single" w:color="auto" w:sz="4" w:space="0"/>
              <w:bottom w:val="single" w:color="000000" w:sz="12"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i w:val="0"/>
                <w:color w:val="000000"/>
                <w:sz w:val="21"/>
                <w:szCs w:val="21"/>
                <w:highlight w:val="none"/>
                <w:u w:val="none"/>
              </w:rPr>
            </w:pPr>
          </w:p>
        </w:tc>
      </w:tr>
      <w:tr>
        <w:tblPrEx>
          <w:shd w:val="clear" w:color="auto" w:fill="auto"/>
          <w:tblCellMar>
            <w:top w:w="0" w:type="dxa"/>
            <w:left w:w="0" w:type="dxa"/>
            <w:bottom w:w="0" w:type="dxa"/>
            <w:right w:w="0" w:type="dxa"/>
          </w:tblCellMar>
        </w:tblPrEx>
        <w:trPr>
          <w:trHeight w:val="270" w:hRule="atLeast"/>
          <w:jc w:val="center"/>
        </w:trPr>
        <w:tc>
          <w:tcPr>
            <w:tcW w:w="1650" w:type="dxa"/>
            <w:vMerge w:val="continue"/>
            <w:tcBorders>
              <w:top w:val="single" w:color="000000" w:sz="4" w:space="0"/>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20" w:type="dxa"/>
            <w:vMerge w:val="continue"/>
            <w:tcBorders>
              <w:top w:val="single" w:color="000000" w:sz="4" w:space="0"/>
              <w:left w:val="single" w:color="000000" w:sz="4" w:space="0"/>
              <w:bottom w:val="single" w:color="auto" w:sz="4" w:space="0"/>
              <w:right w:val="nil"/>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4"/>
                <w:szCs w:val="24"/>
                <w:highlight w:val="none"/>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创新与创业类</w:t>
            </w:r>
          </w:p>
        </w:tc>
        <w:tc>
          <w:tcPr>
            <w:tcW w:w="1680"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val="0"/>
              <w:autoSpaceDN w:val="0"/>
              <w:bidi w:val="0"/>
              <w:spacing w:line="460" w:lineRule="exact"/>
              <w:jc w:val="left"/>
              <w:rPr>
                <w:rFonts w:hint="eastAsia" w:ascii="宋体" w:hAnsi="宋体" w:eastAsia="宋体" w:cs="宋体"/>
                <w:i w:val="0"/>
                <w:color w:val="000000"/>
                <w:sz w:val="20"/>
                <w:szCs w:val="20"/>
                <w:highlight w:val="none"/>
                <w:u w:val="none"/>
              </w:rPr>
            </w:pPr>
          </w:p>
        </w:tc>
        <w:tc>
          <w:tcPr>
            <w:tcW w:w="1335" w:type="dxa"/>
            <w:vMerge w:val="continue"/>
            <w:tcBorders>
              <w:top w:val="single" w:color="000000" w:sz="4" w:space="0"/>
              <w:left w:val="single" w:color="auto" w:sz="4" w:space="0"/>
              <w:bottom w:val="single" w:color="000000" w:sz="12"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i w:val="0"/>
                <w:color w:val="000000"/>
                <w:sz w:val="21"/>
                <w:szCs w:val="21"/>
                <w:highlight w:val="none"/>
                <w:u w:val="none"/>
              </w:rPr>
            </w:pP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自主发展课程</w:t>
            </w:r>
          </w:p>
        </w:tc>
        <w:tc>
          <w:tcPr>
            <w:tcW w:w="1650" w:type="dxa"/>
            <w:tcBorders>
              <w:top w:val="single" w:color="000000" w:sz="8"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1003000031</w:t>
            </w:r>
          </w:p>
        </w:tc>
        <w:tc>
          <w:tcPr>
            <w:tcW w:w="301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马克思技术哲学导论</w:t>
            </w:r>
          </w:p>
        </w:tc>
        <w:tc>
          <w:tcPr>
            <w:tcW w:w="1680" w:type="dxa"/>
            <w:tcBorders>
              <w:top w:val="single" w:color="000000" w:sz="8"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五</w:t>
            </w:r>
          </w:p>
        </w:tc>
        <w:tc>
          <w:tcPr>
            <w:tcW w:w="1335" w:type="dxa"/>
            <w:tcBorders>
              <w:top w:val="single" w:color="000000" w:sz="8" w:space="0"/>
              <w:left w:val="single" w:color="auto" w:sz="4" w:space="0"/>
              <w:bottom w:val="single" w:color="000000" w:sz="4" w:space="0"/>
              <w:right w:val="single" w:color="auto"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1003000032</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《资本论》哲学导读</w:t>
            </w:r>
          </w:p>
        </w:tc>
        <w:tc>
          <w:tcPr>
            <w:tcW w:w="1680"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335" w:type="dxa"/>
            <w:tcBorders>
              <w:top w:val="single" w:color="000000" w:sz="4" w:space="0"/>
              <w:left w:val="single" w:color="auto" w:sz="4" w:space="0"/>
              <w:bottom w:val="single" w:color="auto" w:sz="4" w:space="0"/>
              <w:right w:val="single" w:color="auto"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1003000034</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21世纪西方左翼思潮</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33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1003000035</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先秦哲学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1003000036</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宋明理学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1003000038</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中西哲学比较</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1003000039</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古希腊哲学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1003000040</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德国古典哲学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1003000041</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当代西方哲学问题</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1003000043</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分析哲学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1003000044</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心灵哲学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70"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1003000045</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形而上学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1003000046</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语言哲学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1003000047</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政治哲学导论</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1003000048</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当代西方政治哲学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1003000049</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女性主义哲学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1003000050</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西方伦理思想史</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1003000051</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当代西方伦理学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1003000052</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经济伦理学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1003000053</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管理伦理学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626"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1003000054</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经济哲学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1003000055</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技术哲学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sz w:val="21"/>
                <w:szCs w:val="21"/>
                <w:highlight w:val="none"/>
                <w:u w:val="none"/>
                <w:lang w:val="en-US" w:eastAsia="zh-CN" w:bidi="zh-CN"/>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1003000056</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教育哲学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1003000057</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生命哲学</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ind w:left="0" w:leftChars="0" w:right="0" w:rightChars="0"/>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r>
        <w:tblPrEx>
          <w:shd w:val="clear" w:color="auto" w:fill="auto"/>
          <w:tblCellMar>
            <w:top w:w="0" w:type="dxa"/>
            <w:left w:w="0" w:type="dxa"/>
            <w:bottom w:w="0" w:type="dxa"/>
            <w:right w:w="0" w:type="dxa"/>
          </w:tblCellMar>
        </w:tblPrEx>
        <w:trPr>
          <w:trHeight w:val="285" w:hRule="atLeast"/>
          <w:jc w:val="center"/>
        </w:trPr>
        <w:tc>
          <w:tcPr>
            <w:tcW w:w="2670"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50" w:type="dxa"/>
            <w:tcBorders>
              <w:top w:val="single" w:color="000000" w:sz="4" w:space="0"/>
              <w:left w:val="single" w:color="auto"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1003000059</w:t>
            </w:r>
          </w:p>
        </w:tc>
        <w:tc>
          <w:tcPr>
            <w:tcW w:w="301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top"/>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生活哲学</w:t>
            </w:r>
          </w:p>
        </w:tc>
        <w:tc>
          <w:tcPr>
            <w:tcW w:w="168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335"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top"/>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2</w:t>
            </w:r>
          </w:p>
        </w:tc>
      </w:tr>
    </w:tbl>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val="0"/>
          <w:bCs w:val="0"/>
          <w:spacing w:val="0"/>
          <w:sz w:val="24"/>
          <w:szCs w:val="24"/>
          <w:highlight w:val="none"/>
          <w:u w:val="none"/>
          <w:lang w:val="en-US" w:eastAsia="zh-CN"/>
        </w:rPr>
      </w:pPr>
    </w:p>
    <w:tbl>
      <w:tblPr>
        <w:tblStyle w:val="8"/>
        <w:tblpPr w:leftFromText="180" w:rightFromText="180" w:vertAnchor="text" w:horzAnchor="page" w:tblpX="837" w:tblpY="295"/>
        <w:tblOverlap w:val="never"/>
        <w:tblW w:w="10260" w:type="dxa"/>
        <w:tblInd w:w="0" w:type="dxa"/>
        <w:shd w:val="clear" w:color="auto" w:fill="auto"/>
        <w:tblLayout w:type="autofit"/>
        <w:tblCellMar>
          <w:top w:w="0" w:type="dxa"/>
          <w:left w:w="0" w:type="dxa"/>
          <w:bottom w:w="0" w:type="dxa"/>
          <w:right w:w="0" w:type="dxa"/>
        </w:tblCellMar>
      </w:tblPr>
      <w:tblGrid>
        <w:gridCol w:w="1146"/>
        <w:gridCol w:w="1049"/>
        <w:gridCol w:w="1678"/>
        <w:gridCol w:w="2783"/>
        <w:gridCol w:w="2450"/>
        <w:gridCol w:w="1154"/>
      </w:tblGrid>
      <w:tr>
        <w:tblPrEx>
          <w:shd w:val="clear" w:color="auto" w:fill="auto"/>
          <w:tblCellMar>
            <w:top w:w="0" w:type="dxa"/>
            <w:left w:w="0" w:type="dxa"/>
            <w:bottom w:w="0" w:type="dxa"/>
            <w:right w:w="0" w:type="dxa"/>
          </w:tblCellMar>
        </w:tblPrEx>
        <w:trPr>
          <w:trHeight w:val="510" w:hRule="atLeast"/>
        </w:trPr>
        <w:tc>
          <w:tcPr>
            <w:tcW w:w="10260"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40"/>
                <w:szCs w:val="40"/>
                <w:highlight w:val="none"/>
                <w:u w:val="none"/>
              </w:rPr>
            </w:pPr>
            <w:r>
              <w:rPr>
                <w:rFonts w:hint="eastAsia" w:ascii="宋体" w:hAnsi="宋体" w:eastAsia="宋体" w:cs="宋体"/>
                <w:b/>
                <w:i w:val="0"/>
                <w:color w:val="000000"/>
                <w:kern w:val="0"/>
                <w:sz w:val="40"/>
                <w:szCs w:val="40"/>
                <w:highlight w:val="none"/>
                <w:u w:val="none"/>
                <w:lang w:val="en-US" w:eastAsia="zh-CN" w:bidi="ar"/>
              </w:rPr>
              <w:t>行政管理</w:t>
            </w:r>
            <w:r>
              <w:rPr>
                <w:rFonts w:hint="eastAsia" w:cs="宋体"/>
                <w:b/>
                <w:bCs/>
                <w:spacing w:val="0"/>
                <w:sz w:val="24"/>
                <w:szCs w:val="24"/>
                <w:highlight w:val="none"/>
                <w:u w:val="none"/>
                <w:lang w:val="en-US" w:eastAsia="zh-CN"/>
              </w:rPr>
              <w:t>（2020版）</w:t>
            </w:r>
          </w:p>
        </w:tc>
      </w:tr>
      <w:tr>
        <w:tblPrEx>
          <w:shd w:val="clear" w:color="auto" w:fill="auto"/>
          <w:tblCellMar>
            <w:top w:w="0" w:type="dxa"/>
            <w:left w:w="0" w:type="dxa"/>
            <w:bottom w:w="0" w:type="dxa"/>
            <w:right w:w="0" w:type="dxa"/>
          </w:tblCellMar>
        </w:tblPrEx>
        <w:trPr>
          <w:trHeight w:val="940" w:hRule="atLeast"/>
        </w:trPr>
        <w:tc>
          <w:tcPr>
            <w:tcW w:w="21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课程性质</w:t>
            </w: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课程代码</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课程名称</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开课学期</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32"/>
                <w:szCs w:val="32"/>
                <w:highlight w:val="none"/>
                <w:u w:val="none"/>
              </w:rPr>
            </w:pPr>
            <w:r>
              <w:rPr>
                <w:rFonts w:hint="eastAsia" w:ascii="宋体" w:hAnsi="宋体" w:eastAsia="宋体" w:cs="宋体"/>
                <w:b/>
                <w:i w:val="0"/>
                <w:color w:val="000000"/>
                <w:kern w:val="0"/>
                <w:sz w:val="32"/>
                <w:szCs w:val="32"/>
                <w:highlight w:val="none"/>
                <w:u w:val="none"/>
                <w:lang w:val="en-US" w:eastAsia="zh-CN" w:bidi="ar"/>
              </w:rPr>
              <w:t>学分</w:t>
            </w:r>
          </w:p>
        </w:tc>
      </w:tr>
      <w:tr>
        <w:tblPrEx>
          <w:tblCellMar>
            <w:top w:w="0" w:type="dxa"/>
            <w:left w:w="0" w:type="dxa"/>
            <w:bottom w:w="0" w:type="dxa"/>
            <w:right w:w="0" w:type="dxa"/>
          </w:tblCellMar>
        </w:tblPrEx>
        <w:trPr>
          <w:trHeight w:val="270" w:hRule="atLeast"/>
        </w:trPr>
        <w:tc>
          <w:tcPr>
            <w:tcW w:w="2195" w:type="dxa"/>
            <w:gridSpan w:val="2"/>
            <w:vMerge w:val="restart"/>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学科基础课程</w:t>
            </w: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1003000060</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管理学通论</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1003000061</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政治学基础</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1003000004</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逻辑学基础</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1003000062</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社会学概论</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1003000063</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现代经济学原理</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1003000064</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公文写作</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1003000065</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社会科学研究方法与论文写作</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1003000066</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行政管理学</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1006009005</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大学文科数学</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000000" w:sz="4" w:space="0"/>
              <w:left w:val="single" w:color="000000"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1003000067</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公共管理专业导论与研讨</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525" w:hRule="atLeast"/>
        </w:trPr>
        <w:tc>
          <w:tcPr>
            <w:tcW w:w="2195" w:type="dxa"/>
            <w:gridSpan w:val="2"/>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1003000068</w:t>
            </w:r>
          </w:p>
        </w:tc>
        <w:tc>
          <w:tcPr>
            <w:tcW w:w="278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社会统计学</w:t>
            </w:r>
          </w:p>
        </w:tc>
        <w:tc>
          <w:tcPr>
            <w:tcW w:w="2450" w:type="dxa"/>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154" w:type="dxa"/>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420" w:hRule="atLeast"/>
        </w:trPr>
        <w:tc>
          <w:tcPr>
            <w:tcW w:w="2195"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专业主干课程</w:t>
            </w: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1003000069</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公共政策概论</w:t>
            </w:r>
          </w:p>
        </w:tc>
        <w:tc>
          <w:tcPr>
            <w:tcW w:w="2450" w:type="dxa"/>
            <w:tcBorders>
              <w:top w:val="nil"/>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154"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1003000070</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公务员制度</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五</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1003000071</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行政法与行政诉讼法</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1003000072</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行政伦理学</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1003000073</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西方公共行政理论</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1003000074</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当代中国政府与政治</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1003000075</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公共经济学</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8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1003000076</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政府绩效管理</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8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1003000077</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政府创新与发展</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1003000078</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公共管理案例分析</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1003000079</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城市管理</w:t>
            </w:r>
          </w:p>
        </w:tc>
        <w:tc>
          <w:tcPr>
            <w:tcW w:w="2450"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1003000080</w:t>
            </w:r>
          </w:p>
        </w:tc>
        <w:tc>
          <w:tcPr>
            <w:tcW w:w="2783"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组织行为学</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nil"/>
              <w:left w:val="single" w:color="auto"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1003000081</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社区治理</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3</w:t>
            </w:r>
          </w:p>
        </w:tc>
      </w:tr>
      <w:tr>
        <w:tblPrEx>
          <w:tblCellMar>
            <w:top w:w="0" w:type="dxa"/>
            <w:left w:w="0" w:type="dxa"/>
            <w:bottom w:w="0" w:type="dxa"/>
            <w:right w:w="0" w:type="dxa"/>
          </w:tblCellMar>
        </w:tblPrEx>
        <w:trPr>
          <w:trHeight w:val="270" w:hRule="atLeast"/>
        </w:trPr>
        <w:tc>
          <w:tcPr>
            <w:tcW w:w="2195" w:type="dxa"/>
            <w:gridSpan w:val="2"/>
            <w:vMerge w:val="continue"/>
            <w:tcBorders>
              <w:top w:val="nil"/>
              <w:left w:val="single" w:color="auto"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1003000083</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eastAsia="zh-CN"/>
              </w:rPr>
              <w:t>田野调查B</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w:t>
            </w:r>
          </w:p>
        </w:tc>
      </w:tr>
      <w:tr>
        <w:tblPrEx>
          <w:shd w:val="clear" w:color="auto" w:fill="auto"/>
          <w:tblCellMar>
            <w:top w:w="0" w:type="dxa"/>
            <w:left w:w="0" w:type="dxa"/>
            <w:bottom w:w="0" w:type="dxa"/>
            <w:right w:w="0" w:type="dxa"/>
          </w:tblCellMar>
        </w:tblPrEx>
        <w:trPr>
          <w:trHeight w:val="285" w:hRule="atLeast"/>
        </w:trPr>
        <w:tc>
          <w:tcPr>
            <w:tcW w:w="2195" w:type="dxa"/>
            <w:gridSpan w:val="2"/>
            <w:vMerge w:val="continue"/>
            <w:tcBorders>
              <w:top w:val="nil"/>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1003000084</w:t>
            </w:r>
          </w:p>
        </w:tc>
        <w:tc>
          <w:tcPr>
            <w:tcW w:w="278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lang w:eastAsia="zh-CN"/>
              </w:rPr>
              <w:t>学年论文B</w:t>
            </w:r>
          </w:p>
        </w:tc>
        <w:tc>
          <w:tcPr>
            <w:tcW w:w="245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15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1</w:t>
            </w:r>
          </w:p>
        </w:tc>
      </w:tr>
      <w:tr>
        <w:tblPrEx>
          <w:tblCellMar>
            <w:top w:w="0" w:type="dxa"/>
            <w:left w:w="0" w:type="dxa"/>
            <w:bottom w:w="0" w:type="dxa"/>
            <w:right w:w="0" w:type="dxa"/>
          </w:tblCellMar>
        </w:tblPrEx>
        <w:trPr>
          <w:trHeight w:val="285" w:hRule="atLeast"/>
        </w:trPr>
        <w:tc>
          <w:tcPr>
            <w:tcW w:w="114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8"/>
                <w:szCs w:val="28"/>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通识教育课程</w:t>
            </w:r>
          </w:p>
        </w:tc>
        <w:tc>
          <w:tcPr>
            <w:tcW w:w="1049"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r>
              <w:rPr>
                <w:rFonts w:hint="eastAsia" w:ascii="宋体" w:hAnsi="宋体" w:eastAsia="宋体" w:cs="宋体"/>
                <w:b/>
                <w:i w:val="0"/>
                <w:color w:val="000000"/>
                <w:kern w:val="0"/>
                <w:sz w:val="24"/>
                <w:szCs w:val="24"/>
                <w:highlight w:val="none"/>
                <w:u w:val="none"/>
                <w:lang w:val="en-US" w:eastAsia="zh-CN" w:bidi="ar"/>
              </w:rPr>
              <w:t>公共</w:t>
            </w:r>
          </w:p>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kern w:val="0"/>
                <w:sz w:val="24"/>
                <w:szCs w:val="24"/>
                <w:highlight w:val="none"/>
                <w:u w:val="none"/>
                <w:lang w:val="en-US" w:eastAsia="zh-CN" w:bidi="ar"/>
              </w:rPr>
            </w:pPr>
            <w:r>
              <w:rPr>
                <w:rFonts w:hint="eastAsia" w:ascii="宋体" w:hAnsi="宋体" w:eastAsia="宋体" w:cs="宋体"/>
                <w:b/>
                <w:i w:val="0"/>
                <w:color w:val="000000"/>
                <w:kern w:val="0"/>
                <w:sz w:val="24"/>
                <w:szCs w:val="24"/>
                <w:highlight w:val="none"/>
                <w:u w:val="none"/>
                <w:lang w:val="en-US" w:eastAsia="zh-CN" w:bidi="ar"/>
              </w:rPr>
              <w:t>必修</w:t>
            </w:r>
          </w:p>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4"/>
                <w:szCs w:val="24"/>
                <w:highlight w:val="none"/>
                <w:u w:val="none"/>
                <w:lang w:val="en-US" w:eastAsia="zh-CN" w:bidi="ar"/>
              </w:rPr>
              <w:t>课程</w:t>
            </w: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1025009007</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思想道德修养与法律基础</w:t>
            </w:r>
          </w:p>
        </w:tc>
        <w:tc>
          <w:tcPr>
            <w:tcW w:w="2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一</w:t>
            </w:r>
          </w:p>
        </w:tc>
        <w:tc>
          <w:tcPr>
            <w:tcW w:w="11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1025009008</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马克思主义基本原理概论</w:t>
            </w:r>
          </w:p>
        </w:tc>
        <w:tc>
          <w:tcPr>
            <w:tcW w:w="2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1025009009</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中国近现代史纲要</w:t>
            </w:r>
          </w:p>
        </w:tc>
        <w:tc>
          <w:tcPr>
            <w:tcW w:w="2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3</w:t>
            </w:r>
          </w:p>
        </w:tc>
      </w:tr>
      <w:tr>
        <w:tblPrEx>
          <w:shd w:val="clear" w:color="auto" w:fill="auto"/>
          <w:tblCellMar>
            <w:top w:w="0" w:type="dxa"/>
            <w:left w:w="0" w:type="dxa"/>
            <w:bottom w:w="0" w:type="dxa"/>
            <w:right w:w="0" w:type="dxa"/>
          </w:tblCellMar>
        </w:tblPrEx>
        <w:trPr>
          <w:trHeight w:val="525"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1025009010</w:t>
            </w:r>
          </w:p>
        </w:tc>
        <w:tc>
          <w:tcPr>
            <w:tcW w:w="27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毛泽东思想和中国特色社会主义理论体系概论</w:t>
            </w:r>
          </w:p>
        </w:tc>
        <w:tc>
          <w:tcPr>
            <w:tcW w:w="24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p>
        </w:tc>
        <w:tc>
          <w:tcPr>
            <w:tcW w:w="2783" w:type="dxa"/>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形势与政策</w:t>
            </w:r>
          </w:p>
        </w:tc>
        <w:tc>
          <w:tcPr>
            <w:tcW w:w="245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一、二、三、四、五、六</w:t>
            </w:r>
          </w:p>
        </w:tc>
        <w:tc>
          <w:tcPr>
            <w:tcW w:w="1154"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54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1025009011</w:t>
            </w: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思想政治理论课实践教学</w:t>
            </w:r>
          </w:p>
        </w:tc>
        <w:tc>
          <w:tcPr>
            <w:tcW w:w="2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1025009012</w:t>
            </w: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习近平新时代中国特色社会主义思想概论</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83"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大学外语</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rPr>
            </w:pPr>
            <w:r>
              <w:rPr>
                <w:rFonts w:hint="eastAsia" w:ascii="宋体" w:hAnsi="宋体" w:eastAsia="宋体" w:cs="宋体"/>
                <w:i w:val="0"/>
                <w:color w:val="000000"/>
                <w:kern w:val="0"/>
                <w:sz w:val="22"/>
                <w:szCs w:val="22"/>
                <w:highlight w:val="none"/>
                <w:u w:val="none"/>
                <w:lang w:val="en-US" w:eastAsia="zh-CN" w:bidi="ar"/>
              </w:rPr>
              <w:t>一、二、三、四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10</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1013009001</w:t>
            </w: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大学体育通修课程</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1013009002</w:t>
            </w: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大学体育普修课程</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w:t>
            </w:r>
          </w:p>
        </w:tc>
      </w:tr>
      <w:tr>
        <w:tblPrEx>
          <w:tblCellMar>
            <w:top w:w="0" w:type="dxa"/>
            <w:left w:w="0" w:type="dxa"/>
            <w:bottom w:w="0" w:type="dxa"/>
            <w:right w:w="0" w:type="dxa"/>
          </w:tblCellMar>
        </w:tblPrEx>
        <w:trPr>
          <w:trHeight w:val="51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大学体育专修课程(1)(2)</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51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1019009001</w:t>
            </w: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计算机信息技术基础（文科）</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4</w:t>
            </w:r>
          </w:p>
        </w:tc>
      </w:tr>
      <w:tr>
        <w:tblPrEx>
          <w:tblCellMar>
            <w:top w:w="0" w:type="dxa"/>
            <w:left w:w="0" w:type="dxa"/>
            <w:bottom w:w="0" w:type="dxa"/>
            <w:right w:w="0" w:type="dxa"/>
          </w:tblCellMar>
        </w:tblPrEx>
        <w:trPr>
          <w:trHeight w:val="510" w:hRule="atLeast"/>
        </w:trPr>
        <w:tc>
          <w:tcPr>
            <w:tcW w:w="1146"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1099009001</w:t>
            </w:r>
          </w:p>
        </w:tc>
        <w:tc>
          <w:tcPr>
            <w:tcW w:w="2783"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军事技能训练</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一</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w:t>
            </w:r>
          </w:p>
        </w:tc>
      </w:tr>
      <w:tr>
        <w:tblPrEx>
          <w:shd w:val="clear" w:color="auto" w:fill="auto"/>
          <w:tblCellMar>
            <w:top w:w="0" w:type="dxa"/>
            <w:left w:w="0" w:type="dxa"/>
            <w:bottom w:w="0" w:type="dxa"/>
            <w:right w:w="0" w:type="dxa"/>
          </w:tblCellMar>
        </w:tblPrEx>
        <w:trPr>
          <w:trHeight w:val="510" w:hRule="atLeast"/>
        </w:trPr>
        <w:tc>
          <w:tcPr>
            <w:tcW w:w="1146" w:type="dxa"/>
            <w:vMerge w:val="continue"/>
            <w:tcBorders>
              <w:top w:val="single" w:color="auto" w:sz="4" w:space="0"/>
              <w:left w:val="single" w:color="auto" w:sz="4" w:space="0"/>
              <w:bottom w:val="single" w:color="000000" w:sz="12"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auto" w:sz="4" w:space="0"/>
              <w:left w:val="single" w:color="auto"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1099009002</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军事理论</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nil"/>
              <w:left w:val="single" w:color="auto" w:sz="4" w:space="0"/>
              <w:bottom w:val="single" w:color="000000" w:sz="12"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nil"/>
              <w:left w:val="single" w:color="auto" w:sz="4" w:space="0"/>
              <w:bottom w:val="nil"/>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en-US" w:eastAsia="zh-CN" w:bidi="zh-CN"/>
              </w:rPr>
            </w:pPr>
            <w:r>
              <w:rPr>
                <w:rFonts w:hint="eastAsia" w:ascii="宋体" w:hAnsi="宋体" w:eastAsia="宋体" w:cs="宋体"/>
                <w:color w:val="000000"/>
                <w:highlight w:val="none"/>
                <w:u w:val="none"/>
              </w:rPr>
              <w:t>109900900</w:t>
            </w:r>
            <w:r>
              <w:rPr>
                <w:rFonts w:hint="eastAsia" w:ascii="宋体" w:hAnsi="宋体" w:eastAsia="宋体" w:cs="宋体"/>
                <w:color w:val="000000"/>
                <w:highlight w:val="none"/>
                <w:u w:val="none"/>
                <w:lang w:val="en-US" w:eastAsia="zh-CN"/>
              </w:rPr>
              <w:t>3</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大学生职业生涯规划与心理健康教育</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二</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nil"/>
              <w:left w:val="single" w:color="auto"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博雅教育课程</w:t>
            </w:r>
          </w:p>
        </w:tc>
        <w:tc>
          <w:tcPr>
            <w:tcW w:w="1678" w:type="dxa"/>
            <w:tcBorders>
              <w:top w:val="nil"/>
              <w:left w:val="nil"/>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人文与社会类</w:t>
            </w:r>
          </w:p>
        </w:tc>
        <w:tc>
          <w:tcPr>
            <w:tcW w:w="2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top"/>
              <w:rPr>
                <w:rFonts w:hint="eastAsia" w:ascii="宋体" w:hAnsi="宋体" w:eastAsia="宋体" w:cs="宋体"/>
                <w:i w:val="0"/>
                <w:color w:val="000000"/>
                <w:sz w:val="20"/>
                <w:szCs w:val="20"/>
                <w:highlight w:val="none"/>
                <w:u w:val="none"/>
              </w:rPr>
            </w:pPr>
          </w:p>
        </w:tc>
        <w:tc>
          <w:tcPr>
            <w:tcW w:w="1154" w:type="dxa"/>
            <w:vMerge w:val="restart"/>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8</w:t>
            </w: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nil"/>
              <w:left w:val="single" w:color="auto"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2"/>
                <w:szCs w:val="22"/>
                <w:highlight w:val="none"/>
                <w:u w:val="none"/>
              </w:rPr>
            </w:pPr>
          </w:p>
        </w:tc>
        <w:tc>
          <w:tcPr>
            <w:tcW w:w="1678"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科技与自然类</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val="0"/>
              <w:autoSpaceDN w:val="0"/>
              <w:bidi w:val="0"/>
              <w:spacing w:line="460" w:lineRule="exact"/>
              <w:jc w:val="left"/>
              <w:rPr>
                <w:rFonts w:hint="eastAsia" w:ascii="宋体" w:hAnsi="宋体" w:eastAsia="宋体" w:cs="宋体"/>
                <w:i w:val="0"/>
                <w:color w:val="000000"/>
                <w:sz w:val="20"/>
                <w:szCs w:val="20"/>
                <w:highlight w:val="none"/>
                <w:u w:val="none"/>
              </w:rPr>
            </w:pPr>
          </w:p>
        </w:tc>
        <w:tc>
          <w:tcPr>
            <w:tcW w:w="1154" w:type="dxa"/>
            <w:vMerge w:val="continue"/>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270" w:hRule="atLeast"/>
        </w:trPr>
        <w:tc>
          <w:tcPr>
            <w:tcW w:w="1146" w:type="dxa"/>
            <w:vMerge w:val="continue"/>
            <w:tcBorders>
              <w:top w:val="nil"/>
              <w:left w:val="single" w:color="auto" w:sz="4" w:space="0"/>
              <w:bottom w:val="single" w:color="000000" w:sz="12"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2"/>
                <w:szCs w:val="22"/>
                <w:highlight w:val="none"/>
                <w:u w:val="none"/>
              </w:rPr>
            </w:pPr>
          </w:p>
        </w:tc>
        <w:tc>
          <w:tcPr>
            <w:tcW w:w="1678"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艺术与审美类</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val="0"/>
              <w:autoSpaceDN w:val="0"/>
              <w:bidi w:val="0"/>
              <w:spacing w:line="460" w:lineRule="exact"/>
              <w:jc w:val="left"/>
              <w:rPr>
                <w:rFonts w:hint="eastAsia" w:ascii="宋体" w:hAnsi="宋体" w:eastAsia="宋体" w:cs="宋体"/>
                <w:i w:val="0"/>
                <w:color w:val="000000"/>
                <w:sz w:val="20"/>
                <w:szCs w:val="20"/>
                <w:highlight w:val="none"/>
                <w:u w:val="none"/>
              </w:rPr>
            </w:pPr>
          </w:p>
        </w:tc>
        <w:tc>
          <w:tcPr>
            <w:tcW w:w="1154" w:type="dxa"/>
            <w:vMerge w:val="continue"/>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i w:val="0"/>
                <w:color w:val="000000"/>
                <w:sz w:val="22"/>
                <w:szCs w:val="22"/>
                <w:highlight w:val="none"/>
                <w:u w:val="none"/>
              </w:rPr>
            </w:pPr>
          </w:p>
        </w:tc>
      </w:tr>
      <w:tr>
        <w:tblPrEx>
          <w:shd w:val="clear" w:color="auto" w:fill="auto"/>
          <w:tblCellMar>
            <w:top w:w="0" w:type="dxa"/>
            <w:left w:w="0" w:type="dxa"/>
            <w:bottom w:w="0" w:type="dxa"/>
            <w:right w:w="0" w:type="dxa"/>
          </w:tblCellMar>
        </w:tblPrEx>
        <w:trPr>
          <w:trHeight w:val="270" w:hRule="atLeast"/>
        </w:trPr>
        <w:tc>
          <w:tcPr>
            <w:tcW w:w="1146" w:type="dxa"/>
            <w:vMerge w:val="continue"/>
            <w:tcBorders>
              <w:top w:val="nil"/>
              <w:left w:val="single" w:color="auto"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049"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2"/>
                <w:szCs w:val="22"/>
                <w:highlight w:val="none"/>
                <w:u w:val="none"/>
              </w:rPr>
            </w:pPr>
          </w:p>
        </w:tc>
        <w:tc>
          <w:tcPr>
            <w:tcW w:w="1678" w:type="dxa"/>
            <w:tcBorders>
              <w:top w:val="single" w:color="000000" w:sz="4" w:space="0"/>
              <w:left w:val="nil"/>
              <w:bottom w:val="single" w:color="000000" w:sz="4" w:space="0"/>
              <w:right w:val="nil"/>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rPr>
                <w:rFonts w:hint="eastAsia" w:ascii="宋体" w:hAnsi="宋体" w:eastAsia="宋体" w:cs="宋体"/>
                <w:i w:val="0"/>
                <w:color w:val="000000"/>
                <w:sz w:val="22"/>
                <w:szCs w:val="22"/>
                <w:highlight w:val="none"/>
                <w:u w:val="none"/>
              </w:rPr>
            </w:pP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创新与创业类</w:t>
            </w:r>
          </w:p>
        </w:tc>
        <w:tc>
          <w:tcPr>
            <w:tcW w:w="2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pageBreakBefore w:val="0"/>
              <w:kinsoku/>
              <w:wordWrap/>
              <w:overflowPunct/>
              <w:topLinePunct w:val="0"/>
              <w:autoSpaceDE w:val="0"/>
              <w:autoSpaceDN w:val="0"/>
              <w:bidi w:val="0"/>
              <w:spacing w:line="460" w:lineRule="exact"/>
              <w:jc w:val="left"/>
              <w:rPr>
                <w:rFonts w:hint="eastAsia" w:ascii="宋体" w:hAnsi="宋体" w:eastAsia="宋体" w:cs="宋体"/>
                <w:i w:val="0"/>
                <w:color w:val="000000"/>
                <w:sz w:val="20"/>
                <w:szCs w:val="20"/>
                <w:highlight w:val="none"/>
                <w:u w:val="none"/>
              </w:rPr>
            </w:pPr>
          </w:p>
        </w:tc>
        <w:tc>
          <w:tcPr>
            <w:tcW w:w="1154" w:type="dxa"/>
            <w:vMerge w:val="continue"/>
            <w:tcBorders>
              <w:top w:val="single" w:color="000000" w:sz="4" w:space="0"/>
              <w:left w:val="single" w:color="000000" w:sz="4" w:space="0"/>
              <w:bottom w:val="single" w:color="000000" w:sz="12" w:space="0"/>
              <w:right w:val="single" w:color="000000" w:sz="4" w:space="0"/>
            </w:tcBorders>
            <w:shd w:val="clear" w:color="auto" w:fill="auto"/>
            <w:noWrap/>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i w:val="0"/>
                <w:color w:val="000000"/>
                <w:sz w:val="22"/>
                <w:szCs w:val="22"/>
                <w:highlight w:val="none"/>
                <w:u w:val="none"/>
              </w:rPr>
            </w:pPr>
          </w:p>
        </w:tc>
      </w:tr>
      <w:tr>
        <w:tblPrEx>
          <w:shd w:val="clear" w:color="auto" w:fill="auto"/>
          <w:tblCellMar>
            <w:top w:w="0" w:type="dxa"/>
            <w:left w:w="0" w:type="dxa"/>
            <w:bottom w:w="0" w:type="dxa"/>
            <w:right w:w="0" w:type="dxa"/>
          </w:tblCellMar>
        </w:tblPrEx>
        <w:trPr>
          <w:trHeight w:val="285" w:hRule="atLeast"/>
        </w:trPr>
        <w:tc>
          <w:tcPr>
            <w:tcW w:w="2195"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center"/>
              <w:textAlignment w:val="center"/>
              <w:rPr>
                <w:rFonts w:hint="eastAsia" w:ascii="宋体" w:hAnsi="宋体" w:eastAsia="宋体" w:cs="宋体"/>
                <w:b/>
                <w:i w:val="0"/>
                <w:color w:val="000000"/>
                <w:sz w:val="28"/>
                <w:szCs w:val="28"/>
                <w:highlight w:val="none"/>
                <w:u w:val="none"/>
              </w:rPr>
            </w:pPr>
            <w:r>
              <w:rPr>
                <w:rFonts w:hint="eastAsia" w:ascii="宋体" w:hAnsi="宋体" w:eastAsia="宋体" w:cs="宋体"/>
                <w:b/>
                <w:i w:val="0"/>
                <w:color w:val="000000"/>
                <w:kern w:val="0"/>
                <w:sz w:val="28"/>
                <w:szCs w:val="28"/>
                <w:highlight w:val="none"/>
                <w:u w:val="none"/>
                <w:lang w:val="en-US" w:eastAsia="zh-CN" w:bidi="ar"/>
              </w:rPr>
              <w:t>自主发展课程</w:t>
            </w:r>
          </w:p>
        </w:tc>
        <w:tc>
          <w:tcPr>
            <w:tcW w:w="1678" w:type="dxa"/>
            <w:tcBorders>
              <w:top w:val="nil"/>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1003000087</w:t>
            </w:r>
          </w:p>
        </w:tc>
        <w:tc>
          <w:tcPr>
            <w:tcW w:w="2783"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中国共产党与国家治理现代化专题</w:t>
            </w:r>
          </w:p>
        </w:tc>
        <w:tc>
          <w:tcPr>
            <w:tcW w:w="245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二</w:t>
            </w:r>
          </w:p>
        </w:tc>
        <w:tc>
          <w:tcPr>
            <w:tcW w:w="1154"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1003000088</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社会调查理论与方法</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1003000089</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西方政治思想史</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1003000090</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比较政治学</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1"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1003000091</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当代中国经济发展</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1003000092</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政治哲学</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1003000093</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当代西方政治思潮</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1003000095</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文化产业与管理</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1003000096</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项目管理</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270"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1003000097</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非营利组织管理</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六</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1003000098</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政府公共关系</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1003000099</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企业文化与企业形象设计</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五</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1003000100</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文化与社会发展</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1003000101</w:t>
            </w:r>
          </w:p>
        </w:tc>
        <w:tc>
          <w:tcPr>
            <w:tcW w:w="2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行政能力开发与训练</w:t>
            </w:r>
          </w:p>
        </w:tc>
        <w:tc>
          <w:tcPr>
            <w:tcW w:w="24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1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000000" w:sz="4" w:space="0"/>
              <w:left w:val="single" w:color="auto"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1003000102</w:t>
            </w:r>
          </w:p>
        </w:tc>
        <w:tc>
          <w:tcPr>
            <w:tcW w:w="278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现代政府概论</w:t>
            </w:r>
          </w:p>
        </w:tc>
        <w:tc>
          <w:tcPr>
            <w:tcW w:w="245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六</w:t>
            </w:r>
          </w:p>
        </w:tc>
        <w:tc>
          <w:tcPr>
            <w:tcW w:w="115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1003000103</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沟通学</w:t>
            </w:r>
          </w:p>
        </w:tc>
        <w:tc>
          <w:tcPr>
            <w:tcW w:w="245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四</w:t>
            </w:r>
          </w:p>
        </w:tc>
        <w:tc>
          <w:tcPr>
            <w:tcW w:w="11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1003000105</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电子政务</w:t>
            </w:r>
          </w:p>
        </w:tc>
        <w:tc>
          <w:tcPr>
            <w:tcW w:w="245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五</w:t>
            </w:r>
          </w:p>
        </w:tc>
        <w:tc>
          <w:tcPr>
            <w:tcW w:w="11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r>
        <w:tblPrEx>
          <w:shd w:val="clear" w:color="auto" w:fill="auto"/>
          <w:tblCellMar>
            <w:top w:w="0" w:type="dxa"/>
            <w:left w:w="0" w:type="dxa"/>
            <w:bottom w:w="0" w:type="dxa"/>
            <w:right w:w="0" w:type="dxa"/>
          </w:tblCellMar>
        </w:tblPrEx>
        <w:trPr>
          <w:trHeight w:val="375" w:hRule="atLeast"/>
        </w:trPr>
        <w:tc>
          <w:tcPr>
            <w:tcW w:w="2195" w:type="dxa"/>
            <w:gridSpan w:val="2"/>
            <w:vMerge w:val="continue"/>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val="0"/>
              <w:autoSpaceDN w:val="0"/>
              <w:bidi w:val="0"/>
              <w:spacing w:line="460" w:lineRule="exact"/>
              <w:jc w:val="center"/>
              <w:rPr>
                <w:rFonts w:hint="eastAsia" w:ascii="宋体" w:hAnsi="宋体" w:eastAsia="宋体" w:cs="宋体"/>
                <w:b/>
                <w:i w:val="0"/>
                <w:color w:val="000000"/>
                <w:sz w:val="28"/>
                <w:szCs w:val="28"/>
                <w:highlight w:val="none"/>
                <w:u w:val="none"/>
              </w:rPr>
            </w:pPr>
          </w:p>
        </w:tc>
        <w:tc>
          <w:tcPr>
            <w:tcW w:w="167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1003000106</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left"/>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秘书学与秘书工作</w:t>
            </w:r>
          </w:p>
        </w:tc>
        <w:tc>
          <w:tcPr>
            <w:tcW w:w="245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suppressLineNumbers w:val="0"/>
              <w:kinsoku/>
              <w:wordWrap/>
              <w:overflowPunct/>
              <w:topLinePunct w:val="0"/>
              <w:autoSpaceDE w:val="0"/>
              <w:autoSpaceDN w:val="0"/>
              <w:bidi w:val="0"/>
              <w:spacing w:line="460" w:lineRule="exact"/>
              <w:jc w:val="left"/>
              <w:textAlignment w:val="center"/>
              <w:rPr>
                <w:rFonts w:hint="eastAsia" w:ascii="宋体" w:hAnsi="宋体" w:eastAsia="宋体" w:cs="宋体"/>
                <w:i w:val="0"/>
                <w:color w:val="000000"/>
                <w:sz w:val="22"/>
                <w:szCs w:val="22"/>
                <w:highlight w:val="none"/>
                <w:u w:val="none"/>
                <w:lang w:val="en-US" w:eastAsia="zh-CN"/>
              </w:rPr>
            </w:pPr>
            <w:r>
              <w:rPr>
                <w:rFonts w:hint="eastAsia" w:ascii="宋体" w:hAnsi="宋体" w:eastAsia="宋体" w:cs="宋体"/>
                <w:i w:val="0"/>
                <w:color w:val="000000"/>
                <w:sz w:val="22"/>
                <w:szCs w:val="22"/>
                <w:highlight w:val="none"/>
                <w:u w:val="none"/>
                <w:lang w:val="en-US" w:eastAsia="zh-CN"/>
              </w:rPr>
              <w:t>三</w:t>
            </w:r>
          </w:p>
        </w:tc>
        <w:tc>
          <w:tcPr>
            <w:tcW w:w="11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shd w:val="clear" w:color="auto" w:fill="FFFFFF"/>
              <w:kinsoku/>
              <w:wordWrap/>
              <w:overflowPunct/>
              <w:topLinePunct w:val="0"/>
              <w:autoSpaceDE w:val="0"/>
              <w:autoSpaceDN w:val="0"/>
              <w:bidi w:val="0"/>
              <w:adjustRightInd w:val="0"/>
              <w:snapToGrid w:val="0"/>
              <w:spacing w:line="460" w:lineRule="exact"/>
              <w:ind w:left="0" w:leftChars="0" w:right="0" w:rightChars="0"/>
              <w:jc w:val="center"/>
              <w:rPr>
                <w:rFonts w:hint="eastAsia" w:ascii="宋体" w:hAnsi="宋体" w:eastAsia="宋体" w:cs="宋体"/>
                <w:color w:val="000000"/>
                <w:sz w:val="22"/>
                <w:szCs w:val="22"/>
                <w:highlight w:val="none"/>
                <w:u w:val="none"/>
                <w:lang w:val="zh-CN" w:eastAsia="zh-CN" w:bidi="zh-CN"/>
              </w:rPr>
            </w:pPr>
            <w:r>
              <w:rPr>
                <w:rFonts w:hint="eastAsia" w:ascii="宋体" w:hAnsi="宋体" w:eastAsia="宋体" w:cs="宋体"/>
                <w:color w:val="000000"/>
                <w:highlight w:val="none"/>
                <w:u w:val="none"/>
              </w:rPr>
              <w:t>2</w:t>
            </w:r>
          </w:p>
        </w:tc>
      </w:tr>
    </w:tbl>
    <w:p>
      <w:pPr>
        <w:keepNext w:val="0"/>
        <w:keepLines w:val="0"/>
        <w:pageBreakBefore w:val="0"/>
        <w:kinsoku/>
        <w:wordWrap/>
        <w:overflowPunct/>
        <w:topLinePunct w:val="0"/>
        <w:autoSpaceDE w:val="0"/>
        <w:autoSpaceDN w:val="0"/>
        <w:bidi w:val="0"/>
        <w:adjustRightInd/>
        <w:snapToGrid/>
        <w:spacing w:line="460" w:lineRule="exact"/>
        <w:jc w:val="both"/>
        <w:textAlignment w:val="auto"/>
        <w:rPr>
          <w:rFonts w:hint="eastAsia" w:ascii="宋体" w:hAnsi="宋体" w:eastAsia="宋体" w:cs="宋体"/>
          <w:b w:val="0"/>
          <w:bCs w:val="0"/>
          <w:spacing w:val="0"/>
          <w:sz w:val="24"/>
          <w:szCs w:val="24"/>
          <w:highlight w:val="none"/>
          <w:u w:val="none"/>
          <w:lang w:val="en-US" w:eastAsia="zh-CN"/>
        </w:rPr>
      </w:pPr>
    </w:p>
    <w:p/>
    <w:sectPr>
      <w:headerReference r:id="rId7" w:type="default"/>
      <w:footerReference r:id="rId9" w:type="default"/>
      <w:headerReference r:id="rId8" w:type="even"/>
      <w:footerReference r:id="rId10" w:type="even"/>
      <w:pgSz w:w="11910" w:h="16850"/>
      <w:pgMar w:top="1600" w:right="1260" w:bottom="1760" w:left="1300" w:header="0" w:footer="1562" w:gutter="0"/>
      <w:pgNumType w:fmt="decimal"/>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俞俞min" w:date="2022-05-06T12:04:12Z" w:initials="">
    <w:p w14:paraId="618644DF">
      <w:pPr>
        <w:pStyle w:val="4"/>
        <w:rPr>
          <w:rFonts w:hint="default" w:eastAsia="宋体"/>
          <w:lang w:val="en-US" w:eastAsia="zh-CN"/>
        </w:rPr>
      </w:pPr>
      <w:r>
        <w:rPr>
          <w:rFonts w:hint="eastAsia"/>
          <w:lang w:val="en-US" w:eastAsia="zh-CN"/>
        </w:rPr>
        <w:t>加入中美班培养方案</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18644D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jc w:val="center"/>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C02E2"/>
    <w:multiLevelType w:val="singleLevel"/>
    <w:tmpl w:val="FAFC02E2"/>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俞俞min">
    <w15:presenceInfo w15:providerId="WPS Office" w15:userId="4714966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jYTdiN2RkOGQ4MjAyNWI3YTM3Yjg3ZDZjZjQ3OWIifQ=="/>
  </w:docVars>
  <w:rsids>
    <w:rsidRoot w:val="3DE25E39"/>
    <w:rsid w:val="3DE25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ind w:left="289" w:right="320"/>
      <w:jc w:val="center"/>
      <w:outlineLvl w:val="1"/>
    </w:pPr>
    <w:rPr>
      <w:rFonts w:ascii="Microsoft JhengHei" w:hAnsi="Microsoft JhengHei" w:eastAsia="Microsoft JhengHei" w:cs="Microsoft JhengHei"/>
      <w:b/>
      <w:bCs/>
      <w:sz w:val="44"/>
      <w:szCs w:val="44"/>
      <w:lang w:val="zh-CN" w:eastAsia="zh-CN" w:bidi="zh-CN"/>
    </w:rPr>
  </w:style>
  <w:style w:type="paragraph" w:styleId="3">
    <w:name w:val="heading 2"/>
    <w:basedOn w:val="1"/>
    <w:next w:val="1"/>
    <w:qFormat/>
    <w:uiPriority w:val="1"/>
    <w:pPr>
      <w:spacing w:line="483" w:lineRule="exact"/>
      <w:ind w:left="862"/>
      <w:outlineLvl w:val="2"/>
    </w:pPr>
    <w:rPr>
      <w:rFonts w:ascii="Microsoft JhengHei" w:hAnsi="Microsoft JhengHei" w:eastAsia="Microsoft JhengHei" w:cs="Microsoft JhengHei"/>
      <w:b/>
      <w:bCs/>
      <w:sz w:val="32"/>
      <w:szCs w:val="32"/>
      <w:lang w:val="zh-CN" w:eastAsia="zh-CN" w:bidi="zh-CN"/>
    </w:rPr>
  </w:style>
  <w:style w:type="character" w:default="1" w:styleId="10">
    <w:name w:val="Default Paragraph Font"/>
    <w:semiHidden/>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1"/>
    <w:pPr>
      <w:ind w:left="231"/>
    </w:pPr>
    <w:rPr>
      <w:rFonts w:ascii="宋体" w:hAnsi="宋体" w:eastAsia="宋体" w:cs="宋体"/>
      <w:sz w:val="32"/>
      <w:szCs w:val="32"/>
      <w:lang w:val="zh-CN" w:eastAsia="zh-CN" w:bidi="zh-CN"/>
    </w:r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autoRedefine/>
    <w:qFormat/>
    <w:uiPriority w:val="1"/>
    <w:pPr>
      <w:ind w:left="231" w:firstLine="631"/>
    </w:pPr>
    <w:rPr>
      <w:rFonts w:ascii="宋体" w:hAnsi="宋体" w:eastAsia="宋体" w:cs="宋体"/>
      <w:lang w:val="zh-CN" w:eastAsia="zh-CN" w:bidi="zh-CN"/>
    </w:rPr>
  </w:style>
  <w:style w:type="paragraph" w:customStyle="1" w:styleId="12">
    <w:name w:val="Table Paragraph"/>
    <w:basedOn w:val="1"/>
    <w:autoRedefine/>
    <w:qFormat/>
    <w:uiPriority w:val="1"/>
    <w:pPr>
      <w:spacing w:before="135"/>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2024-01-03T01:34:00Z</dcterms:created>
  <dc:creator>俞俞min</dc:creator>
  <cp:lastModifiedBy>俞俞min</cp:lastModifiedBy>
  <dcterms:modified xsi:type="dcterms:W3CDTF">2024-01-03T02:19:30Z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9711A7BFE9BE4716BA7DF99852FB7D91_11</vt:lpwstr>
  </property>
</Properties>
</file>