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DD7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附件1</w:t>
      </w:r>
    </w:p>
    <w:p w14:paraId="77CABE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  <w:lang w:val="en-US" w:eastAsia="zh-CN"/>
        </w:rPr>
        <w:t>动物医学院推荐免试硕士研究生（含直博生）的综合考核方案</w:t>
      </w:r>
    </w:p>
    <w:p w14:paraId="3F8368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  <w:t>一、学生的综合考核得分由两部分构成</w:t>
      </w:r>
    </w:p>
    <w:p w14:paraId="08B8D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综合考核得分＝GPA*0.7＋综合素质与能力绩点*0.3</w:t>
      </w:r>
    </w:p>
    <w:p w14:paraId="6CC7D6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  <w:t>二、综合素质与能力绩点</w:t>
      </w:r>
    </w:p>
    <w:p w14:paraId="06E2F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综合素质与能力绩点=综合测评绩点+综合能力附加分绩点</w:t>
      </w:r>
    </w:p>
    <w:p w14:paraId="3F7BE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（一）综合测评绩点计算办法（满绩2.0）</w:t>
      </w:r>
    </w:p>
    <w:p w14:paraId="12AFD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综合测评最终绩点为班级前三年综合测评绩点的平均分，满绩2.0。班级排名第1-5名绩点2.0；6-10名绩点1.9；11-15名绩点1.8；16-20名绩点1.7；21名以后绩点1.6，取三年平均。</w:t>
      </w:r>
    </w:p>
    <w:p w14:paraId="27ED586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综合能力附加分绩点计算办法（满绩2.5，只取最高项）</w:t>
      </w:r>
    </w:p>
    <w:p w14:paraId="078E1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1、学生在学期间参加SRT项目或发表本专业学术论文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绩点：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担任SRT项目主持人并顺利结项，绩点为0.5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；以独立作者或者排名第一作者发表本专业学术论文加分，SCI期刊研究论文：JCR学科前10%的绩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点为2.5；JCR学科前10%-25%的绩点为2.0；JCR学科前25%-5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0%的绩点为1.5；其他英文论文的绩点为1.0。中文期刊研究论文：在《南京农业大学自然科学核心期刊目录》一类期刊发表研究论文绩点为1.0，二类期刊发表研究论文绩点为0.8，一般期刊上发表本专业研究论文第一作者绩点为0.6。在学术期刊上发表本专业的文献综述或疾病防治文章绩点为0.4。发表论文指正式出版发表的论文（不包括出具录用通知的待发表文章）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发表论文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时间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截至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工作通知发布时间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。所有论文第一完成单位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或通讯作者单位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必须为南京农业大学。</w:t>
      </w:r>
    </w:p>
    <w:p w14:paraId="0E5E3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、获得国家专利授权绩点：学生在学期间获得本专业领域国家发明专利授，第一发明人绩点为1.5，第二发明人绩点为1.0（其余发明人按顺序50%递减）。获得国家实用新型专利授，第一完成人绩点为0.6，（其余发明人按顺序50%递减）。专利授权人必须为南京农业大学。</w:t>
      </w:r>
    </w:p>
    <w:p w14:paraId="67C2B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获得校级及以上奖励绩点：在校期间获得国家奖学金绩点为0.6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获国家励志奖学金绩点为0.3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获校三好奖学金一、二等绩点分别为0.4和0.3。获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瑞华杯年度大学生人物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等校级最高典型选树荣誉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绩点为0.8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提名为0.6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。获校级科技竞赛活动一等奖绩点为0.8（记前两名，3-4名计0.6,5-6名计0.4；不计排名的本专业技能竞赛绩点为0.8）。获得省级科技竞赛二等奖以上绩点为1.0（前两名，3-5名每人计0.7，其他人员计0.5，总数不超过9人）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获全国专业竞赛（动医专业相关）一等奖绩点1.2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（有排名的记前三名，三名以后减半；证书无排名的按团队计算，每个人都1.2）。获得国家级科技竞赛二等奖及以上绩点为1.5（记前三名，4-6名计1.0，7名后计0.7，总数不超过10人）。任职班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级（团支部）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本科生党支部、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校院学生会及共青团部级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含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等主要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学生干部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其他校级学生组织主席团成员（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校青协、校青媒、校红会、校科协、大艺团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），且个人年度考评合格，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一年绩点为0.5、两年以上绩点为0.7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个人获组织推荐，参加的省级及以上评比表彰，获二等奖及以上绩点为1.0（文化类、文艺类、体育类活动除外）。</w:t>
      </w:r>
    </w:p>
    <w:p w14:paraId="1D41B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备注：各类比赛赛事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如设特等奖、金奖，则按特等奖、金奖为一等奖奖励，按顺序以此类推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且各类竞赛获奖须为终审决赛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。</w:t>
      </w:r>
    </w:p>
    <w:p w14:paraId="5E288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4、参加优秀本科生出国交流项目绩点0.4、江苏高校学生境外学习政府奖学金项目者绩点0.5，或在校期间参军入伍服兵役绩点0.6，或到国际组织实习者绩点0.6。</w:t>
      </w:r>
    </w:p>
    <w:p w14:paraId="79B27E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default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  <w:t>三、其他说明</w:t>
      </w:r>
    </w:p>
    <w:p w14:paraId="5E560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获奖证书或文件、公函等需为国家行政主管部门颁发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如有多项加分，只加绩点最高的一项，不累加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。</w:t>
      </w:r>
    </w:p>
    <w:p w14:paraId="06A49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2、附加分材料获得截止时间，以推荐免试工作通知正式发布时间为准。</w:t>
      </w:r>
    </w:p>
    <w:p w14:paraId="6A788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3、附加分材料如无法明确界定绩点，由推免生遴选工作领导小组研究讨论决定。</w:t>
      </w:r>
    </w:p>
    <w:p w14:paraId="30F81527">
      <w:pPr>
        <w:adjustRightInd w:val="0"/>
        <w:snapToGrid w:val="0"/>
        <w:spacing w:line="520" w:lineRule="exact"/>
        <w:ind w:firstLine="480" w:firstLineChars="200"/>
        <w:jc w:val="left"/>
        <w:rPr>
          <w:rFonts w:eastAsia="仿宋_GB2312"/>
          <w:color w:val="000000"/>
          <w:kern w:val="0"/>
          <w:sz w:val="24"/>
        </w:rPr>
      </w:pPr>
    </w:p>
    <w:p w14:paraId="63D5415E"/>
    <w:sectPr>
      <w:pgSz w:w="11906" w:h="16838"/>
      <w:pgMar w:top="1418" w:right="1418" w:bottom="1135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8A6353"/>
    <w:multiLevelType w:val="singleLevel"/>
    <w:tmpl w:val="0D8A635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9A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2025-03-17T01:06:02Z</dcterms:created>
  <dc:creator>贾晓庆</dc:creator>
  <cp:lastModifiedBy>贾晓庆</cp:lastModifiedBy>
  <dcterms:modified xsi:type="dcterms:W3CDTF">2025-03-17T01:06:30Z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eyJoZGlkIjoiZmJkY2UyN2I2Yzc1YTRmMjVlMTljM2MxNmU1NzUzMDciLCJ1c2VySWQiOiIyODQyMTU1MzYifQ==</vt:lpwstr>
  </property>
  <property fmtid="{D5CDD505-2E9C-101B-9397-08002B2CF9AE}" pid="4" name="ICV">
    <vt:lpwstr>F10673F1EE054EECA4DF0C39FFE64B6E_12</vt:lpwstr>
  </property>
</Properties>
</file>