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719CB4">
      <w:pPr>
        <w:pStyle w:val="15"/>
        <w:snapToGrid w:val="0"/>
        <w:spacing w:line="560" w:lineRule="exact"/>
        <w:ind w:firstLine="0"/>
        <w:jc w:val="center"/>
        <w:rPr>
          <w:rFonts w:ascii="Times New Roman" w:hAnsi="Times New Roman" w:eastAsia="黑体" w:cs="Times New Roman"/>
          <w:color w:val="000000"/>
          <w:sz w:val="32"/>
          <w:szCs w:val="32"/>
        </w:rPr>
      </w:pPr>
      <w:r>
        <w:rPr>
          <w:rFonts w:ascii="Times New Roman" w:hAnsi="Times New Roman" w:eastAsia="黑体" w:cs="Times New Roman"/>
          <w:color w:val="000000"/>
          <w:sz w:val="36"/>
          <w:szCs w:val="36"/>
        </w:rPr>
        <w:t>推免加分细则</w:t>
      </w:r>
    </w:p>
    <w:p w14:paraId="3F1A4172">
      <w:pPr>
        <w:adjustRightInd w:val="0"/>
        <w:snapToGrid w:val="0"/>
        <w:spacing w:line="56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学生在本科阶段获得下列八个方面成果或荣誉，</w:t>
      </w:r>
      <w:r>
        <w:rPr>
          <w:rFonts w:hint="eastAsia" w:ascii="Times New Roman" w:hAnsi="Times New Roman" w:eastAsia="仿宋_GB2312" w:cs="Times New Roman"/>
          <w:color w:val="000000"/>
          <w:sz w:val="32"/>
          <w:szCs w:val="32"/>
        </w:rPr>
        <w:t>可以申请</w:t>
      </w:r>
      <w:r>
        <w:rPr>
          <w:rFonts w:ascii="Times New Roman" w:hAnsi="Times New Roman" w:eastAsia="仿宋_GB2312" w:cs="Times New Roman"/>
          <w:color w:val="000000"/>
          <w:sz w:val="32"/>
          <w:szCs w:val="32"/>
        </w:rPr>
        <w:t>推免加分。学生在某一方面成果中有多项加分情况时，原则上只取一项最高分。各项成果</w:t>
      </w:r>
      <w:r>
        <w:rPr>
          <w:rFonts w:hint="eastAsia" w:ascii="Times New Roman" w:hAnsi="Times New Roman" w:eastAsia="仿宋_GB2312" w:cs="Times New Roman"/>
          <w:color w:val="000000"/>
          <w:sz w:val="32"/>
          <w:szCs w:val="32"/>
        </w:rPr>
        <w:t>或</w:t>
      </w:r>
      <w:r>
        <w:rPr>
          <w:rFonts w:ascii="Times New Roman" w:hAnsi="Times New Roman" w:eastAsia="仿宋_GB2312" w:cs="Times New Roman"/>
          <w:color w:val="000000"/>
          <w:sz w:val="32"/>
          <w:szCs w:val="32"/>
        </w:rPr>
        <w:t>荣誉获得时间截止至推免当年的8月31日。</w:t>
      </w:r>
    </w:p>
    <w:p w14:paraId="6D4D8B5A">
      <w:pPr>
        <w:adjustRightInd w:val="0"/>
        <w:snapToGrid w:val="0"/>
        <w:spacing w:line="560" w:lineRule="exact"/>
        <w:ind w:firstLine="643" w:firstLineChars="200"/>
        <w:rPr>
          <w:rFonts w:ascii="Times New Roman" w:hAnsi="Times New Roman" w:eastAsia="仿宋_GB2312" w:cs="Times New Roman"/>
          <w:b/>
          <w:bCs/>
          <w:color w:val="000000"/>
          <w:sz w:val="32"/>
          <w:szCs w:val="32"/>
        </w:rPr>
      </w:pPr>
      <w:r>
        <w:rPr>
          <w:rFonts w:ascii="Times New Roman" w:hAnsi="Times New Roman" w:eastAsia="仿宋_GB2312" w:cs="Times New Roman"/>
          <w:b/>
          <w:bCs/>
          <w:color w:val="000000"/>
          <w:sz w:val="32"/>
          <w:szCs w:val="32"/>
        </w:rPr>
        <w:t>1．论文加分</w:t>
      </w:r>
    </w:p>
    <w:tbl>
      <w:tblPr>
        <w:tblStyle w:val="7"/>
        <w:tblW w:w="4998" w:type="pct"/>
        <w:jc w:val="center"/>
        <w:tblLayout w:type="autofit"/>
        <w:tblCellMar>
          <w:top w:w="0" w:type="dxa"/>
          <w:left w:w="108" w:type="dxa"/>
          <w:bottom w:w="0" w:type="dxa"/>
          <w:right w:w="108" w:type="dxa"/>
        </w:tblCellMar>
      </w:tblPr>
      <w:tblGrid>
        <w:gridCol w:w="743"/>
        <w:gridCol w:w="5789"/>
        <w:gridCol w:w="1157"/>
        <w:gridCol w:w="830"/>
      </w:tblGrid>
      <w:tr w14:paraId="782206B5">
        <w:tblPrEx>
          <w:tblCellMar>
            <w:top w:w="0" w:type="dxa"/>
            <w:left w:w="108" w:type="dxa"/>
            <w:bottom w:w="0" w:type="dxa"/>
            <w:right w:w="108" w:type="dxa"/>
          </w:tblCellMar>
        </w:tblPrEx>
        <w:trPr>
          <w:trHeight w:val="363" w:hRule="atLeast"/>
          <w:jc w:val="center"/>
        </w:trPr>
        <w:tc>
          <w:tcPr>
            <w:tcW w:w="436" w:type="pct"/>
            <w:tcBorders>
              <w:top w:val="single" w:color="auto" w:sz="4" w:space="0"/>
              <w:left w:val="single" w:color="auto" w:sz="4" w:space="0"/>
              <w:bottom w:val="single" w:color="auto" w:sz="4" w:space="0"/>
              <w:right w:val="single" w:color="auto" w:sz="4" w:space="0"/>
            </w:tcBorders>
            <w:vAlign w:val="center"/>
          </w:tcPr>
          <w:p w14:paraId="52E7ECD6">
            <w:pPr>
              <w:widowControl/>
              <w:spacing w:before="100" w:beforeAutospacing="1" w:after="100" w:afterAutospacing="1"/>
              <w:jc w:val="center"/>
              <w:rPr>
                <w:rFonts w:ascii="Times New Roman" w:hAnsi="Times New Roman" w:eastAsia="仿宋_GB2312" w:cs="Times New Roman"/>
                <w:kern w:val="0"/>
                <w:szCs w:val="21"/>
              </w:rPr>
            </w:pPr>
            <w:bookmarkStart w:id="0" w:name="_Hlk148083419"/>
            <w:r>
              <w:rPr>
                <w:rFonts w:ascii="Times New Roman" w:hAnsi="Times New Roman" w:eastAsia="仿宋_GB2312" w:cs="Times New Roman"/>
                <w:kern w:val="0"/>
                <w:szCs w:val="21"/>
              </w:rPr>
              <w:t>等级</w:t>
            </w:r>
          </w:p>
        </w:tc>
        <w:tc>
          <w:tcPr>
            <w:tcW w:w="3397" w:type="pct"/>
            <w:tcBorders>
              <w:top w:val="single" w:color="auto" w:sz="4" w:space="0"/>
              <w:left w:val="single" w:color="auto" w:sz="4" w:space="0"/>
              <w:bottom w:val="single" w:color="auto" w:sz="4" w:space="0"/>
              <w:right w:val="single" w:color="auto" w:sz="4" w:space="0"/>
            </w:tcBorders>
            <w:shd w:val="clear" w:color="auto" w:fill="auto"/>
            <w:vAlign w:val="center"/>
          </w:tcPr>
          <w:p w14:paraId="2675B25F">
            <w:pPr>
              <w:widowControl/>
              <w:spacing w:before="100" w:beforeAutospacing="1" w:after="100" w:afterAutospacing="1"/>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期刊分类</w:t>
            </w:r>
          </w:p>
        </w:tc>
        <w:tc>
          <w:tcPr>
            <w:tcW w:w="679" w:type="pct"/>
            <w:tcBorders>
              <w:top w:val="single" w:color="auto" w:sz="4" w:space="0"/>
              <w:left w:val="nil"/>
              <w:bottom w:val="single" w:color="auto" w:sz="4" w:space="0"/>
              <w:right w:val="single" w:color="auto" w:sz="4" w:space="0"/>
            </w:tcBorders>
            <w:shd w:val="clear" w:color="auto" w:fill="auto"/>
            <w:vAlign w:val="center"/>
          </w:tcPr>
          <w:p w14:paraId="0C48BE2E">
            <w:pPr>
              <w:widowControl/>
              <w:spacing w:before="100" w:beforeAutospacing="1" w:after="100" w:afterAutospacing="1"/>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类别</w:t>
            </w:r>
          </w:p>
        </w:tc>
        <w:tc>
          <w:tcPr>
            <w:tcW w:w="487" w:type="pct"/>
            <w:tcBorders>
              <w:top w:val="single" w:color="auto" w:sz="4" w:space="0"/>
              <w:left w:val="nil"/>
              <w:bottom w:val="single" w:color="auto" w:sz="4" w:space="0"/>
              <w:right w:val="single" w:color="auto" w:sz="4" w:space="0"/>
            </w:tcBorders>
          </w:tcPr>
          <w:p w14:paraId="5DB4B21E">
            <w:pPr>
              <w:widowControl/>
              <w:spacing w:before="100" w:beforeAutospacing="1" w:after="100" w:afterAutospacing="1"/>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分值</w:t>
            </w:r>
          </w:p>
        </w:tc>
      </w:tr>
      <w:tr w14:paraId="68C97438">
        <w:tblPrEx>
          <w:tblCellMar>
            <w:top w:w="0" w:type="dxa"/>
            <w:left w:w="108" w:type="dxa"/>
            <w:bottom w:w="0" w:type="dxa"/>
            <w:right w:w="108" w:type="dxa"/>
          </w:tblCellMar>
        </w:tblPrEx>
        <w:trPr>
          <w:trHeight w:val="363" w:hRule="atLeast"/>
          <w:jc w:val="center"/>
        </w:trPr>
        <w:tc>
          <w:tcPr>
            <w:tcW w:w="436" w:type="pct"/>
            <w:vMerge w:val="restart"/>
            <w:tcBorders>
              <w:top w:val="nil"/>
              <w:left w:val="single" w:color="auto" w:sz="4" w:space="0"/>
              <w:right w:val="single" w:color="auto" w:sz="4" w:space="0"/>
            </w:tcBorders>
            <w:vAlign w:val="center"/>
          </w:tcPr>
          <w:p w14:paraId="4C68377A">
            <w:pPr>
              <w:widowControl/>
              <w:spacing w:before="100" w:beforeAutospacing="1" w:after="100" w:afterAutospacing="1"/>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第一等级</w:t>
            </w:r>
          </w:p>
        </w:tc>
        <w:tc>
          <w:tcPr>
            <w:tcW w:w="3397" w:type="pct"/>
            <w:tcBorders>
              <w:top w:val="nil"/>
              <w:left w:val="single" w:color="auto" w:sz="4" w:space="0"/>
              <w:bottom w:val="single" w:color="auto" w:sz="4" w:space="0"/>
              <w:right w:val="single" w:color="auto" w:sz="4" w:space="0"/>
            </w:tcBorders>
            <w:shd w:val="clear" w:color="auto" w:fill="auto"/>
            <w:vAlign w:val="center"/>
          </w:tcPr>
          <w:p w14:paraId="5525288C">
            <w:pPr>
              <w:widowControl/>
              <w:spacing w:before="100" w:beforeAutospacing="1" w:after="100" w:afterAutospacing="1"/>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三高期刊库特级期刊</w:t>
            </w:r>
          </w:p>
        </w:tc>
        <w:tc>
          <w:tcPr>
            <w:tcW w:w="679" w:type="pct"/>
            <w:vMerge w:val="restart"/>
            <w:tcBorders>
              <w:top w:val="nil"/>
              <w:left w:val="nil"/>
              <w:right w:val="single" w:color="auto" w:sz="4" w:space="0"/>
            </w:tcBorders>
            <w:shd w:val="clear" w:color="auto" w:fill="auto"/>
            <w:vAlign w:val="center"/>
          </w:tcPr>
          <w:p w14:paraId="0D916BEA">
            <w:pPr>
              <w:widowControl/>
              <w:spacing w:before="100" w:beforeAutospacing="1" w:after="100" w:afterAutospacing="1"/>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理工科</w:t>
            </w:r>
          </w:p>
        </w:tc>
        <w:tc>
          <w:tcPr>
            <w:tcW w:w="487" w:type="pct"/>
            <w:vMerge w:val="restart"/>
            <w:tcBorders>
              <w:top w:val="nil"/>
              <w:left w:val="nil"/>
              <w:right w:val="single" w:color="auto" w:sz="4" w:space="0"/>
            </w:tcBorders>
            <w:vAlign w:val="center"/>
          </w:tcPr>
          <w:p w14:paraId="1EE59673">
            <w:pPr>
              <w:widowControl/>
              <w:spacing w:before="100" w:beforeAutospacing="1" w:after="100" w:afterAutospacing="1"/>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8</w:t>
            </w:r>
          </w:p>
        </w:tc>
      </w:tr>
      <w:tr w14:paraId="5C66247A">
        <w:tblPrEx>
          <w:tblCellMar>
            <w:top w:w="0" w:type="dxa"/>
            <w:left w:w="108" w:type="dxa"/>
            <w:bottom w:w="0" w:type="dxa"/>
            <w:right w:w="108" w:type="dxa"/>
          </w:tblCellMar>
        </w:tblPrEx>
        <w:trPr>
          <w:trHeight w:val="363" w:hRule="atLeast"/>
          <w:jc w:val="center"/>
        </w:trPr>
        <w:tc>
          <w:tcPr>
            <w:tcW w:w="436" w:type="pct"/>
            <w:vMerge w:val="continue"/>
            <w:tcBorders>
              <w:left w:val="single" w:color="auto" w:sz="4" w:space="0"/>
              <w:right w:val="single" w:color="auto" w:sz="4" w:space="0"/>
            </w:tcBorders>
            <w:vAlign w:val="center"/>
          </w:tcPr>
          <w:p w14:paraId="137C7C43">
            <w:pPr>
              <w:widowControl/>
              <w:spacing w:before="100" w:beforeAutospacing="1" w:after="100" w:afterAutospacing="1"/>
              <w:jc w:val="center"/>
              <w:rPr>
                <w:rFonts w:ascii="Times New Roman" w:hAnsi="Times New Roman" w:eastAsia="仿宋_GB2312" w:cs="Times New Roman"/>
                <w:kern w:val="0"/>
                <w:szCs w:val="21"/>
              </w:rPr>
            </w:pPr>
          </w:p>
        </w:tc>
        <w:tc>
          <w:tcPr>
            <w:tcW w:w="3397" w:type="pct"/>
            <w:tcBorders>
              <w:top w:val="nil"/>
              <w:left w:val="single" w:color="auto" w:sz="4" w:space="0"/>
              <w:bottom w:val="single" w:color="auto" w:sz="4" w:space="0"/>
              <w:right w:val="single" w:color="auto" w:sz="4" w:space="0"/>
            </w:tcBorders>
            <w:shd w:val="clear" w:color="auto" w:fill="auto"/>
            <w:vAlign w:val="center"/>
          </w:tcPr>
          <w:p w14:paraId="29B7C9BE">
            <w:pPr>
              <w:widowControl/>
              <w:spacing w:before="100" w:beforeAutospacing="1" w:after="100" w:afterAutospacing="1"/>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Nature子刊、Science子刊（影响因子≥10），PNAS,NSR</w:t>
            </w:r>
          </w:p>
        </w:tc>
        <w:tc>
          <w:tcPr>
            <w:tcW w:w="679" w:type="pct"/>
            <w:vMerge w:val="continue"/>
            <w:tcBorders>
              <w:left w:val="nil"/>
              <w:bottom w:val="single" w:color="auto" w:sz="4" w:space="0"/>
              <w:right w:val="single" w:color="auto" w:sz="4" w:space="0"/>
            </w:tcBorders>
            <w:shd w:val="clear" w:color="auto" w:fill="auto"/>
            <w:vAlign w:val="center"/>
          </w:tcPr>
          <w:p w14:paraId="0AC348BB">
            <w:pPr>
              <w:widowControl/>
              <w:spacing w:before="100" w:beforeAutospacing="1" w:after="100" w:afterAutospacing="1"/>
              <w:jc w:val="center"/>
              <w:rPr>
                <w:rFonts w:ascii="Times New Roman" w:hAnsi="Times New Roman" w:eastAsia="仿宋_GB2312" w:cs="Times New Roman"/>
                <w:kern w:val="0"/>
                <w:szCs w:val="21"/>
              </w:rPr>
            </w:pPr>
          </w:p>
        </w:tc>
        <w:tc>
          <w:tcPr>
            <w:tcW w:w="487" w:type="pct"/>
            <w:vMerge w:val="continue"/>
            <w:tcBorders>
              <w:left w:val="nil"/>
              <w:right w:val="single" w:color="auto" w:sz="4" w:space="0"/>
            </w:tcBorders>
            <w:vAlign w:val="center"/>
          </w:tcPr>
          <w:p w14:paraId="00C9E516">
            <w:pPr>
              <w:widowControl/>
              <w:spacing w:before="100" w:beforeAutospacing="1" w:after="100" w:afterAutospacing="1"/>
              <w:jc w:val="center"/>
              <w:rPr>
                <w:rFonts w:ascii="Times New Roman" w:hAnsi="Times New Roman" w:eastAsia="仿宋_GB2312" w:cs="Times New Roman"/>
                <w:kern w:val="0"/>
                <w:szCs w:val="21"/>
              </w:rPr>
            </w:pPr>
          </w:p>
        </w:tc>
      </w:tr>
      <w:tr w14:paraId="15D11218">
        <w:tblPrEx>
          <w:tblCellMar>
            <w:top w:w="0" w:type="dxa"/>
            <w:left w:w="108" w:type="dxa"/>
            <w:bottom w:w="0" w:type="dxa"/>
            <w:right w:w="108" w:type="dxa"/>
          </w:tblCellMar>
        </w:tblPrEx>
        <w:trPr>
          <w:trHeight w:val="363" w:hRule="atLeast"/>
          <w:jc w:val="center"/>
        </w:trPr>
        <w:tc>
          <w:tcPr>
            <w:tcW w:w="436" w:type="pct"/>
            <w:vMerge w:val="continue"/>
            <w:tcBorders>
              <w:left w:val="single" w:color="auto" w:sz="4" w:space="0"/>
              <w:bottom w:val="single" w:color="auto" w:sz="4" w:space="0"/>
              <w:right w:val="single" w:color="auto" w:sz="4" w:space="0"/>
            </w:tcBorders>
            <w:vAlign w:val="center"/>
          </w:tcPr>
          <w:p w14:paraId="559251F5">
            <w:pPr>
              <w:widowControl/>
              <w:spacing w:before="100" w:beforeAutospacing="1" w:after="100" w:afterAutospacing="1"/>
              <w:jc w:val="center"/>
              <w:rPr>
                <w:rFonts w:ascii="Times New Roman" w:hAnsi="Times New Roman" w:eastAsia="仿宋_GB2312" w:cs="Times New Roman"/>
                <w:kern w:val="0"/>
                <w:szCs w:val="21"/>
              </w:rPr>
            </w:pPr>
          </w:p>
        </w:tc>
        <w:tc>
          <w:tcPr>
            <w:tcW w:w="3397" w:type="pct"/>
            <w:tcBorders>
              <w:top w:val="nil"/>
              <w:left w:val="single" w:color="auto" w:sz="4" w:space="0"/>
              <w:bottom w:val="single" w:color="auto" w:sz="4" w:space="0"/>
              <w:right w:val="single" w:color="auto" w:sz="4" w:space="0"/>
            </w:tcBorders>
            <w:shd w:val="clear" w:color="auto" w:fill="auto"/>
            <w:vAlign w:val="center"/>
          </w:tcPr>
          <w:p w14:paraId="695F100C">
            <w:pPr>
              <w:widowControl/>
              <w:spacing w:before="100" w:beforeAutospacing="1" w:after="100" w:afterAutospacing="1"/>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中国社会科学</w:t>
            </w:r>
          </w:p>
        </w:tc>
        <w:tc>
          <w:tcPr>
            <w:tcW w:w="679" w:type="pct"/>
            <w:tcBorders>
              <w:top w:val="single" w:color="auto" w:sz="4" w:space="0"/>
              <w:left w:val="nil"/>
              <w:bottom w:val="single" w:color="auto" w:sz="4" w:space="0"/>
              <w:right w:val="single" w:color="auto" w:sz="4" w:space="0"/>
            </w:tcBorders>
            <w:shd w:val="clear" w:color="auto" w:fill="auto"/>
            <w:vAlign w:val="center"/>
          </w:tcPr>
          <w:p w14:paraId="7EF799B6">
            <w:pPr>
              <w:widowControl/>
              <w:spacing w:before="100" w:beforeAutospacing="1" w:after="100" w:afterAutospacing="1"/>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文科</w:t>
            </w:r>
          </w:p>
        </w:tc>
        <w:tc>
          <w:tcPr>
            <w:tcW w:w="487" w:type="pct"/>
            <w:vMerge w:val="continue"/>
            <w:tcBorders>
              <w:left w:val="nil"/>
              <w:bottom w:val="single" w:color="auto" w:sz="4" w:space="0"/>
              <w:right w:val="single" w:color="auto" w:sz="4" w:space="0"/>
            </w:tcBorders>
            <w:vAlign w:val="center"/>
          </w:tcPr>
          <w:p w14:paraId="7BD0D6E5">
            <w:pPr>
              <w:widowControl/>
              <w:spacing w:before="100" w:beforeAutospacing="1" w:after="100" w:afterAutospacing="1"/>
              <w:rPr>
                <w:rFonts w:ascii="Times New Roman" w:hAnsi="Times New Roman" w:eastAsia="仿宋_GB2312" w:cs="Times New Roman"/>
                <w:kern w:val="0"/>
                <w:szCs w:val="21"/>
              </w:rPr>
            </w:pPr>
          </w:p>
        </w:tc>
      </w:tr>
      <w:tr w14:paraId="67DDA182">
        <w:tblPrEx>
          <w:tblCellMar>
            <w:top w:w="0" w:type="dxa"/>
            <w:left w:w="108" w:type="dxa"/>
            <w:bottom w:w="0" w:type="dxa"/>
            <w:right w:w="108" w:type="dxa"/>
          </w:tblCellMar>
        </w:tblPrEx>
        <w:trPr>
          <w:trHeight w:val="363" w:hRule="atLeast"/>
          <w:jc w:val="center"/>
        </w:trPr>
        <w:tc>
          <w:tcPr>
            <w:tcW w:w="436" w:type="pct"/>
            <w:vMerge w:val="restart"/>
            <w:tcBorders>
              <w:top w:val="nil"/>
              <w:left w:val="single" w:color="auto" w:sz="4" w:space="0"/>
              <w:right w:val="single" w:color="auto" w:sz="4" w:space="0"/>
            </w:tcBorders>
            <w:vAlign w:val="center"/>
          </w:tcPr>
          <w:p w14:paraId="10AFE2C9">
            <w:pPr>
              <w:widowControl/>
              <w:spacing w:before="100" w:beforeAutospacing="1" w:after="100" w:afterAutospacing="1"/>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第二等级</w:t>
            </w:r>
          </w:p>
        </w:tc>
        <w:tc>
          <w:tcPr>
            <w:tcW w:w="3397" w:type="pct"/>
            <w:tcBorders>
              <w:top w:val="nil"/>
              <w:left w:val="single" w:color="auto" w:sz="4" w:space="0"/>
              <w:bottom w:val="single" w:color="auto" w:sz="4" w:space="0"/>
              <w:right w:val="single" w:color="auto" w:sz="4" w:space="0"/>
            </w:tcBorders>
            <w:shd w:val="clear" w:color="auto" w:fill="auto"/>
            <w:vAlign w:val="center"/>
          </w:tcPr>
          <w:p w14:paraId="469BF81C">
            <w:pPr>
              <w:widowControl/>
              <w:spacing w:before="100" w:beforeAutospacing="1" w:after="100" w:afterAutospacing="1"/>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SCI（E）一区、三高期刊库T1、NI期刊、卓越期刊（领军、重点）</w:t>
            </w:r>
          </w:p>
        </w:tc>
        <w:tc>
          <w:tcPr>
            <w:tcW w:w="679" w:type="pct"/>
            <w:tcBorders>
              <w:top w:val="nil"/>
              <w:left w:val="nil"/>
              <w:bottom w:val="single" w:color="auto" w:sz="4" w:space="0"/>
              <w:right w:val="single" w:color="auto" w:sz="4" w:space="0"/>
            </w:tcBorders>
            <w:shd w:val="clear" w:color="auto" w:fill="auto"/>
            <w:vAlign w:val="center"/>
          </w:tcPr>
          <w:p w14:paraId="688A21C3">
            <w:pPr>
              <w:widowControl/>
              <w:spacing w:before="100" w:beforeAutospacing="1" w:after="100" w:afterAutospacing="1"/>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理工科</w:t>
            </w:r>
          </w:p>
        </w:tc>
        <w:tc>
          <w:tcPr>
            <w:tcW w:w="487" w:type="pct"/>
            <w:vMerge w:val="restart"/>
            <w:tcBorders>
              <w:top w:val="nil"/>
              <w:left w:val="nil"/>
              <w:right w:val="single" w:color="auto" w:sz="4" w:space="0"/>
            </w:tcBorders>
            <w:vAlign w:val="center"/>
          </w:tcPr>
          <w:p w14:paraId="163E1CA5">
            <w:pPr>
              <w:widowControl/>
              <w:spacing w:before="100" w:beforeAutospacing="1" w:after="100" w:afterAutospacing="1"/>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4</w:t>
            </w:r>
          </w:p>
        </w:tc>
      </w:tr>
      <w:tr w14:paraId="3F0BCAF6">
        <w:tblPrEx>
          <w:tblCellMar>
            <w:top w:w="0" w:type="dxa"/>
            <w:left w:w="108" w:type="dxa"/>
            <w:bottom w:w="0" w:type="dxa"/>
            <w:right w:w="108" w:type="dxa"/>
          </w:tblCellMar>
        </w:tblPrEx>
        <w:trPr>
          <w:trHeight w:val="363" w:hRule="atLeast"/>
          <w:jc w:val="center"/>
        </w:trPr>
        <w:tc>
          <w:tcPr>
            <w:tcW w:w="436" w:type="pct"/>
            <w:vMerge w:val="continue"/>
            <w:tcBorders>
              <w:left w:val="single" w:color="auto" w:sz="4" w:space="0"/>
              <w:bottom w:val="single" w:color="auto" w:sz="4" w:space="0"/>
              <w:right w:val="single" w:color="auto" w:sz="4" w:space="0"/>
            </w:tcBorders>
            <w:vAlign w:val="center"/>
          </w:tcPr>
          <w:p w14:paraId="3C89E194">
            <w:pPr>
              <w:widowControl/>
              <w:spacing w:before="100" w:beforeAutospacing="1" w:after="100" w:afterAutospacing="1"/>
              <w:jc w:val="center"/>
              <w:rPr>
                <w:rFonts w:ascii="Times New Roman" w:hAnsi="Times New Roman" w:eastAsia="仿宋_GB2312" w:cs="Times New Roman"/>
                <w:kern w:val="0"/>
                <w:szCs w:val="21"/>
              </w:rPr>
            </w:pPr>
          </w:p>
        </w:tc>
        <w:tc>
          <w:tcPr>
            <w:tcW w:w="3397" w:type="pct"/>
            <w:tcBorders>
              <w:top w:val="single" w:color="auto" w:sz="4" w:space="0"/>
              <w:left w:val="single" w:color="auto" w:sz="4" w:space="0"/>
              <w:bottom w:val="single" w:color="auto" w:sz="4" w:space="0"/>
              <w:right w:val="single" w:color="auto" w:sz="4" w:space="0"/>
            </w:tcBorders>
            <w:shd w:val="clear" w:color="auto" w:fill="auto"/>
            <w:vAlign w:val="center"/>
          </w:tcPr>
          <w:p w14:paraId="109FAD15">
            <w:pPr>
              <w:widowControl/>
              <w:spacing w:before="100" w:beforeAutospacing="1" w:after="100" w:afterAutospacing="1"/>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学科最高权威/SSCI一区</w:t>
            </w:r>
          </w:p>
        </w:tc>
        <w:tc>
          <w:tcPr>
            <w:tcW w:w="679" w:type="pct"/>
            <w:tcBorders>
              <w:top w:val="single" w:color="auto" w:sz="4" w:space="0"/>
              <w:left w:val="nil"/>
              <w:bottom w:val="single" w:color="auto" w:sz="4" w:space="0"/>
              <w:right w:val="single" w:color="auto" w:sz="4" w:space="0"/>
            </w:tcBorders>
            <w:shd w:val="clear" w:color="auto" w:fill="auto"/>
            <w:vAlign w:val="center"/>
          </w:tcPr>
          <w:p w14:paraId="58BFA896">
            <w:pPr>
              <w:widowControl/>
              <w:spacing w:before="100" w:beforeAutospacing="1" w:after="100" w:afterAutospacing="1"/>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文科</w:t>
            </w:r>
          </w:p>
        </w:tc>
        <w:tc>
          <w:tcPr>
            <w:tcW w:w="487" w:type="pct"/>
            <w:vMerge w:val="continue"/>
            <w:tcBorders>
              <w:left w:val="nil"/>
              <w:bottom w:val="single" w:color="auto" w:sz="4" w:space="0"/>
              <w:right w:val="single" w:color="auto" w:sz="4" w:space="0"/>
            </w:tcBorders>
            <w:vAlign w:val="center"/>
          </w:tcPr>
          <w:p w14:paraId="4BB377E8">
            <w:pPr>
              <w:widowControl/>
              <w:spacing w:before="100" w:beforeAutospacing="1" w:after="100" w:afterAutospacing="1"/>
              <w:rPr>
                <w:rFonts w:ascii="Times New Roman" w:hAnsi="Times New Roman" w:eastAsia="仿宋_GB2312" w:cs="Times New Roman"/>
                <w:kern w:val="0"/>
                <w:szCs w:val="21"/>
              </w:rPr>
            </w:pPr>
          </w:p>
        </w:tc>
      </w:tr>
      <w:tr w14:paraId="6D595562">
        <w:tblPrEx>
          <w:tblCellMar>
            <w:top w:w="0" w:type="dxa"/>
            <w:left w:w="108" w:type="dxa"/>
            <w:bottom w:w="0" w:type="dxa"/>
            <w:right w:w="108" w:type="dxa"/>
          </w:tblCellMar>
        </w:tblPrEx>
        <w:trPr>
          <w:trHeight w:val="363" w:hRule="atLeast"/>
          <w:jc w:val="center"/>
        </w:trPr>
        <w:tc>
          <w:tcPr>
            <w:tcW w:w="436" w:type="pct"/>
            <w:vMerge w:val="restart"/>
            <w:tcBorders>
              <w:top w:val="nil"/>
              <w:left w:val="single" w:color="auto" w:sz="4" w:space="0"/>
              <w:right w:val="single" w:color="auto" w:sz="4" w:space="0"/>
            </w:tcBorders>
            <w:vAlign w:val="center"/>
          </w:tcPr>
          <w:p w14:paraId="42760460">
            <w:pPr>
              <w:widowControl/>
              <w:spacing w:before="100" w:beforeAutospacing="1" w:after="100" w:afterAutospacing="1"/>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第三等级</w:t>
            </w:r>
          </w:p>
        </w:tc>
        <w:tc>
          <w:tcPr>
            <w:tcW w:w="3397" w:type="pct"/>
            <w:tcBorders>
              <w:top w:val="nil"/>
              <w:left w:val="single" w:color="auto" w:sz="4" w:space="0"/>
              <w:bottom w:val="single" w:color="auto" w:sz="4" w:space="0"/>
              <w:right w:val="single" w:color="auto" w:sz="4" w:space="0"/>
            </w:tcBorders>
            <w:shd w:val="clear" w:color="auto" w:fill="auto"/>
            <w:vAlign w:val="center"/>
          </w:tcPr>
          <w:p w14:paraId="4492BBE1">
            <w:pPr>
              <w:widowControl/>
              <w:spacing w:before="100" w:beforeAutospacing="1" w:after="100" w:afterAutospacing="1"/>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SCI（E）二区、三高期刊库T2、三高会议库T1、卓越期刊（梯队）</w:t>
            </w:r>
          </w:p>
        </w:tc>
        <w:tc>
          <w:tcPr>
            <w:tcW w:w="679" w:type="pct"/>
            <w:tcBorders>
              <w:top w:val="nil"/>
              <w:left w:val="nil"/>
              <w:bottom w:val="single" w:color="auto" w:sz="4" w:space="0"/>
              <w:right w:val="single" w:color="auto" w:sz="4" w:space="0"/>
            </w:tcBorders>
            <w:shd w:val="clear" w:color="auto" w:fill="auto"/>
            <w:vAlign w:val="center"/>
          </w:tcPr>
          <w:p w14:paraId="4C3E7AE2">
            <w:pPr>
              <w:widowControl/>
              <w:spacing w:before="100" w:beforeAutospacing="1" w:after="100" w:afterAutospacing="1"/>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理工科</w:t>
            </w:r>
          </w:p>
        </w:tc>
        <w:tc>
          <w:tcPr>
            <w:tcW w:w="487" w:type="pct"/>
            <w:vMerge w:val="restart"/>
            <w:tcBorders>
              <w:top w:val="nil"/>
              <w:left w:val="nil"/>
              <w:right w:val="single" w:color="auto" w:sz="4" w:space="0"/>
            </w:tcBorders>
            <w:vAlign w:val="center"/>
          </w:tcPr>
          <w:p w14:paraId="13FD0945">
            <w:pPr>
              <w:widowControl/>
              <w:spacing w:before="100" w:beforeAutospacing="1" w:after="100" w:afterAutospacing="1"/>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1A170F65">
        <w:tblPrEx>
          <w:tblCellMar>
            <w:top w:w="0" w:type="dxa"/>
            <w:left w:w="108" w:type="dxa"/>
            <w:bottom w:w="0" w:type="dxa"/>
            <w:right w:w="108" w:type="dxa"/>
          </w:tblCellMar>
        </w:tblPrEx>
        <w:trPr>
          <w:trHeight w:val="362" w:hRule="atLeast"/>
          <w:jc w:val="center"/>
        </w:trPr>
        <w:tc>
          <w:tcPr>
            <w:tcW w:w="436" w:type="pct"/>
            <w:vMerge w:val="continue"/>
            <w:tcBorders>
              <w:left w:val="single" w:color="auto" w:sz="4" w:space="0"/>
              <w:bottom w:val="single" w:color="auto" w:sz="4" w:space="0"/>
              <w:right w:val="single" w:color="auto" w:sz="4" w:space="0"/>
            </w:tcBorders>
            <w:vAlign w:val="center"/>
          </w:tcPr>
          <w:p w14:paraId="172D8F15">
            <w:pPr>
              <w:widowControl/>
              <w:spacing w:before="100" w:beforeAutospacing="1" w:after="100" w:afterAutospacing="1"/>
              <w:jc w:val="center"/>
              <w:rPr>
                <w:rFonts w:ascii="Times New Roman" w:hAnsi="Times New Roman" w:eastAsia="仿宋_GB2312" w:cs="Times New Roman"/>
                <w:kern w:val="0"/>
                <w:szCs w:val="21"/>
              </w:rPr>
            </w:pPr>
          </w:p>
        </w:tc>
        <w:tc>
          <w:tcPr>
            <w:tcW w:w="3397" w:type="pct"/>
            <w:tcBorders>
              <w:top w:val="nil"/>
              <w:left w:val="single" w:color="auto" w:sz="4" w:space="0"/>
              <w:bottom w:val="single" w:color="auto" w:sz="4" w:space="0"/>
              <w:right w:val="single" w:color="auto" w:sz="4" w:space="0"/>
            </w:tcBorders>
            <w:shd w:val="clear" w:color="auto" w:fill="auto"/>
            <w:vAlign w:val="center"/>
          </w:tcPr>
          <w:p w14:paraId="49D6E37B">
            <w:pPr>
              <w:widowControl/>
              <w:spacing w:before="100" w:beforeAutospacing="1" w:after="100" w:afterAutospacing="1"/>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权威/SSCI二区</w:t>
            </w:r>
          </w:p>
        </w:tc>
        <w:tc>
          <w:tcPr>
            <w:tcW w:w="679" w:type="pct"/>
            <w:tcBorders>
              <w:top w:val="single" w:color="auto" w:sz="4" w:space="0"/>
              <w:left w:val="nil"/>
              <w:bottom w:val="single" w:color="auto" w:sz="4" w:space="0"/>
              <w:right w:val="single" w:color="auto" w:sz="4" w:space="0"/>
            </w:tcBorders>
            <w:shd w:val="clear" w:color="auto" w:fill="auto"/>
            <w:vAlign w:val="center"/>
          </w:tcPr>
          <w:p w14:paraId="53E1D121">
            <w:pPr>
              <w:widowControl/>
              <w:spacing w:before="100" w:beforeAutospacing="1" w:after="100" w:afterAutospacing="1"/>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文科</w:t>
            </w:r>
          </w:p>
        </w:tc>
        <w:tc>
          <w:tcPr>
            <w:tcW w:w="487" w:type="pct"/>
            <w:vMerge w:val="continue"/>
            <w:tcBorders>
              <w:left w:val="nil"/>
              <w:bottom w:val="single" w:color="auto" w:sz="4" w:space="0"/>
              <w:right w:val="single" w:color="auto" w:sz="4" w:space="0"/>
            </w:tcBorders>
            <w:vAlign w:val="center"/>
          </w:tcPr>
          <w:p w14:paraId="1920CAF6">
            <w:pPr>
              <w:widowControl/>
              <w:spacing w:before="100" w:beforeAutospacing="1" w:after="100" w:afterAutospacing="1"/>
              <w:jc w:val="center"/>
              <w:rPr>
                <w:rFonts w:ascii="Times New Roman" w:hAnsi="Times New Roman" w:eastAsia="仿宋_GB2312" w:cs="Times New Roman"/>
                <w:kern w:val="0"/>
                <w:szCs w:val="21"/>
              </w:rPr>
            </w:pPr>
          </w:p>
        </w:tc>
      </w:tr>
      <w:tr w14:paraId="096572B4">
        <w:tblPrEx>
          <w:tblCellMar>
            <w:top w:w="0" w:type="dxa"/>
            <w:left w:w="108" w:type="dxa"/>
            <w:bottom w:w="0" w:type="dxa"/>
            <w:right w:w="108" w:type="dxa"/>
          </w:tblCellMar>
        </w:tblPrEx>
        <w:trPr>
          <w:trHeight w:val="363" w:hRule="atLeast"/>
          <w:jc w:val="center"/>
        </w:trPr>
        <w:tc>
          <w:tcPr>
            <w:tcW w:w="436" w:type="pct"/>
            <w:vMerge w:val="restart"/>
            <w:tcBorders>
              <w:top w:val="nil"/>
              <w:left w:val="single" w:color="auto" w:sz="4" w:space="0"/>
              <w:right w:val="single" w:color="auto" w:sz="4" w:space="0"/>
            </w:tcBorders>
            <w:vAlign w:val="center"/>
          </w:tcPr>
          <w:p w14:paraId="01B648DF">
            <w:pPr>
              <w:widowControl/>
              <w:spacing w:before="100" w:beforeAutospacing="1" w:after="100" w:afterAutospacing="1"/>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第四等级</w:t>
            </w:r>
          </w:p>
        </w:tc>
        <w:tc>
          <w:tcPr>
            <w:tcW w:w="3397" w:type="pct"/>
            <w:tcBorders>
              <w:top w:val="nil"/>
              <w:left w:val="single" w:color="auto" w:sz="4" w:space="0"/>
              <w:bottom w:val="single" w:color="auto" w:sz="4" w:space="0"/>
              <w:right w:val="single" w:color="auto" w:sz="4" w:space="0"/>
            </w:tcBorders>
            <w:shd w:val="clear" w:color="auto" w:fill="auto"/>
            <w:vAlign w:val="center"/>
          </w:tcPr>
          <w:p w14:paraId="491648CF">
            <w:pPr>
              <w:widowControl/>
              <w:spacing w:before="100" w:beforeAutospacing="1" w:after="100" w:afterAutospacing="1"/>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SCI（E）三四区、三高期刊库T3、三高会议库T2、权威期刊</w:t>
            </w:r>
          </w:p>
        </w:tc>
        <w:tc>
          <w:tcPr>
            <w:tcW w:w="679" w:type="pct"/>
            <w:tcBorders>
              <w:top w:val="nil"/>
              <w:left w:val="nil"/>
              <w:bottom w:val="single" w:color="auto" w:sz="4" w:space="0"/>
              <w:right w:val="single" w:color="auto" w:sz="4" w:space="0"/>
            </w:tcBorders>
            <w:shd w:val="clear" w:color="auto" w:fill="auto"/>
            <w:vAlign w:val="center"/>
          </w:tcPr>
          <w:p w14:paraId="76F41712">
            <w:pPr>
              <w:widowControl/>
              <w:spacing w:before="100" w:beforeAutospacing="1" w:after="100" w:afterAutospacing="1"/>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理工科</w:t>
            </w:r>
          </w:p>
        </w:tc>
        <w:tc>
          <w:tcPr>
            <w:tcW w:w="487" w:type="pct"/>
            <w:vMerge w:val="restart"/>
            <w:tcBorders>
              <w:top w:val="nil"/>
              <w:left w:val="nil"/>
              <w:right w:val="single" w:color="auto" w:sz="4" w:space="0"/>
            </w:tcBorders>
            <w:vAlign w:val="center"/>
          </w:tcPr>
          <w:p w14:paraId="0D2617A3">
            <w:pPr>
              <w:widowControl/>
              <w:spacing w:before="100" w:beforeAutospacing="1" w:after="100" w:afterAutospacing="1"/>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r>
      <w:tr w14:paraId="2A841719">
        <w:tblPrEx>
          <w:tblCellMar>
            <w:top w:w="0" w:type="dxa"/>
            <w:left w:w="108" w:type="dxa"/>
            <w:bottom w:w="0" w:type="dxa"/>
            <w:right w:w="108" w:type="dxa"/>
          </w:tblCellMar>
        </w:tblPrEx>
        <w:trPr>
          <w:trHeight w:val="363" w:hRule="atLeast"/>
          <w:jc w:val="center"/>
        </w:trPr>
        <w:tc>
          <w:tcPr>
            <w:tcW w:w="436" w:type="pct"/>
            <w:vMerge w:val="continue"/>
            <w:tcBorders>
              <w:left w:val="single" w:color="auto" w:sz="4" w:space="0"/>
              <w:bottom w:val="single" w:color="auto" w:sz="4" w:space="0"/>
              <w:right w:val="single" w:color="auto" w:sz="4" w:space="0"/>
            </w:tcBorders>
            <w:vAlign w:val="center"/>
          </w:tcPr>
          <w:p w14:paraId="13EE167F">
            <w:pPr>
              <w:widowControl/>
              <w:spacing w:before="100" w:beforeAutospacing="1" w:after="100" w:afterAutospacing="1"/>
              <w:jc w:val="center"/>
              <w:rPr>
                <w:rFonts w:ascii="Times New Roman" w:hAnsi="Times New Roman" w:eastAsia="仿宋_GB2312" w:cs="Times New Roman"/>
                <w:kern w:val="0"/>
                <w:szCs w:val="21"/>
              </w:rPr>
            </w:pPr>
          </w:p>
        </w:tc>
        <w:tc>
          <w:tcPr>
            <w:tcW w:w="3397" w:type="pct"/>
            <w:tcBorders>
              <w:top w:val="nil"/>
              <w:left w:val="single" w:color="auto" w:sz="4" w:space="0"/>
              <w:bottom w:val="single" w:color="auto" w:sz="4" w:space="0"/>
              <w:right w:val="single" w:color="auto" w:sz="4" w:space="0"/>
            </w:tcBorders>
            <w:shd w:val="clear" w:color="auto" w:fill="auto"/>
            <w:vAlign w:val="center"/>
          </w:tcPr>
          <w:p w14:paraId="2FE1B4F8">
            <w:pPr>
              <w:widowControl/>
              <w:spacing w:before="100" w:beforeAutospacing="1" w:after="100" w:afterAutospacing="1"/>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CSSCI/SSCI三四区</w:t>
            </w:r>
          </w:p>
        </w:tc>
        <w:tc>
          <w:tcPr>
            <w:tcW w:w="679" w:type="pct"/>
            <w:tcBorders>
              <w:top w:val="single" w:color="auto" w:sz="4" w:space="0"/>
              <w:left w:val="nil"/>
              <w:bottom w:val="single" w:color="auto" w:sz="4" w:space="0"/>
              <w:right w:val="single" w:color="auto" w:sz="4" w:space="0"/>
            </w:tcBorders>
            <w:shd w:val="clear" w:color="auto" w:fill="auto"/>
            <w:vAlign w:val="center"/>
          </w:tcPr>
          <w:p w14:paraId="00E855BB">
            <w:pPr>
              <w:widowControl/>
              <w:spacing w:before="100" w:beforeAutospacing="1" w:after="100" w:afterAutospacing="1"/>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文科</w:t>
            </w:r>
          </w:p>
        </w:tc>
        <w:tc>
          <w:tcPr>
            <w:tcW w:w="487" w:type="pct"/>
            <w:vMerge w:val="continue"/>
            <w:tcBorders>
              <w:left w:val="nil"/>
              <w:bottom w:val="single" w:color="auto" w:sz="4" w:space="0"/>
              <w:right w:val="single" w:color="auto" w:sz="4" w:space="0"/>
            </w:tcBorders>
            <w:vAlign w:val="center"/>
          </w:tcPr>
          <w:p w14:paraId="6C2D8CEB">
            <w:pPr>
              <w:widowControl/>
              <w:spacing w:before="100" w:beforeAutospacing="1" w:after="100" w:afterAutospacing="1"/>
              <w:rPr>
                <w:rFonts w:ascii="Times New Roman" w:hAnsi="Times New Roman" w:eastAsia="仿宋_GB2312" w:cs="Times New Roman"/>
                <w:kern w:val="0"/>
                <w:szCs w:val="21"/>
              </w:rPr>
            </w:pPr>
          </w:p>
        </w:tc>
      </w:tr>
      <w:tr w14:paraId="2076BF65">
        <w:tblPrEx>
          <w:tblCellMar>
            <w:top w:w="0" w:type="dxa"/>
            <w:left w:w="108" w:type="dxa"/>
            <w:bottom w:w="0" w:type="dxa"/>
            <w:right w:w="108" w:type="dxa"/>
          </w:tblCellMar>
        </w:tblPrEx>
        <w:trPr>
          <w:trHeight w:val="519" w:hRule="atLeast"/>
          <w:jc w:val="center"/>
        </w:trPr>
        <w:tc>
          <w:tcPr>
            <w:tcW w:w="436" w:type="pct"/>
            <w:tcBorders>
              <w:top w:val="nil"/>
              <w:left w:val="single" w:color="auto" w:sz="4" w:space="0"/>
              <w:bottom w:val="single" w:color="auto" w:sz="4" w:space="0"/>
              <w:right w:val="single" w:color="auto" w:sz="4" w:space="0"/>
            </w:tcBorders>
            <w:vAlign w:val="center"/>
          </w:tcPr>
          <w:p w14:paraId="2876E589">
            <w:pPr>
              <w:widowControl/>
              <w:spacing w:before="100" w:beforeAutospacing="1" w:after="100" w:afterAutospacing="1"/>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第五等级</w:t>
            </w:r>
          </w:p>
        </w:tc>
        <w:tc>
          <w:tcPr>
            <w:tcW w:w="3397" w:type="pct"/>
            <w:tcBorders>
              <w:top w:val="nil"/>
              <w:left w:val="single" w:color="auto" w:sz="4" w:space="0"/>
              <w:bottom w:val="single" w:color="auto" w:sz="4" w:space="0"/>
              <w:right w:val="single" w:color="auto" w:sz="4" w:space="0"/>
            </w:tcBorders>
            <w:shd w:val="clear" w:color="auto" w:fill="auto"/>
            <w:vAlign w:val="center"/>
          </w:tcPr>
          <w:p w14:paraId="74508F3C">
            <w:pPr>
              <w:widowControl/>
              <w:spacing w:before="100" w:beforeAutospacing="1" w:after="100" w:afterAutospacing="1"/>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北大中文核心期刊</w:t>
            </w:r>
          </w:p>
        </w:tc>
        <w:tc>
          <w:tcPr>
            <w:tcW w:w="679" w:type="pct"/>
            <w:tcBorders>
              <w:top w:val="nil"/>
              <w:left w:val="nil"/>
              <w:bottom w:val="single" w:color="auto" w:sz="4" w:space="0"/>
              <w:right w:val="single" w:color="auto" w:sz="4" w:space="0"/>
            </w:tcBorders>
            <w:shd w:val="clear" w:color="auto" w:fill="auto"/>
            <w:vAlign w:val="center"/>
          </w:tcPr>
          <w:p w14:paraId="5193E22A">
            <w:pPr>
              <w:widowControl/>
              <w:spacing w:before="100" w:beforeAutospacing="1" w:after="100" w:afterAutospacing="1"/>
              <w:jc w:val="center"/>
              <w:rPr>
                <w:rFonts w:ascii="Times New Roman" w:hAnsi="Times New Roman" w:eastAsia="仿宋_GB2312" w:cs="Times New Roman"/>
                <w:kern w:val="0"/>
                <w:szCs w:val="21"/>
              </w:rPr>
            </w:pPr>
          </w:p>
        </w:tc>
        <w:tc>
          <w:tcPr>
            <w:tcW w:w="487" w:type="pct"/>
            <w:tcBorders>
              <w:top w:val="nil"/>
              <w:left w:val="nil"/>
              <w:bottom w:val="single" w:color="auto" w:sz="4" w:space="0"/>
              <w:right w:val="single" w:color="auto" w:sz="4" w:space="0"/>
            </w:tcBorders>
            <w:vAlign w:val="center"/>
          </w:tcPr>
          <w:p w14:paraId="3158385B">
            <w:pPr>
              <w:widowControl/>
              <w:spacing w:before="100" w:beforeAutospacing="1" w:after="100" w:afterAutospacing="1"/>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r>
      <w:bookmarkEnd w:id="0"/>
    </w:tbl>
    <w:p w14:paraId="00E2A55B">
      <w:pPr>
        <w:adjustRightInd w:val="0"/>
        <w:snapToGrid w:val="0"/>
        <w:spacing w:line="560" w:lineRule="exact"/>
        <w:ind w:firstLine="643" w:firstLineChars="200"/>
        <w:rPr>
          <w:rFonts w:ascii="Times New Roman" w:hAnsi="Times New Roman" w:eastAsia="仿宋_GB2312" w:cs="Times New Roman"/>
          <w:b/>
          <w:bCs/>
          <w:color w:val="000000"/>
          <w:sz w:val="32"/>
          <w:szCs w:val="32"/>
        </w:rPr>
      </w:pPr>
      <w:r>
        <w:rPr>
          <w:rFonts w:ascii="Times New Roman" w:hAnsi="Times New Roman" w:eastAsia="仿宋_GB2312" w:cs="Times New Roman"/>
          <w:b/>
          <w:bCs/>
          <w:color w:val="000000"/>
          <w:sz w:val="32"/>
          <w:szCs w:val="32"/>
        </w:rPr>
        <w:t>注：</w:t>
      </w:r>
    </w:p>
    <w:p w14:paraId="42F8CCD7">
      <w:pPr>
        <w:adjustRightInd w:val="0"/>
        <w:snapToGrid w:val="0"/>
        <w:spacing w:line="56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（1）卓越期刊、权威期刊、三类高质量论文期刊和学术会议目录等按学校科学技术处和社会科学处发布的目录清单执行</w:t>
      </w:r>
      <w:r>
        <w:rPr>
          <w:rFonts w:hint="eastAsia" w:ascii="Times New Roman" w:hAnsi="Times New Roman" w:eastAsia="仿宋_GB2312" w:cs="Times New Roman"/>
          <w:color w:val="000000"/>
          <w:sz w:val="32"/>
          <w:szCs w:val="32"/>
        </w:rPr>
        <w:t>，</w:t>
      </w:r>
      <w:bookmarkStart w:id="1" w:name="_Hlk148087397"/>
      <w:r>
        <w:rPr>
          <w:rFonts w:ascii="Times New Roman" w:hAnsi="Times New Roman" w:eastAsia="仿宋_GB2312" w:cs="Times New Roman"/>
          <w:color w:val="000000"/>
          <w:sz w:val="32"/>
          <w:szCs w:val="32"/>
        </w:rPr>
        <w:t>以论文发表当年所适用的期刊目录版本为准。</w:t>
      </w:r>
      <w:bookmarkEnd w:id="1"/>
      <w:r>
        <w:rPr>
          <w:rFonts w:hint="eastAsia" w:ascii="Times New Roman" w:hAnsi="Times New Roman" w:eastAsia="仿宋_GB2312" w:cs="Times New Roman"/>
          <w:color w:val="000000"/>
          <w:sz w:val="32"/>
          <w:szCs w:val="32"/>
        </w:rPr>
        <w:t>期刊分区以文章发表当年中国科学院发布的期刊分区表为依据（如大类小类均有，按就高原则；如当前的分区结果未出，参考前一年的）</w:t>
      </w:r>
      <w:r>
        <w:rPr>
          <w:rFonts w:ascii="Times New Roman" w:hAnsi="Times New Roman" w:eastAsia="仿宋_GB2312" w:cs="Times New Roman"/>
          <w:color w:val="000000"/>
          <w:sz w:val="32"/>
          <w:szCs w:val="32"/>
        </w:rPr>
        <w:t>。如期刊归属多个分类，按就高原则加分。上述期刊不含增刊、副刊和专辑。</w:t>
      </w:r>
    </w:p>
    <w:p w14:paraId="5DD729E6">
      <w:pPr>
        <w:adjustRightInd w:val="0"/>
        <w:snapToGrid w:val="0"/>
        <w:spacing w:line="56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（2）学术论文须以独立作者或第一作者公开发表（含在线公开发表）且与学生专业相关，仅有录用通知不计分。</w:t>
      </w:r>
    </w:p>
    <w:p w14:paraId="226F3592">
      <w:pPr>
        <w:adjustRightInd w:val="0"/>
        <w:snapToGrid w:val="0"/>
        <w:spacing w:line="560" w:lineRule="exact"/>
        <w:ind w:firstLine="643" w:firstLineChars="200"/>
        <w:rPr>
          <w:rFonts w:ascii="Times New Roman" w:hAnsi="Times New Roman" w:eastAsia="仿宋_GB2312" w:cs="Times New Roman"/>
          <w:b/>
          <w:bCs/>
          <w:color w:val="000000"/>
          <w:sz w:val="32"/>
          <w:szCs w:val="32"/>
        </w:rPr>
      </w:pPr>
      <w:r>
        <w:rPr>
          <w:rFonts w:ascii="Times New Roman" w:hAnsi="Times New Roman" w:eastAsia="仿宋_GB2312" w:cs="Times New Roman"/>
          <w:b/>
          <w:bCs/>
          <w:color w:val="000000"/>
          <w:sz w:val="32"/>
          <w:szCs w:val="32"/>
        </w:rPr>
        <w:t>2．创新创业竞赛加分</w:t>
      </w:r>
    </w:p>
    <w:tbl>
      <w:tblPr>
        <w:tblStyle w:val="7"/>
        <w:tblpPr w:leftFromText="180" w:rightFromText="180" w:vertAnchor="text" w:horzAnchor="margin" w:tblpXSpec="center" w:tblpY="325"/>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0"/>
        <w:gridCol w:w="719"/>
        <w:gridCol w:w="2278"/>
        <w:gridCol w:w="2278"/>
        <w:gridCol w:w="2154"/>
      </w:tblGrid>
      <w:tr w14:paraId="51CFC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1062" w:type="pct"/>
            <w:gridSpan w:val="2"/>
            <w:vMerge w:val="restart"/>
            <w:vAlign w:val="center"/>
          </w:tcPr>
          <w:p w14:paraId="1F66F3CA">
            <w:pPr>
              <w:widowControl/>
              <w:spacing w:before="100" w:beforeAutospacing="1" w:after="100" w:afterAutospacing="1"/>
              <w:jc w:val="center"/>
              <w:rPr>
                <w:rFonts w:ascii="Times New Roman" w:hAnsi="Times New Roman" w:eastAsia="仿宋_GB2312" w:cs="Times New Roman"/>
                <w:kern w:val="0"/>
                <w:szCs w:val="21"/>
              </w:rPr>
            </w:pPr>
            <w:bookmarkStart w:id="2" w:name="_Hlk153438122"/>
            <w:r>
              <w:rPr>
                <w:rFonts w:hint="eastAsia" w:ascii="Times New Roman" w:hAnsi="Times New Roman" w:eastAsia="仿宋_GB2312" w:cs="Times New Roman"/>
                <w:kern w:val="0"/>
                <w:szCs w:val="21"/>
              </w:rPr>
              <w:t>竞赛类别</w:t>
            </w:r>
          </w:p>
        </w:tc>
        <w:tc>
          <w:tcPr>
            <w:tcW w:w="3938" w:type="pct"/>
            <w:gridSpan w:val="3"/>
            <w:vAlign w:val="center"/>
          </w:tcPr>
          <w:p w14:paraId="4BA34660">
            <w:pPr>
              <w:widowControl/>
              <w:spacing w:before="100" w:beforeAutospacing="1" w:after="100" w:afterAutospacing="1"/>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加分分值</w:t>
            </w:r>
          </w:p>
        </w:tc>
      </w:tr>
      <w:tr w14:paraId="04061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1062" w:type="pct"/>
            <w:gridSpan w:val="2"/>
            <w:vMerge w:val="continue"/>
            <w:vAlign w:val="center"/>
          </w:tcPr>
          <w:p w14:paraId="2A391919">
            <w:pPr>
              <w:widowControl/>
              <w:spacing w:before="100" w:beforeAutospacing="1" w:after="100" w:afterAutospacing="1"/>
              <w:jc w:val="center"/>
              <w:rPr>
                <w:rFonts w:ascii="Times New Roman" w:hAnsi="Times New Roman" w:eastAsia="仿宋_GB2312" w:cs="Times New Roman"/>
                <w:kern w:val="0"/>
                <w:szCs w:val="21"/>
              </w:rPr>
            </w:pPr>
          </w:p>
        </w:tc>
        <w:tc>
          <w:tcPr>
            <w:tcW w:w="1337" w:type="pct"/>
            <w:vAlign w:val="center"/>
          </w:tcPr>
          <w:p w14:paraId="6B849C89">
            <w:pPr>
              <w:widowControl/>
              <w:spacing w:before="100" w:beforeAutospacing="1" w:after="100" w:afterAutospacing="1"/>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第一等级</w:t>
            </w:r>
          </w:p>
        </w:tc>
        <w:tc>
          <w:tcPr>
            <w:tcW w:w="1337" w:type="pct"/>
            <w:shd w:val="clear" w:color="auto" w:fill="auto"/>
            <w:vAlign w:val="center"/>
          </w:tcPr>
          <w:p w14:paraId="59762669">
            <w:pPr>
              <w:widowControl/>
              <w:spacing w:before="100" w:beforeAutospacing="1" w:after="100" w:afterAutospacing="1"/>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第二等级</w:t>
            </w:r>
          </w:p>
        </w:tc>
        <w:tc>
          <w:tcPr>
            <w:tcW w:w="1264" w:type="pct"/>
            <w:shd w:val="clear" w:color="auto" w:fill="auto"/>
            <w:vAlign w:val="center"/>
          </w:tcPr>
          <w:p w14:paraId="24AC60B0">
            <w:pPr>
              <w:widowControl/>
              <w:spacing w:before="100" w:beforeAutospacing="1" w:after="100" w:afterAutospacing="1"/>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第三等级</w:t>
            </w:r>
          </w:p>
        </w:tc>
      </w:tr>
      <w:tr w14:paraId="600E0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2" w:hRule="atLeast"/>
        </w:trPr>
        <w:tc>
          <w:tcPr>
            <w:tcW w:w="640" w:type="pct"/>
            <w:vMerge w:val="restart"/>
            <w:vAlign w:val="center"/>
          </w:tcPr>
          <w:p w14:paraId="77E9E68A">
            <w:pPr>
              <w:widowControl/>
              <w:spacing w:before="100" w:beforeAutospacing="1" w:after="100" w:afterAutospacing="1"/>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I</w:t>
            </w:r>
            <w:r>
              <w:rPr>
                <w:rFonts w:hint="eastAsia" w:ascii="Times New Roman" w:hAnsi="Times New Roman" w:eastAsia="仿宋_GB2312" w:cs="Times New Roman"/>
                <w:kern w:val="0"/>
                <w:szCs w:val="21"/>
              </w:rPr>
              <w:t>类竞赛</w:t>
            </w:r>
          </w:p>
        </w:tc>
        <w:tc>
          <w:tcPr>
            <w:tcW w:w="422" w:type="pct"/>
            <w:vAlign w:val="center"/>
          </w:tcPr>
          <w:p w14:paraId="633E4699">
            <w:pPr>
              <w:widowControl/>
              <w:spacing w:before="100" w:beforeAutospacing="1" w:after="100" w:afterAutospacing="1"/>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国赛</w:t>
            </w:r>
          </w:p>
        </w:tc>
        <w:tc>
          <w:tcPr>
            <w:tcW w:w="1337" w:type="pct"/>
            <w:vAlign w:val="center"/>
          </w:tcPr>
          <w:p w14:paraId="67274F32">
            <w:pPr>
              <w:widowControl/>
              <w:spacing w:before="100" w:beforeAutospacing="1" w:after="100" w:afterAutospacing="1" w:line="220" w:lineRule="exact"/>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排名第一</w:t>
            </w:r>
            <w:r>
              <w:rPr>
                <w:rFonts w:ascii="Times New Roman" w:hAnsi="Times New Roman" w:eastAsia="仿宋_GB2312" w:cs="Times New Roman"/>
                <w:kern w:val="0"/>
                <w:szCs w:val="21"/>
              </w:rPr>
              <w:t xml:space="preserve"> 8.0</w:t>
            </w:r>
          </w:p>
          <w:p w14:paraId="6A16156A">
            <w:pPr>
              <w:widowControl/>
              <w:spacing w:before="100" w:beforeAutospacing="1" w:after="100" w:afterAutospacing="1" w:line="220" w:lineRule="exact"/>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排名第二</w:t>
            </w:r>
            <w:r>
              <w:rPr>
                <w:rFonts w:ascii="Times New Roman" w:hAnsi="Times New Roman" w:eastAsia="仿宋_GB2312" w:cs="Times New Roman"/>
                <w:kern w:val="0"/>
                <w:szCs w:val="21"/>
              </w:rPr>
              <w:t xml:space="preserve"> 5.0</w:t>
            </w:r>
          </w:p>
          <w:p w14:paraId="6C40850E">
            <w:pPr>
              <w:widowControl/>
              <w:spacing w:before="100" w:beforeAutospacing="1" w:after="100" w:afterAutospacing="1" w:line="220" w:lineRule="exact"/>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排名第三</w:t>
            </w:r>
            <w:r>
              <w:rPr>
                <w:rFonts w:ascii="Times New Roman" w:hAnsi="Times New Roman" w:eastAsia="仿宋_GB2312" w:cs="Times New Roman"/>
                <w:kern w:val="0"/>
                <w:szCs w:val="21"/>
              </w:rPr>
              <w:t xml:space="preserve"> 4.0</w:t>
            </w:r>
          </w:p>
          <w:p w14:paraId="023D6C77">
            <w:pPr>
              <w:widowControl/>
              <w:spacing w:before="100" w:beforeAutospacing="1" w:after="100" w:afterAutospacing="1" w:line="220" w:lineRule="exact"/>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排名第四</w:t>
            </w:r>
            <w:r>
              <w:rPr>
                <w:rFonts w:ascii="Times New Roman" w:hAnsi="Times New Roman" w:eastAsia="仿宋_GB2312" w:cs="Times New Roman"/>
                <w:kern w:val="0"/>
                <w:szCs w:val="21"/>
              </w:rPr>
              <w:t xml:space="preserve"> 3.0</w:t>
            </w:r>
          </w:p>
          <w:p w14:paraId="0976C6CF">
            <w:pPr>
              <w:widowControl/>
              <w:spacing w:before="100" w:beforeAutospacing="1" w:after="100" w:afterAutospacing="1" w:line="220" w:lineRule="exact"/>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排名第五</w:t>
            </w:r>
            <w:r>
              <w:rPr>
                <w:rFonts w:ascii="Times New Roman" w:hAnsi="Times New Roman" w:eastAsia="仿宋_GB2312" w:cs="Times New Roman"/>
                <w:kern w:val="0"/>
                <w:szCs w:val="21"/>
              </w:rPr>
              <w:t xml:space="preserve"> 2.0</w:t>
            </w:r>
          </w:p>
        </w:tc>
        <w:tc>
          <w:tcPr>
            <w:tcW w:w="1337" w:type="pct"/>
            <w:shd w:val="clear" w:color="auto" w:fill="auto"/>
            <w:vAlign w:val="center"/>
          </w:tcPr>
          <w:p w14:paraId="2CB5A1CF">
            <w:pPr>
              <w:widowControl/>
              <w:spacing w:before="100" w:beforeAutospacing="1" w:after="100" w:afterAutospacing="1" w:line="220" w:lineRule="exact"/>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排名第一</w:t>
            </w:r>
            <w:r>
              <w:rPr>
                <w:rFonts w:ascii="Times New Roman" w:hAnsi="Times New Roman" w:eastAsia="仿宋_GB2312" w:cs="Times New Roman"/>
                <w:kern w:val="0"/>
                <w:szCs w:val="21"/>
              </w:rPr>
              <w:t xml:space="preserve"> 5.0</w:t>
            </w:r>
          </w:p>
          <w:p w14:paraId="4F0D4BEB">
            <w:pPr>
              <w:widowControl/>
              <w:spacing w:before="100" w:beforeAutospacing="1" w:after="100" w:afterAutospacing="1" w:line="220" w:lineRule="exact"/>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排名第二</w:t>
            </w:r>
            <w:r>
              <w:rPr>
                <w:rFonts w:ascii="Times New Roman" w:hAnsi="Times New Roman" w:eastAsia="仿宋_GB2312" w:cs="Times New Roman"/>
                <w:kern w:val="0"/>
                <w:szCs w:val="21"/>
              </w:rPr>
              <w:t xml:space="preserve"> 4.0</w:t>
            </w:r>
          </w:p>
          <w:p w14:paraId="4C265D23">
            <w:pPr>
              <w:widowControl/>
              <w:spacing w:before="100" w:beforeAutospacing="1" w:after="100" w:afterAutospacing="1" w:line="220" w:lineRule="exact"/>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排名第三</w:t>
            </w:r>
            <w:r>
              <w:rPr>
                <w:rFonts w:ascii="Times New Roman" w:hAnsi="Times New Roman" w:eastAsia="仿宋_GB2312" w:cs="Times New Roman"/>
                <w:kern w:val="0"/>
                <w:szCs w:val="21"/>
              </w:rPr>
              <w:t xml:space="preserve"> 3.0</w:t>
            </w:r>
          </w:p>
          <w:p w14:paraId="76CFD2F1">
            <w:pPr>
              <w:widowControl/>
              <w:spacing w:before="100" w:beforeAutospacing="1" w:after="100" w:afterAutospacing="1" w:line="220" w:lineRule="exact"/>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排名第四</w:t>
            </w:r>
            <w:r>
              <w:rPr>
                <w:rFonts w:ascii="Times New Roman" w:hAnsi="Times New Roman" w:eastAsia="仿宋_GB2312" w:cs="Times New Roman"/>
                <w:kern w:val="0"/>
                <w:szCs w:val="21"/>
              </w:rPr>
              <w:t xml:space="preserve"> 2.0</w:t>
            </w:r>
          </w:p>
          <w:p w14:paraId="1DDC4F7B">
            <w:pPr>
              <w:widowControl/>
              <w:spacing w:before="100" w:beforeAutospacing="1" w:after="100" w:afterAutospacing="1" w:line="220" w:lineRule="exact"/>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排名第五</w:t>
            </w:r>
            <w:r>
              <w:rPr>
                <w:rFonts w:ascii="Times New Roman" w:hAnsi="Times New Roman" w:eastAsia="仿宋_GB2312" w:cs="Times New Roman"/>
                <w:kern w:val="0"/>
                <w:szCs w:val="21"/>
              </w:rPr>
              <w:t xml:space="preserve"> 1.0</w:t>
            </w:r>
          </w:p>
        </w:tc>
        <w:tc>
          <w:tcPr>
            <w:tcW w:w="1264" w:type="pct"/>
            <w:shd w:val="clear" w:color="auto" w:fill="auto"/>
            <w:vAlign w:val="center"/>
          </w:tcPr>
          <w:p w14:paraId="27E1D2C3">
            <w:pPr>
              <w:widowControl/>
              <w:spacing w:before="100" w:beforeAutospacing="1" w:after="100" w:afterAutospacing="1" w:line="220" w:lineRule="exact"/>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排名第一</w:t>
            </w:r>
            <w:r>
              <w:rPr>
                <w:rFonts w:ascii="Times New Roman" w:hAnsi="Times New Roman" w:eastAsia="仿宋_GB2312" w:cs="Times New Roman"/>
                <w:kern w:val="0"/>
                <w:szCs w:val="21"/>
              </w:rPr>
              <w:t xml:space="preserve"> 3.0</w:t>
            </w:r>
          </w:p>
          <w:p w14:paraId="1D5F5BB5">
            <w:pPr>
              <w:widowControl/>
              <w:spacing w:before="100" w:beforeAutospacing="1" w:after="100" w:afterAutospacing="1" w:line="220" w:lineRule="exact"/>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排名第二</w:t>
            </w:r>
            <w:r>
              <w:rPr>
                <w:rFonts w:ascii="Times New Roman" w:hAnsi="Times New Roman" w:eastAsia="仿宋_GB2312" w:cs="Times New Roman"/>
                <w:kern w:val="0"/>
                <w:szCs w:val="21"/>
              </w:rPr>
              <w:t xml:space="preserve"> 2.0</w:t>
            </w:r>
          </w:p>
          <w:p w14:paraId="6E4DF290">
            <w:pPr>
              <w:widowControl/>
              <w:spacing w:before="100" w:beforeAutospacing="1" w:after="100" w:afterAutospacing="1" w:line="220" w:lineRule="exact"/>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排名第三</w:t>
            </w:r>
            <w:r>
              <w:rPr>
                <w:rFonts w:ascii="Times New Roman" w:hAnsi="Times New Roman" w:eastAsia="仿宋_GB2312" w:cs="Times New Roman"/>
                <w:kern w:val="0"/>
                <w:szCs w:val="21"/>
              </w:rPr>
              <w:t xml:space="preserve"> 1.5</w:t>
            </w:r>
          </w:p>
          <w:p w14:paraId="3F5F66EA">
            <w:pPr>
              <w:widowControl/>
              <w:spacing w:before="100" w:beforeAutospacing="1" w:after="100" w:afterAutospacing="1" w:line="220" w:lineRule="exact"/>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排名第四</w:t>
            </w:r>
            <w:r>
              <w:rPr>
                <w:rFonts w:ascii="Times New Roman" w:hAnsi="Times New Roman" w:eastAsia="仿宋_GB2312" w:cs="Times New Roman"/>
                <w:kern w:val="0"/>
                <w:szCs w:val="21"/>
              </w:rPr>
              <w:t xml:space="preserve"> 1.0</w:t>
            </w:r>
          </w:p>
          <w:p w14:paraId="49FBE85D">
            <w:pPr>
              <w:widowControl/>
              <w:spacing w:before="100" w:beforeAutospacing="1" w:after="100" w:afterAutospacing="1" w:line="220" w:lineRule="exact"/>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排名第五</w:t>
            </w:r>
            <w:r>
              <w:rPr>
                <w:rFonts w:ascii="Times New Roman" w:hAnsi="Times New Roman" w:eastAsia="仿宋_GB2312" w:cs="Times New Roman"/>
                <w:kern w:val="0"/>
                <w:szCs w:val="21"/>
              </w:rPr>
              <w:t xml:space="preserve"> 0.5</w:t>
            </w:r>
          </w:p>
        </w:tc>
      </w:tr>
      <w:tr w14:paraId="58E26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4" w:hRule="atLeast"/>
        </w:trPr>
        <w:tc>
          <w:tcPr>
            <w:tcW w:w="640" w:type="pct"/>
            <w:vMerge w:val="continue"/>
            <w:vAlign w:val="center"/>
          </w:tcPr>
          <w:p w14:paraId="15C7244F">
            <w:pPr>
              <w:widowControl/>
              <w:spacing w:before="100" w:beforeAutospacing="1" w:after="100" w:afterAutospacing="1"/>
              <w:jc w:val="center"/>
              <w:rPr>
                <w:rFonts w:ascii="Times New Roman" w:hAnsi="Times New Roman" w:eastAsia="仿宋_GB2312" w:cs="Times New Roman"/>
                <w:kern w:val="0"/>
                <w:szCs w:val="21"/>
              </w:rPr>
            </w:pPr>
          </w:p>
        </w:tc>
        <w:tc>
          <w:tcPr>
            <w:tcW w:w="422" w:type="pct"/>
            <w:vAlign w:val="center"/>
          </w:tcPr>
          <w:p w14:paraId="13C8B33C">
            <w:pPr>
              <w:widowControl/>
              <w:spacing w:before="100" w:beforeAutospacing="1" w:after="100" w:afterAutospacing="1"/>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省赛</w:t>
            </w:r>
          </w:p>
        </w:tc>
        <w:tc>
          <w:tcPr>
            <w:tcW w:w="1337" w:type="pct"/>
            <w:vAlign w:val="center"/>
          </w:tcPr>
          <w:p w14:paraId="1590B1AF">
            <w:pPr>
              <w:widowControl/>
              <w:spacing w:before="100" w:beforeAutospacing="1" w:after="100" w:afterAutospacing="1" w:line="220" w:lineRule="exact"/>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排名第一</w:t>
            </w:r>
            <w:r>
              <w:rPr>
                <w:rFonts w:ascii="Times New Roman" w:hAnsi="Times New Roman" w:eastAsia="仿宋_GB2312" w:cs="Times New Roman"/>
                <w:kern w:val="0"/>
                <w:szCs w:val="21"/>
              </w:rPr>
              <w:t xml:space="preserve"> 2.0</w:t>
            </w:r>
          </w:p>
          <w:p w14:paraId="6AFD327B">
            <w:pPr>
              <w:widowControl/>
              <w:spacing w:before="100" w:beforeAutospacing="1" w:after="100" w:afterAutospacing="1" w:line="220" w:lineRule="exact"/>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排名第二</w:t>
            </w:r>
            <w:r>
              <w:rPr>
                <w:rFonts w:ascii="Times New Roman" w:hAnsi="Times New Roman" w:eastAsia="仿宋_GB2312" w:cs="Times New Roman"/>
                <w:kern w:val="0"/>
                <w:szCs w:val="21"/>
              </w:rPr>
              <w:t xml:space="preserve"> 1.5</w:t>
            </w:r>
          </w:p>
          <w:p w14:paraId="0E868376">
            <w:pPr>
              <w:widowControl/>
              <w:spacing w:before="100" w:beforeAutospacing="1" w:after="100" w:afterAutospacing="1" w:line="220" w:lineRule="exact"/>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排名第三</w:t>
            </w:r>
            <w:r>
              <w:rPr>
                <w:rFonts w:ascii="Times New Roman" w:hAnsi="Times New Roman" w:eastAsia="仿宋_GB2312" w:cs="Times New Roman"/>
                <w:kern w:val="0"/>
                <w:szCs w:val="21"/>
              </w:rPr>
              <w:t xml:space="preserve"> 1.0</w:t>
            </w:r>
          </w:p>
          <w:p w14:paraId="596DF333">
            <w:pPr>
              <w:widowControl/>
              <w:spacing w:before="100" w:beforeAutospacing="1" w:after="100" w:afterAutospacing="1" w:line="220" w:lineRule="exact"/>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排名第四</w:t>
            </w:r>
            <w:r>
              <w:rPr>
                <w:rFonts w:ascii="Times New Roman" w:hAnsi="Times New Roman" w:eastAsia="仿宋_GB2312" w:cs="Times New Roman"/>
                <w:kern w:val="0"/>
                <w:szCs w:val="21"/>
              </w:rPr>
              <w:t xml:space="preserve"> 0.5</w:t>
            </w:r>
          </w:p>
        </w:tc>
        <w:tc>
          <w:tcPr>
            <w:tcW w:w="1337" w:type="pct"/>
            <w:shd w:val="clear" w:color="auto" w:fill="auto"/>
            <w:vAlign w:val="center"/>
          </w:tcPr>
          <w:p w14:paraId="6A17C13E">
            <w:pPr>
              <w:widowControl/>
              <w:spacing w:before="100" w:beforeAutospacing="1" w:after="100" w:afterAutospacing="1" w:line="240" w:lineRule="exact"/>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排名第一</w:t>
            </w:r>
            <w:r>
              <w:rPr>
                <w:rFonts w:ascii="Times New Roman" w:hAnsi="Times New Roman" w:eastAsia="仿宋_GB2312" w:cs="Times New Roman"/>
                <w:kern w:val="0"/>
                <w:szCs w:val="21"/>
              </w:rPr>
              <w:t xml:space="preserve"> 1.5</w:t>
            </w:r>
          </w:p>
          <w:p w14:paraId="2C5D5FEF">
            <w:pPr>
              <w:widowControl/>
              <w:spacing w:before="100" w:beforeAutospacing="1" w:after="100" w:afterAutospacing="1" w:line="240" w:lineRule="exact"/>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排名第二</w:t>
            </w:r>
            <w:r>
              <w:rPr>
                <w:rFonts w:ascii="Times New Roman" w:hAnsi="Times New Roman" w:eastAsia="仿宋_GB2312" w:cs="Times New Roman"/>
                <w:kern w:val="0"/>
                <w:szCs w:val="21"/>
              </w:rPr>
              <w:t xml:space="preserve"> 1.0</w:t>
            </w:r>
          </w:p>
          <w:p w14:paraId="153629B2">
            <w:pPr>
              <w:widowControl/>
              <w:spacing w:before="100" w:beforeAutospacing="1" w:after="100" w:afterAutospacing="1" w:line="240" w:lineRule="exact"/>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排名第三</w:t>
            </w:r>
            <w:r>
              <w:rPr>
                <w:rFonts w:ascii="Times New Roman" w:hAnsi="Times New Roman" w:eastAsia="仿宋_GB2312" w:cs="Times New Roman"/>
                <w:kern w:val="0"/>
                <w:szCs w:val="21"/>
              </w:rPr>
              <w:t xml:space="preserve"> 0.5</w:t>
            </w:r>
          </w:p>
        </w:tc>
        <w:tc>
          <w:tcPr>
            <w:tcW w:w="1264" w:type="pct"/>
            <w:shd w:val="clear" w:color="auto" w:fill="auto"/>
            <w:vAlign w:val="center"/>
          </w:tcPr>
          <w:p w14:paraId="59EA4B48">
            <w:pPr>
              <w:widowControl/>
              <w:spacing w:before="100" w:beforeAutospacing="1" w:after="100" w:afterAutospacing="1" w:line="240" w:lineRule="exact"/>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排名第一</w:t>
            </w:r>
            <w:r>
              <w:rPr>
                <w:rFonts w:ascii="Times New Roman" w:hAnsi="Times New Roman" w:eastAsia="仿宋_GB2312" w:cs="Times New Roman"/>
                <w:kern w:val="0"/>
                <w:szCs w:val="21"/>
              </w:rPr>
              <w:t xml:space="preserve"> 1.0</w:t>
            </w:r>
          </w:p>
          <w:p w14:paraId="0C56FD26">
            <w:pPr>
              <w:widowControl/>
              <w:spacing w:before="100" w:beforeAutospacing="1" w:after="100" w:afterAutospacing="1" w:line="240" w:lineRule="exact"/>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排名第二</w:t>
            </w:r>
            <w:r>
              <w:rPr>
                <w:rFonts w:ascii="Times New Roman" w:hAnsi="Times New Roman" w:eastAsia="仿宋_GB2312" w:cs="Times New Roman"/>
                <w:kern w:val="0"/>
                <w:szCs w:val="21"/>
              </w:rPr>
              <w:t xml:space="preserve"> 0.5</w:t>
            </w:r>
          </w:p>
          <w:p w14:paraId="003A552E">
            <w:pPr>
              <w:widowControl/>
              <w:spacing w:before="100" w:beforeAutospacing="1" w:after="100" w:afterAutospacing="1" w:line="240" w:lineRule="exact"/>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排名第三</w:t>
            </w:r>
            <w:r>
              <w:rPr>
                <w:rFonts w:ascii="Times New Roman" w:hAnsi="Times New Roman" w:eastAsia="仿宋_GB2312" w:cs="Times New Roman"/>
                <w:kern w:val="0"/>
                <w:szCs w:val="21"/>
              </w:rPr>
              <w:t xml:space="preserve"> 0.3</w:t>
            </w:r>
          </w:p>
        </w:tc>
      </w:tr>
      <w:tr w14:paraId="48F2D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9" w:hRule="atLeast"/>
        </w:trPr>
        <w:tc>
          <w:tcPr>
            <w:tcW w:w="640" w:type="pct"/>
            <w:vMerge w:val="restart"/>
            <w:vAlign w:val="center"/>
          </w:tcPr>
          <w:p w14:paraId="006D395A">
            <w:pPr>
              <w:widowControl/>
              <w:spacing w:before="100" w:beforeAutospacing="1" w:after="100" w:afterAutospacing="1"/>
              <w:jc w:val="center"/>
              <w:rPr>
                <w:rFonts w:ascii="Times New Roman" w:hAnsi="Times New Roman" w:eastAsia="仿宋_GB2312" w:cs="Times New Roman"/>
                <w:kern w:val="0"/>
                <w:szCs w:val="21"/>
              </w:rPr>
            </w:pPr>
            <w:bookmarkStart w:id="3" w:name="OLE_LINK2"/>
            <w:r>
              <w:rPr>
                <w:rFonts w:ascii="Times New Roman" w:hAnsi="Times New Roman" w:eastAsia="仿宋_GB2312" w:cs="Times New Roman"/>
                <w:kern w:val="0"/>
                <w:szCs w:val="21"/>
              </w:rPr>
              <w:t>II</w:t>
            </w:r>
            <w:r>
              <w:rPr>
                <w:rFonts w:hint="eastAsia" w:ascii="Times New Roman" w:hAnsi="Times New Roman" w:eastAsia="仿宋_GB2312" w:cs="Times New Roman"/>
                <w:kern w:val="0"/>
                <w:szCs w:val="21"/>
              </w:rPr>
              <w:t>类竞赛</w:t>
            </w:r>
            <w:bookmarkEnd w:id="3"/>
            <w:r>
              <w:rPr>
                <w:rFonts w:hint="eastAsia" w:ascii="Times New Roman" w:hAnsi="Times New Roman" w:eastAsia="仿宋_GB2312" w:cs="Times New Roman"/>
                <w:kern w:val="0"/>
                <w:szCs w:val="21"/>
              </w:rPr>
              <w:t>（自2</w:t>
            </w:r>
            <w:r>
              <w:rPr>
                <w:rFonts w:ascii="Times New Roman" w:hAnsi="Times New Roman" w:eastAsia="仿宋_GB2312" w:cs="Times New Roman"/>
                <w:kern w:val="0"/>
                <w:szCs w:val="21"/>
              </w:rPr>
              <w:t>023</w:t>
            </w:r>
            <w:r>
              <w:rPr>
                <w:rFonts w:hint="eastAsia" w:ascii="Times New Roman" w:hAnsi="Times New Roman" w:eastAsia="仿宋_GB2312" w:cs="Times New Roman"/>
                <w:kern w:val="0"/>
                <w:szCs w:val="21"/>
              </w:rPr>
              <w:t>级学生开始，</w:t>
            </w:r>
            <w:r>
              <w:rPr>
                <w:rFonts w:ascii="Times New Roman" w:hAnsi="Times New Roman" w:eastAsia="仿宋_GB2312" w:cs="Times New Roman"/>
                <w:kern w:val="0"/>
                <w:szCs w:val="21"/>
              </w:rPr>
              <w:t xml:space="preserve"> II</w:t>
            </w:r>
            <w:r>
              <w:rPr>
                <w:rFonts w:hint="eastAsia" w:ascii="Times New Roman" w:hAnsi="Times New Roman" w:eastAsia="仿宋_GB2312" w:cs="Times New Roman"/>
                <w:kern w:val="0"/>
                <w:szCs w:val="21"/>
              </w:rPr>
              <w:t>类竞赛省赛获奖项目不纳入加分体系）</w:t>
            </w:r>
          </w:p>
        </w:tc>
        <w:tc>
          <w:tcPr>
            <w:tcW w:w="422" w:type="pct"/>
            <w:vAlign w:val="center"/>
          </w:tcPr>
          <w:p w14:paraId="793DE40B">
            <w:pPr>
              <w:widowControl/>
              <w:spacing w:before="100" w:beforeAutospacing="1" w:after="100" w:afterAutospacing="1"/>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国赛</w:t>
            </w:r>
          </w:p>
        </w:tc>
        <w:tc>
          <w:tcPr>
            <w:tcW w:w="1337" w:type="pct"/>
            <w:vAlign w:val="center"/>
          </w:tcPr>
          <w:p w14:paraId="56627C99">
            <w:pPr>
              <w:widowControl/>
              <w:spacing w:before="100" w:beforeAutospacing="1" w:after="100" w:afterAutospacing="1" w:line="220" w:lineRule="exact"/>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排名第一</w:t>
            </w:r>
            <w:r>
              <w:rPr>
                <w:rFonts w:ascii="Times New Roman" w:hAnsi="Times New Roman" w:eastAsia="仿宋_GB2312" w:cs="Times New Roman"/>
                <w:kern w:val="0"/>
                <w:szCs w:val="21"/>
              </w:rPr>
              <w:t xml:space="preserve"> 3.5</w:t>
            </w:r>
          </w:p>
          <w:p w14:paraId="1B52CFAD">
            <w:pPr>
              <w:widowControl/>
              <w:spacing w:before="100" w:beforeAutospacing="1" w:after="100" w:afterAutospacing="1" w:line="220" w:lineRule="exact"/>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排名第二</w:t>
            </w:r>
            <w:r>
              <w:rPr>
                <w:rFonts w:ascii="Times New Roman" w:hAnsi="Times New Roman" w:eastAsia="仿宋_GB2312" w:cs="Times New Roman"/>
                <w:kern w:val="0"/>
                <w:szCs w:val="21"/>
              </w:rPr>
              <w:t xml:space="preserve"> 2.5</w:t>
            </w:r>
          </w:p>
          <w:p w14:paraId="52F5EE5F">
            <w:pPr>
              <w:widowControl/>
              <w:spacing w:before="100" w:beforeAutospacing="1" w:after="100" w:afterAutospacing="1" w:line="220" w:lineRule="exact"/>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排名第三</w:t>
            </w:r>
            <w:r>
              <w:rPr>
                <w:rFonts w:ascii="Times New Roman" w:hAnsi="Times New Roman" w:eastAsia="仿宋_GB2312" w:cs="Times New Roman"/>
                <w:kern w:val="0"/>
                <w:szCs w:val="21"/>
              </w:rPr>
              <w:t xml:space="preserve"> 1.5</w:t>
            </w:r>
          </w:p>
          <w:p w14:paraId="3FC69A23">
            <w:pPr>
              <w:widowControl/>
              <w:spacing w:before="100" w:beforeAutospacing="1" w:after="100" w:afterAutospacing="1" w:line="220" w:lineRule="exact"/>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排名第四</w:t>
            </w:r>
            <w:r>
              <w:rPr>
                <w:rFonts w:ascii="Times New Roman" w:hAnsi="Times New Roman" w:eastAsia="仿宋_GB2312" w:cs="Times New Roman"/>
                <w:kern w:val="0"/>
                <w:szCs w:val="21"/>
              </w:rPr>
              <w:t xml:space="preserve"> 0.5</w:t>
            </w:r>
          </w:p>
          <w:p w14:paraId="41141292">
            <w:pPr>
              <w:widowControl/>
              <w:spacing w:before="100" w:beforeAutospacing="1" w:after="100" w:afterAutospacing="1" w:line="220" w:lineRule="exact"/>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排名第五</w:t>
            </w:r>
            <w:r>
              <w:rPr>
                <w:rFonts w:ascii="Times New Roman" w:hAnsi="Times New Roman" w:eastAsia="仿宋_GB2312" w:cs="Times New Roman"/>
                <w:kern w:val="0"/>
                <w:szCs w:val="21"/>
              </w:rPr>
              <w:t xml:space="preserve"> 0.2</w:t>
            </w:r>
          </w:p>
        </w:tc>
        <w:tc>
          <w:tcPr>
            <w:tcW w:w="1337" w:type="pct"/>
            <w:shd w:val="clear" w:color="auto" w:fill="auto"/>
            <w:vAlign w:val="center"/>
          </w:tcPr>
          <w:p w14:paraId="3A194D6C">
            <w:pPr>
              <w:widowControl/>
              <w:spacing w:before="100" w:beforeAutospacing="1" w:after="100" w:afterAutospacing="1" w:line="240" w:lineRule="exact"/>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排名第一</w:t>
            </w:r>
            <w:r>
              <w:rPr>
                <w:rFonts w:ascii="Times New Roman" w:hAnsi="Times New Roman" w:eastAsia="仿宋_GB2312" w:cs="Times New Roman"/>
                <w:kern w:val="0"/>
                <w:szCs w:val="21"/>
              </w:rPr>
              <w:t xml:space="preserve"> 2.5</w:t>
            </w:r>
          </w:p>
          <w:p w14:paraId="77BBEEAA">
            <w:pPr>
              <w:widowControl/>
              <w:spacing w:before="100" w:beforeAutospacing="1" w:after="100" w:afterAutospacing="1" w:line="240" w:lineRule="exact"/>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排名第二</w:t>
            </w:r>
            <w:r>
              <w:rPr>
                <w:rFonts w:ascii="Times New Roman" w:hAnsi="Times New Roman" w:eastAsia="仿宋_GB2312" w:cs="Times New Roman"/>
                <w:kern w:val="0"/>
                <w:szCs w:val="21"/>
              </w:rPr>
              <w:t xml:space="preserve"> 1.5</w:t>
            </w:r>
          </w:p>
          <w:p w14:paraId="7FBFE611">
            <w:pPr>
              <w:widowControl/>
              <w:spacing w:before="100" w:beforeAutospacing="1" w:after="100" w:afterAutospacing="1" w:line="240" w:lineRule="exact"/>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排名第三</w:t>
            </w:r>
            <w:r>
              <w:rPr>
                <w:rFonts w:ascii="Times New Roman" w:hAnsi="Times New Roman" w:eastAsia="仿宋_GB2312" w:cs="Times New Roman"/>
                <w:kern w:val="0"/>
                <w:szCs w:val="21"/>
              </w:rPr>
              <w:t xml:space="preserve"> 0.5</w:t>
            </w:r>
          </w:p>
          <w:p w14:paraId="7FEA132E">
            <w:pPr>
              <w:widowControl/>
              <w:spacing w:before="100" w:beforeAutospacing="1" w:after="100" w:afterAutospacing="1" w:line="240" w:lineRule="exact"/>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排名第四</w:t>
            </w:r>
            <w:r>
              <w:rPr>
                <w:rFonts w:ascii="Times New Roman" w:hAnsi="Times New Roman" w:eastAsia="仿宋_GB2312" w:cs="Times New Roman"/>
                <w:kern w:val="0"/>
                <w:szCs w:val="21"/>
              </w:rPr>
              <w:t xml:space="preserve"> 0.2</w:t>
            </w:r>
          </w:p>
        </w:tc>
        <w:tc>
          <w:tcPr>
            <w:tcW w:w="1264" w:type="pct"/>
            <w:shd w:val="clear" w:color="auto" w:fill="auto"/>
            <w:vAlign w:val="center"/>
          </w:tcPr>
          <w:p w14:paraId="51EED966">
            <w:pPr>
              <w:widowControl/>
              <w:spacing w:before="100" w:beforeAutospacing="1" w:after="100" w:afterAutospacing="1" w:line="240" w:lineRule="exact"/>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排名第一</w:t>
            </w:r>
            <w:r>
              <w:rPr>
                <w:rFonts w:ascii="Times New Roman" w:hAnsi="Times New Roman" w:eastAsia="仿宋_GB2312" w:cs="Times New Roman"/>
                <w:kern w:val="0"/>
                <w:szCs w:val="21"/>
              </w:rPr>
              <w:t xml:space="preserve"> 1.5</w:t>
            </w:r>
          </w:p>
          <w:p w14:paraId="53170A7A">
            <w:pPr>
              <w:widowControl/>
              <w:spacing w:before="100" w:beforeAutospacing="1" w:after="100" w:afterAutospacing="1" w:line="240" w:lineRule="exact"/>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排名第二</w:t>
            </w:r>
            <w:r>
              <w:rPr>
                <w:rFonts w:ascii="Times New Roman" w:hAnsi="Times New Roman" w:eastAsia="仿宋_GB2312" w:cs="Times New Roman"/>
                <w:kern w:val="0"/>
                <w:szCs w:val="21"/>
              </w:rPr>
              <w:t xml:space="preserve"> 0.5</w:t>
            </w:r>
          </w:p>
          <w:p w14:paraId="35F9BDCB">
            <w:pPr>
              <w:widowControl/>
              <w:spacing w:before="100" w:beforeAutospacing="1" w:after="100" w:afterAutospacing="1" w:line="240" w:lineRule="exact"/>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排名第三</w:t>
            </w:r>
            <w:r>
              <w:rPr>
                <w:rFonts w:ascii="Times New Roman" w:hAnsi="Times New Roman" w:eastAsia="仿宋_GB2312" w:cs="Times New Roman"/>
                <w:kern w:val="0"/>
                <w:szCs w:val="21"/>
              </w:rPr>
              <w:t xml:space="preserve"> 0.2</w:t>
            </w:r>
          </w:p>
        </w:tc>
      </w:tr>
      <w:tr w14:paraId="62804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1" w:hRule="atLeast"/>
        </w:trPr>
        <w:tc>
          <w:tcPr>
            <w:tcW w:w="640" w:type="pct"/>
            <w:vMerge w:val="continue"/>
            <w:vAlign w:val="center"/>
          </w:tcPr>
          <w:p w14:paraId="26F7AD5C">
            <w:pPr>
              <w:widowControl/>
              <w:spacing w:before="100" w:beforeAutospacing="1" w:after="100" w:afterAutospacing="1"/>
              <w:jc w:val="center"/>
              <w:rPr>
                <w:rFonts w:ascii="Times New Roman" w:hAnsi="Times New Roman" w:eastAsia="仿宋_GB2312" w:cs="Times New Roman"/>
                <w:kern w:val="0"/>
                <w:szCs w:val="21"/>
              </w:rPr>
            </w:pPr>
          </w:p>
        </w:tc>
        <w:tc>
          <w:tcPr>
            <w:tcW w:w="422" w:type="pct"/>
            <w:vAlign w:val="center"/>
          </w:tcPr>
          <w:p w14:paraId="06C2772B">
            <w:pPr>
              <w:widowControl/>
              <w:spacing w:before="100" w:beforeAutospacing="1" w:after="100" w:afterAutospacing="1"/>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省赛</w:t>
            </w:r>
          </w:p>
        </w:tc>
        <w:tc>
          <w:tcPr>
            <w:tcW w:w="1337" w:type="pct"/>
            <w:vAlign w:val="center"/>
          </w:tcPr>
          <w:p w14:paraId="6D6270CE">
            <w:pPr>
              <w:widowControl/>
              <w:spacing w:before="100" w:beforeAutospacing="1" w:after="100" w:afterAutospacing="1" w:line="220" w:lineRule="exact"/>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 xml:space="preserve">排名第一 </w:t>
            </w:r>
            <w:r>
              <w:rPr>
                <w:rFonts w:ascii="Times New Roman" w:hAnsi="Times New Roman" w:eastAsia="仿宋_GB2312" w:cs="Times New Roman"/>
                <w:kern w:val="0"/>
                <w:szCs w:val="21"/>
              </w:rPr>
              <w:t>1.0</w:t>
            </w:r>
          </w:p>
          <w:p w14:paraId="748E73E9">
            <w:pPr>
              <w:widowControl/>
              <w:spacing w:before="100" w:beforeAutospacing="1" w:after="100" w:afterAutospacing="1" w:line="220" w:lineRule="exact"/>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排名第二 0.</w:t>
            </w:r>
            <w:r>
              <w:rPr>
                <w:rFonts w:ascii="Times New Roman" w:hAnsi="Times New Roman" w:eastAsia="仿宋_GB2312" w:cs="Times New Roman"/>
                <w:kern w:val="0"/>
                <w:szCs w:val="21"/>
              </w:rPr>
              <w:t>5</w:t>
            </w:r>
          </w:p>
          <w:p w14:paraId="1801B333">
            <w:pPr>
              <w:widowControl/>
              <w:spacing w:before="100" w:beforeAutospacing="1" w:after="100" w:afterAutospacing="1" w:line="220" w:lineRule="exact"/>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排名第三 0.</w:t>
            </w:r>
            <w:r>
              <w:rPr>
                <w:rFonts w:ascii="Times New Roman" w:hAnsi="Times New Roman" w:eastAsia="仿宋_GB2312" w:cs="Times New Roman"/>
                <w:kern w:val="0"/>
                <w:szCs w:val="21"/>
              </w:rPr>
              <w:t>2</w:t>
            </w:r>
          </w:p>
        </w:tc>
        <w:tc>
          <w:tcPr>
            <w:tcW w:w="1337" w:type="pct"/>
            <w:shd w:val="clear" w:color="auto" w:fill="auto"/>
            <w:vAlign w:val="center"/>
          </w:tcPr>
          <w:p w14:paraId="14446141">
            <w:pPr>
              <w:widowControl/>
              <w:spacing w:before="100" w:beforeAutospacing="1" w:after="100" w:afterAutospacing="1" w:line="220" w:lineRule="exact"/>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排名第一 0.</w:t>
            </w:r>
            <w:r>
              <w:rPr>
                <w:rFonts w:ascii="Times New Roman" w:hAnsi="Times New Roman" w:eastAsia="仿宋_GB2312" w:cs="Times New Roman"/>
                <w:kern w:val="0"/>
                <w:szCs w:val="21"/>
              </w:rPr>
              <w:t>5</w:t>
            </w:r>
          </w:p>
          <w:p w14:paraId="1E53B728">
            <w:pPr>
              <w:widowControl/>
              <w:spacing w:before="100" w:beforeAutospacing="1" w:after="100" w:afterAutospacing="1" w:line="220" w:lineRule="exact"/>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排名第二 0.</w:t>
            </w:r>
            <w:r>
              <w:rPr>
                <w:rFonts w:ascii="Times New Roman" w:hAnsi="Times New Roman" w:eastAsia="仿宋_GB2312" w:cs="Times New Roman"/>
                <w:kern w:val="0"/>
                <w:szCs w:val="21"/>
              </w:rPr>
              <w:t>2</w:t>
            </w:r>
          </w:p>
        </w:tc>
        <w:tc>
          <w:tcPr>
            <w:tcW w:w="1264" w:type="pct"/>
            <w:shd w:val="clear" w:color="auto" w:fill="auto"/>
            <w:vAlign w:val="center"/>
          </w:tcPr>
          <w:p w14:paraId="0CA64A62">
            <w:pPr>
              <w:widowControl/>
              <w:spacing w:before="100" w:beforeAutospacing="1" w:after="100" w:afterAutospacing="1" w:line="220" w:lineRule="exact"/>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不加分</w:t>
            </w:r>
          </w:p>
        </w:tc>
      </w:tr>
    </w:tbl>
    <w:p w14:paraId="6DD88295">
      <w:pPr>
        <w:adjustRightInd w:val="0"/>
        <w:snapToGrid w:val="0"/>
        <w:spacing w:line="56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备注：</w:t>
      </w:r>
    </w:p>
    <w:p w14:paraId="26167C20">
      <w:pPr>
        <w:adjustRightInd w:val="0"/>
        <w:snapToGrid w:val="0"/>
        <w:spacing w:line="560" w:lineRule="exact"/>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（1）学生竞赛项目获奖日期以学生获得竞赛项目证书上的日期（或以主办方官网公布获奖日期）作为时间认定依据，竞赛项目级别以证书获奖日期所适应时间范围按</w:t>
      </w:r>
      <w:r>
        <w:rPr>
          <w:rFonts w:ascii="Times New Roman" w:hAnsi="Times New Roman" w:eastAsia="仿宋_GB2312" w:cs="Times New Roman"/>
          <w:color w:val="000000"/>
          <w:sz w:val="32"/>
          <w:szCs w:val="32"/>
        </w:rPr>
        <w:t>教务处（藕舫学院）</w:t>
      </w:r>
      <w:r>
        <w:rPr>
          <w:rFonts w:hint="eastAsia" w:ascii="Times New Roman" w:hAnsi="Times New Roman" w:eastAsia="仿宋_GB2312" w:cs="Times New Roman"/>
          <w:color w:val="000000"/>
          <w:sz w:val="32"/>
          <w:szCs w:val="32"/>
        </w:rPr>
        <w:t>对应</w:t>
      </w:r>
      <w:r>
        <w:rPr>
          <w:rFonts w:ascii="Times New Roman" w:hAnsi="Times New Roman" w:eastAsia="仿宋_GB2312" w:cs="Times New Roman"/>
          <w:color w:val="000000"/>
          <w:sz w:val="32"/>
          <w:szCs w:val="32"/>
        </w:rPr>
        <w:t>文件</w:t>
      </w:r>
      <w:r>
        <w:rPr>
          <w:rFonts w:hint="eastAsia" w:ascii="Times New Roman" w:hAnsi="Times New Roman" w:eastAsia="仿宋_GB2312" w:cs="Times New Roman"/>
          <w:color w:val="000000"/>
          <w:sz w:val="32"/>
          <w:szCs w:val="32"/>
        </w:rPr>
        <w:t>执行。</w:t>
      </w:r>
    </w:p>
    <w:p w14:paraId="47A4A3FA">
      <w:pPr>
        <w:adjustRightInd w:val="0"/>
        <w:snapToGrid w:val="0"/>
        <w:spacing w:line="560" w:lineRule="exact"/>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w:t>
      </w:r>
      <w:r>
        <w:rPr>
          <w:rFonts w:ascii="Times New Roman" w:hAnsi="Times New Roman" w:eastAsia="仿宋_GB2312" w:cs="Times New Roman"/>
          <w:color w:val="000000"/>
          <w:sz w:val="32"/>
          <w:szCs w:val="32"/>
        </w:rPr>
        <w:t>2</w:t>
      </w:r>
      <w:r>
        <w:rPr>
          <w:rFonts w:hint="eastAsia" w:ascii="Times New Roman" w:hAnsi="Times New Roman" w:eastAsia="仿宋_GB2312" w:cs="Times New Roman"/>
          <w:color w:val="000000"/>
          <w:sz w:val="32"/>
          <w:szCs w:val="32"/>
        </w:rPr>
        <w:t>）</w:t>
      </w:r>
      <w:r>
        <w:rPr>
          <w:rFonts w:ascii="Times New Roman" w:hAnsi="Times New Roman" w:eastAsia="仿宋_GB2312" w:cs="Times New Roman"/>
          <w:color w:val="000000"/>
          <w:sz w:val="32"/>
          <w:szCs w:val="32"/>
        </w:rPr>
        <w:t>全国性学科竞赛校内选拔赛获奖等级按照校级等级认定，如全国大学生英语竞赛二、三等奖。数学建模竞赛、电子设计竞赛等证书上获奖者排名不分先后的竞赛，加分取平均分计算。</w:t>
      </w:r>
    </w:p>
    <w:bookmarkEnd w:id="2"/>
    <w:p w14:paraId="12338B2F">
      <w:pPr>
        <w:adjustRightInd w:val="0"/>
        <w:snapToGrid w:val="0"/>
        <w:spacing w:line="560" w:lineRule="exact"/>
        <w:ind w:firstLine="643" w:firstLineChars="200"/>
        <w:rPr>
          <w:rFonts w:ascii="Times New Roman" w:hAnsi="Times New Roman" w:eastAsia="仿宋_GB2312" w:cs="Times New Roman"/>
          <w:b/>
          <w:bCs/>
          <w:color w:val="000000"/>
          <w:sz w:val="32"/>
          <w:szCs w:val="32"/>
        </w:rPr>
      </w:pPr>
      <w:r>
        <w:rPr>
          <w:rFonts w:ascii="Times New Roman" w:hAnsi="Times New Roman" w:eastAsia="仿宋_GB2312" w:cs="Times New Roman"/>
          <w:b/>
          <w:bCs/>
          <w:color w:val="000000"/>
          <w:sz w:val="32"/>
          <w:szCs w:val="32"/>
        </w:rPr>
        <w:t>3．大创项目加分</w:t>
      </w:r>
    </w:p>
    <w:p w14:paraId="6E76466D">
      <w:pPr>
        <w:adjustRightInd w:val="0"/>
        <w:snapToGrid w:val="0"/>
        <w:spacing w:line="56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主持国家级大学生创新创业训练计划项目或省级大学生创新训练计划重点项目</w:t>
      </w:r>
      <w:r>
        <w:rPr>
          <w:rFonts w:hint="eastAsia" w:ascii="Times New Roman" w:hAnsi="Times New Roman" w:eastAsia="仿宋_GB2312" w:cs="Times New Roman"/>
          <w:color w:val="000000"/>
          <w:sz w:val="32"/>
          <w:szCs w:val="32"/>
        </w:rPr>
        <w:t>并结题的</w:t>
      </w:r>
      <w:r>
        <w:rPr>
          <w:rFonts w:ascii="Times New Roman" w:hAnsi="Times New Roman" w:eastAsia="仿宋_GB2312" w:cs="Times New Roman"/>
          <w:color w:val="000000"/>
          <w:sz w:val="32"/>
          <w:szCs w:val="32"/>
        </w:rPr>
        <w:t>加1.0分</w:t>
      </w:r>
      <w:r>
        <w:rPr>
          <w:rFonts w:hint="eastAsia" w:ascii="Times New Roman" w:hAnsi="Times New Roman" w:eastAsia="仿宋_GB2312" w:cs="Times New Roman"/>
          <w:color w:val="000000"/>
          <w:sz w:val="32"/>
          <w:szCs w:val="32"/>
        </w:rPr>
        <w:t>（</w:t>
      </w:r>
      <w:r>
        <w:rPr>
          <w:rFonts w:ascii="Times New Roman" w:hAnsi="Times New Roman" w:eastAsia="仿宋_GB2312" w:cs="Times New Roman"/>
          <w:color w:val="000000"/>
          <w:sz w:val="32"/>
          <w:szCs w:val="32"/>
        </w:rPr>
        <w:t>有2个主持人的,每人加0.5分），主持省级大学生创新训练计划一般项目</w:t>
      </w:r>
      <w:r>
        <w:rPr>
          <w:rFonts w:hint="eastAsia" w:ascii="Times New Roman" w:hAnsi="Times New Roman" w:eastAsia="仿宋_GB2312" w:cs="Times New Roman"/>
          <w:color w:val="000000"/>
          <w:sz w:val="32"/>
          <w:szCs w:val="32"/>
        </w:rPr>
        <w:t>并结题的</w:t>
      </w:r>
      <w:r>
        <w:rPr>
          <w:rFonts w:ascii="Times New Roman" w:hAnsi="Times New Roman" w:eastAsia="仿宋_GB2312" w:cs="Times New Roman"/>
          <w:color w:val="000000"/>
          <w:sz w:val="32"/>
          <w:szCs w:val="32"/>
        </w:rPr>
        <w:t>加0.5分(有2个主持人的,每人加0.25分)。</w:t>
      </w:r>
      <w:r>
        <w:rPr>
          <w:rFonts w:hint="eastAsia" w:ascii="Times New Roman" w:hAnsi="Times New Roman" w:eastAsia="仿宋_GB2312" w:cs="Times New Roman"/>
          <w:color w:val="000000"/>
          <w:sz w:val="32"/>
          <w:szCs w:val="32"/>
        </w:rPr>
        <w:t>该政策自</w:t>
      </w:r>
      <w:r>
        <w:rPr>
          <w:rFonts w:ascii="Times New Roman" w:hAnsi="Times New Roman" w:eastAsia="仿宋_GB2312" w:cs="Times New Roman"/>
          <w:color w:val="000000"/>
          <w:sz w:val="32"/>
          <w:szCs w:val="32"/>
        </w:rPr>
        <w:t>2023</w:t>
      </w:r>
      <w:r>
        <w:rPr>
          <w:rFonts w:hint="eastAsia" w:ascii="Times New Roman" w:hAnsi="Times New Roman" w:eastAsia="仿宋_GB2312" w:cs="Times New Roman"/>
          <w:color w:val="000000"/>
          <w:sz w:val="32"/>
          <w:szCs w:val="32"/>
        </w:rPr>
        <w:t>级学生起开始施行。</w:t>
      </w:r>
    </w:p>
    <w:p w14:paraId="4A78A36E">
      <w:pPr>
        <w:adjustRightInd w:val="0"/>
        <w:snapToGrid w:val="0"/>
        <w:spacing w:line="560" w:lineRule="exact"/>
        <w:ind w:firstLine="643" w:firstLineChars="200"/>
        <w:rPr>
          <w:rFonts w:ascii="Times New Roman" w:hAnsi="Times New Roman" w:eastAsia="仿宋_GB2312" w:cs="Times New Roman"/>
          <w:b/>
          <w:bCs/>
          <w:color w:val="000000"/>
          <w:sz w:val="32"/>
          <w:szCs w:val="32"/>
        </w:rPr>
      </w:pPr>
      <w:r>
        <w:rPr>
          <w:rFonts w:ascii="Times New Roman" w:hAnsi="Times New Roman" w:eastAsia="仿宋_GB2312" w:cs="Times New Roman"/>
          <w:b/>
          <w:bCs/>
          <w:color w:val="000000"/>
          <w:sz w:val="32"/>
          <w:szCs w:val="32"/>
        </w:rPr>
        <w:t>4．荣誉称号加分</w:t>
      </w:r>
    </w:p>
    <w:p w14:paraId="11229917">
      <w:pPr>
        <w:adjustRightInd w:val="0"/>
        <w:snapToGrid w:val="0"/>
        <w:spacing w:line="56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国家级“三好学生”、“优秀学生干部”、“优秀团员或团干部”获得者加3.0。</w:t>
      </w:r>
    </w:p>
    <w:p w14:paraId="7757D0EF">
      <w:pPr>
        <w:adjustRightInd w:val="0"/>
        <w:snapToGrid w:val="0"/>
        <w:spacing w:line="56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省级“三好学生”、“优秀学生干部”、“优秀团员或团干部”获得者加1.5。</w:t>
      </w:r>
    </w:p>
    <w:p w14:paraId="7EF748E5">
      <w:pPr>
        <w:adjustRightInd w:val="0"/>
        <w:snapToGrid w:val="0"/>
        <w:spacing w:line="560" w:lineRule="exact"/>
        <w:ind w:firstLine="643" w:firstLineChars="200"/>
        <w:rPr>
          <w:rFonts w:ascii="Times New Roman" w:hAnsi="Times New Roman" w:eastAsia="仿宋_GB2312" w:cs="Times New Roman"/>
          <w:b/>
          <w:bCs/>
          <w:color w:val="000000"/>
          <w:sz w:val="32"/>
          <w:szCs w:val="32"/>
        </w:rPr>
      </w:pPr>
      <w:r>
        <w:rPr>
          <w:rFonts w:ascii="Times New Roman" w:hAnsi="Times New Roman" w:eastAsia="仿宋_GB2312" w:cs="Times New Roman"/>
          <w:b/>
          <w:bCs/>
          <w:color w:val="000000"/>
          <w:sz w:val="32"/>
          <w:szCs w:val="32"/>
        </w:rPr>
        <w:t>5．发明专利加分</w:t>
      </w:r>
    </w:p>
    <w:p w14:paraId="6FB484EE">
      <w:pPr>
        <w:adjustRightInd w:val="0"/>
        <w:snapToGrid w:val="0"/>
        <w:spacing w:line="56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拥有授权发明专利者（独立或排名第一）加2.0。</w:t>
      </w:r>
    </w:p>
    <w:p w14:paraId="7B5C9585">
      <w:pPr>
        <w:adjustRightInd w:val="0"/>
        <w:snapToGrid w:val="0"/>
        <w:spacing w:line="560" w:lineRule="exact"/>
        <w:ind w:firstLine="643" w:firstLineChars="200"/>
        <w:rPr>
          <w:rFonts w:ascii="Times New Roman" w:hAnsi="Times New Roman" w:eastAsia="仿宋_GB2312" w:cs="Times New Roman"/>
          <w:b/>
          <w:bCs/>
          <w:color w:val="000000"/>
          <w:sz w:val="32"/>
          <w:szCs w:val="32"/>
        </w:rPr>
      </w:pPr>
      <w:r>
        <w:rPr>
          <w:rFonts w:ascii="Times New Roman" w:hAnsi="Times New Roman" w:eastAsia="仿宋_GB2312" w:cs="Times New Roman"/>
          <w:b/>
          <w:bCs/>
          <w:color w:val="000000"/>
          <w:sz w:val="32"/>
          <w:szCs w:val="32"/>
        </w:rPr>
        <w:t>6．参军入伍服兵役加分</w:t>
      </w:r>
    </w:p>
    <w:p w14:paraId="29E10149">
      <w:pPr>
        <w:adjustRightInd w:val="0"/>
        <w:snapToGrid w:val="0"/>
        <w:spacing w:line="56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参军入伍服役加2.0。</w:t>
      </w:r>
    </w:p>
    <w:p w14:paraId="37FB0BA3">
      <w:pPr>
        <w:adjustRightInd w:val="0"/>
        <w:snapToGrid w:val="0"/>
        <w:spacing w:line="56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参军入伍服役并</w:t>
      </w:r>
      <w:r>
        <w:rPr>
          <w:rFonts w:hint="eastAsia" w:ascii="Times New Roman" w:hAnsi="Times New Roman" w:eastAsia="仿宋_GB2312" w:cs="Times New Roman"/>
          <w:color w:val="000000"/>
          <w:sz w:val="32"/>
          <w:szCs w:val="32"/>
        </w:rPr>
        <w:t>获得个人</w:t>
      </w:r>
      <w:r>
        <w:rPr>
          <w:rFonts w:ascii="Times New Roman" w:hAnsi="Times New Roman" w:eastAsia="仿宋_GB2312" w:cs="Times New Roman"/>
          <w:color w:val="000000"/>
          <w:sz w:val="32"/>
          <w:szCs w:val="32"/>
        </w:rPr>
        <w:t>“嘉奖”称号加2.2。</w:t>
      </w:r>
    </w:p>
    <w:p w14:paraId="34FA35F2">
      <w:pPr>
        <w:adjustRightInd w:val="0"/>
        <w:snapToGrid w:val="0"/>
        <w:spacing w:line="56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参军入伍服役并荣立部队</w:t>
      </w:r>
      <w:r>
        <w:rPr>
          <w:rFonts w:hint="eastAsia" w:ascii="Times New Roman" w:hAnsi="Times New Roman" w:eastAsia="仿宋_GB2312" w:cs="Times New Roman"/>
          <w:color w:val="000000"/>
          <w:sz w:val="32"/>
          <w:szCs w:val="32"/>
        </w:rPr>
        <w:t>个人</w:t>
      </w:r>
      <w:r>
        <w:rPr>
          <w:rFonts w:ascii="Times New Roman" w:hAnsi="Times New Roman" w:eastAsia="仿宋_GB2312" w:cs="Times New Roman"/>
          <w:color w:val="000000"/>
          <w:sz w:val="32"/>
          <w:szCs w:val="32"/>
        </w:rPr>
        <w:t>三等功加2.5。</w:t>
      </w:r>
    </w:p>
    <w:p w14:paraId="7DF4548F">
      <w:pPr>
        <w:adjustRightInd w:val="0"/>
        <w:snapToGrid w:val="0"/>
        <w:spacing w:line="56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参军入伍服役并荣立部队</w:t>
      </w:r>
      <w:r>
        <w:rPr>
          <w:rFonts w:hint="eastAsia" w:ascii="Times New Roman" w:hAnsi="Times New Roman" w:eastAsia="仿宋_GB2312" w:cs="Times New Roman"/>
          <w:color w:val="000000"/>
          <w:sz w:val="32"/>
          <w:szCs w:val="32"/>
        </w:rPr>
        <w:t>个人</w:t>
      </w:r>
      <w:r>
        <w:rPr>
          <w:rFonts w:ascii="Times New Roman" w:hAnsi="Times New Roman" w:eastAsia="仿宋_GB2312" w:cs="Times New Roman"/>
          <w:color w:val="000000"/>
          <w:sz w:val="32"/>
          <w:szCs w:val="32"/>
        </w:rPr>
        <w:t>二等功加3.0。</w:t>
      </w:r>
    </w:p>
    <w:p w14:paraId="215CF560">
      <w:pPr>
        <w:adjustRightInd w:val="0"/>
        <w:snapToGrid w:val="0"/>
        <w:spacing w:line="56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参军入伍服役并荣立部队</w:t>
      </w:r>
      <w:r>
        <w:rPr>
          <w:rFonts w:hint="eastAsia" w:ascii="Times New Roman" w:hAnsi="Times New Roman" w:eastAsia="仿宋_GB2312" w:cs="Times New Roman"/>
          <w:color w:val="000000"/>
          <w:sz w:val="32"/>
          <w:szCs w:val="32"/>
        </w:rPr>
        <w:t>个人</w:t>
      </w:r>
      <w:r>
        <w:rPr>
          <w:rFonts w:ascii="Times New Roman" w:hAnsi="Times New Roman" w:eastAsia="仿宋_GB2312" w:cs="Times New Roman"/>
          <w:color w:val="000000"/>
          <w:sz w:val="32"/>
          <w:szCs w:val="32"/>
        </w:rPr>
        <w:t>一等功加5.0。</w:t>
      </w:r>
    </w:p>
    <w:p w14:paraId="063E2E6F">
      <w:pPr>
        <w:adjustRightInd w:val="0"/>
        <w:snapToGrid w:val="0"/>
        <w:spacing w:line="560" w:lineRule="exact"/>
        <w:ind w:firstLine="643" w:firstLineChars="200"/>
        <w:rPr>
          <w:rFonts w:ascii="Times New Roman" w:hAnsi="Times New Roman" w:eastAsia="仿宋_GB2312" w:cs="Times New Roman"/>
          <w:b/>
          <w:bCs/>
          <w:color w:val="000000"/>
          <w:sz w:val="32"/>
          <w:szCs w:val="32"/>
        </w:rPr>
      </w:pPr>
      <w:r>
        <w:rPr>
          <w:rFonts w:ascii="Times New Roman" w:hAnsi="Times New Roman" w:eastAsia="仿宋_GB2312" w:cs="Times New Roman"/>
          <w:b/>
          <w:bCs/>
          <w:color w:val="000000"/>
          <w:sz w:val="32"/>
          <w:szCs w:val="32"/>
        </w:rPr>
        <w:t>7．国际组织实习加分</w:t>
      </w:r>
    </w:p>
    <w:p w14:paraId="1A88018A">
      <w:pPr>
        <w:adjustRightInd w:val="0"/>
        <w:snapToGrid w:val="0"/>
        <w:spacing w:line="56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由学校选派到国际组织实习一个月以上（含一个月）加1.0。</w:t>
      </w:r>
    </w:p>
    <w:p w14:paraId="6EAFBADC">
      <w:pPr>
        <w:adjustRightInd w:val="0"/>
        <w:snapToGrid w:val="0"/>
        <w:spacing w:line="560" w:lineRule="exact"/>
        <w:ind w:firstLine="643" w:firstLineChars="200"/>
        <w:rPr>
          <w:rFonts w:ascii="Times New Roman" w:hAnsi="Times New Roman" w:eastAsia="仿宋_GB2312" w:cs="Times New Roman"/>
          <w:b/>
          <w:bCs/>
          <w:color w:val="000000"/>
          <w:sz w:val="32"/>
          <w:szCs w:val="32"/>
        </w:rPr>
      </w:pPr>
      <w:r>
        <w:rPr>
          <w:rFonts w:ascii="Times New Roman" w:hAnsi="Times New Roman" w:eastAsia="仿宋_GB2312" w:cs="Times New Roman"/>
          <w:b/>
          <w:bCs/>
          <w:color w:val="000000"/>
          <w:sz w:val="32"/>
          <w:szCs w:val="32"/>
        </w:rPr>
        <w:t>8．体育竞赛加分</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1"/>
        <w:gridCol w:w="3360"/>
        <w:gridCol w:w="3541"/>
      </w:tblGrid>
      <w:tr w14:paraId="12322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951" w:type="pct"/>
            <w:vMerge w:val="restart"/>
            <w:vAlign w:val="center"/>
          </w:tcPr>
          <w:p w14:paraId="66A07ECF">
            <w:pPr>
              <w:widowControl/>
              <w:spacing w:before="100" w:beforeAutospacing="1" w:after="100" w:afterAutospacing="1"/>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竞赛类别</w:t>
            </w:r>
          </w:p>
        </w:tc>
        <w:tc>
          <w:tcPr>
            <w:tcW w:w="4048" w:type="pct"/>
            <w:gridSpan w:val="2"/>
            <w:vAlign w:val="center"/>
          </w:tcPr>
          <w:p w14:paraId="362DB2D3">
            <w:pPr>
              <w:widowControl/>
              <w:spacing w:before="100" w:beforeAutospacing="1" w:after="100" w:afterAutospacing="1"/>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加分分值</w:t>
            </w:r>
          </w:p>
        </w:tc>
      </w:tr>
      <w:tr w14:paraId="4B1D2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951" w:type="pct"/>
            <w:vMerge w:val="continue"/>
            <w:vAlign w:val="center"/>
          </w:tcPr>
          <w:p w14:paraId="29959F9C">
            <w:pPr>
              <w:widowControl/>
              <w:spacing w:before="100" w:beforeAutospacing="1" w:after="100" w:afterAutospacing="1"/>
              <w:jc w:val="center"/>
              <w:rPr>
                <w:rFonts w:ascii="Times New Roman" w:hAnsi="Times New Roman" w:eastAsia="仿宋_GB2312" w:cs="Times New Roman"/>
                <w:kern w:val="0"/>
                <w:szCs w:val="21"/>
              </w:rPr>
            </w:pPr>
          </w:p>
        </w:tc>
        <w:tc>
          <w:tcPr>
            <w:tcW w:w="1971" w:type="pct"/>
            <w:vAlign w:val="center"/>
          </w:tcPr>
          <w:p w14:paraId="6C18EA1A">
            <w:pPr>
              <w:widowControl/>
              <w:spacing w:before="100" w:beforeAutospacing="1" w:after="100" w:afterAutospacing="1"/>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第一等级</w:t>
            </w:r>
          </w:p>
        </w:tc>
        <w:tc>
          <w:tcPr>
            <w:tcW w:w="2077" w:type="pct"/>
            <w:vAlign w:val="center"/>
          </w:tcPr>
          <w:p w14:paraId="12D9DDC3">
            <w:pPr>
              <w:widowControl/>
              <w:spacing w:before="100" w:beforeAutospacing="1" w:after="100" w:afterAutospacing="1"/>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第二等级</w:t>
            </w:r>
          </w:p>
        </w:tc>
      </w:tr>
      <w:tr w14:paraId="7A4C4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951" w:type="pct"/>
            <w:vAlign w:val="center"/>
          </w:tcPr>
          <w:p w14:paraId="397F4283">
            <w:pPr>
              <w:widowControl/>
              <w:spacing w:before="100" w:beforeAutospacing="1" w:after="100" w:afterAutospacing="1"/>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国赛</w:t>
            </w:r>
          </w:p>
          <w:p w14:paraId="622780F7">
            <w:pPr>
              <w:widowControl/>
              <w:spacing w:before="100" w:beforeAutospacing="1" w:after="100" w:afterAutospacing="1"/>
              <w:jc w:val="center"/>
              <w:rPr>
                <w:rFonts w:ascii="Times New Roman" w:hAnsi="Times New Roman" w:eastAsia="仿宋_GB2312" w:cs="Times New Roman"/>
                <w:kern w:val="0"/>
                <w:szCs w:val="21"/>
              </w:rPr>
            </w:pPr>
          </w:p>
        </w:tc>
        <w:tc>
          <w:tcPr>
            <w:tcW w:w="1971" w:type="pct"/>
            <w:vAlign w:val="center"/>
          </w:tcPr>
          <w:p w14:paraId="208B7AB8">
            <w:pPr>
              <w:widowControl/>
              <w:spacing w:before="100" w:beforeAutospacing="1" w:after="100" w:afterAutospacing="1"/>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第一名 3.5</w:t>
            </w:r>
          </w:p>
          <w:p w14:paraId="21EFA968">
            <w:pPr>
              <w:widowControl/>
              <w:spacing w:before="100" w:beforeAutospacing="1" w:after="100" w:afterAutospacing="1"/>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第二名 3.0</w:t>
            </w:r>
          </w:p>
          <w:p w14:paraId="0242B5FB">
            <w:pPr>
              <w:widowControl/>
              <w:spacing w:before="100" w:beforeAutospacing="1" w:after="100" w:afterAutospacing="1"/>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第三名 2.5</w:t>
            </w:r>
          </w:p>
          <w:p w14:paraId="544BFE54">
            <w:pPr>
              <w:widowControl/>
              <w:spacing w:before="100" w:beforeAutospacing="1" w:after="100" w:afterAutospacing="1"/>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第四名 2.0</w:t>
            </w:r>
          </w:p>
          <w:p w14:paraId="0268B370">
            <w:pPr>
              <w:widowControl/>
              <w:spacing w:before="100" w:beforeAutospacing="1" w:after="100" w:afterAutospacing="1"/>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第五名 1.5</w:t>
            </w:r>
          </w:p>
          <w:p w14:paraId="05B88EC8">
            <w:pPr>
              <w:widowControl/>
              <w:spacing w:before="100" w:beforeAutospacing="1" w:after="100" w:afterAutospacing="1"/>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第六名 1.0</w:t>
            </w:r>
          </w:p>
          <w:p w14:paraId="144A3FE4">
            <w:pPr>
              <w:widowControl/>
              <w:spacing w:before="100" w:beforeAutospacing="1" w:after="100" w:afterAutospacing="1"/>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第七名 0.8</w:t>
            </w:r>
          </w:p>
          <w:p w14:paraId="7F81BEE5">
            <w:pPr>
              <w:widowControl/>
              <w:spacing w:before="100" w:beforeAutospacing="1" w:after="100" w:afterAutospacing="1"/>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第八名 0.6</w:t>
            </w:r>
          </w:p>
        </w:tc>
        <w:tc>
          <w:tcPr>
            <w:tcW w:w="2077" w:type="pct"/>
            <w:vAlign w:val="center"/>
          </w:tcPr>
          <w:p w14:paraId="2F85472C">
            <w:pPr>
              <w:widowControl/>
              <w:spacing w:before="100" w:beforeAutospacing="1" w:after="100" w:afterAutospacing="1"/>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第一名 2.0</w:t>
            </w:r>
          </w:p>
          <w:p w14:paraId="27083B7A">
            <w:pPr>
              <w:widowControl/>
              <w:spacing w:before="100" w:beforeAutospacing="1" w:after="100" w:afterAutospacing="1"/>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第二名 1.5</w:t>
            </w:r>
          </w:p>
          <w:p w14:paraId="01DE7EA8">
            <w:pPr>
              <w:widowControl/>
              <w:spacing w:before="100" w:beforeAutospacing="1" w:after="100" w:afterAutospacing="1"/>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第三名 1.0</w:t>
            </w:r>
          </w:p>
          <w:p w14:paraId="4FADA382">
            <w:pPr>
              <w:widowControl/>
              <w:spacing w:before="100" w:beforeAutospacing="1" w:after="100" w:afterAutospacing="1"/>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第四名 0.8</w:t>
            </w:r>
          </w:p>
          <w:p w14:paraId="5366A013">
            <w:pPr>
              <w:widowControl/>
              <w:spacing w:before="100" w:beforeAutospacing="1" w:after="100" w:afterAutospacing="1"/>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第五名 0.7</w:t>
            </w:r>
          </w:p>
          <w:p w14:paraId="2317CE53">
            <w:pPr>
              <w:widowControl/>
              <w:spacing w:before="100" w:beforeAutospacing="1" w:after="100" w:afterAutospacing="1"/>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第六名 0.6</w:t>
            </w:r>
          </w:p>
          <w:p w14:paraId="6352FC53">
            <w:pPr>
              <w:widowControl/>
              <w:spacing w:before="100" w:beforeAutospacing="1" w:after="100" w:afterAutospacing="1"/>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第七名 0.5</w:t>
            </w:r>
          </w:p>
          <w:p w14:paraId="01A6E282">
            <w:pPr>
              <w:widowControl/>
              <w:spacing w:before="100" w:beforeAutospacing="1" w:after="100" w:afterAutospacing="1"/>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第八名 0.4</w:t>
            </w:r>
          </w:p>
        </w:tc>
      </w:tr>
      <w:tr w14:paraId="7646E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jc w:val="center"/>
        </w:trPr>
        <w:tc>
          <w:tcPr>
            <w:tcW w:w="951" w:type="pct"/>
            <w:vAlign w:val="center"/>
          </w:tcPr>
          <w:p w14:paraId="5C402B0B">
            <w:pPr>
              <w:widowControl/>
              <w:spacing w:before="100" w:beforeAutospacing="1" w:after="100" w:afterAutospacing="1"/>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省赛</w:t>
            </w:r>
          </w:p>
          <w:p w14:paraId="24C036F7">
            <w:pPr>
              <w:widowControl/>
              <w:spacing w:before="100" w:beforeAutospacing="1" w:after="100" w:afterAutospacing="1"/>
              <w:jc w:val="center"/>
              <w:rPr>
                <w:rFonts w:ascii="Times New Roman" w:hAnsi="Times New Roman" w:eastAsia="仿宋_GB2312" w:cs="Times New Roman"/>
                <w:kern w:val="0"/>
                <w:szCs w:val="21"/>
              </w:rPr>
            </w:pPr>
          </w:p>
        </w:tc>
        <w:tc>
          <w:tcPr>
            <w:tcW w:w="1971" w:type="pct"/>
            <w:vAlign w:val="center"/>
          </w:tcPr>
          <w:p w14:paraId="7D095FC5">
            <w:pPr>
              <w:widowControl/>
              <w:spacing w:before="100" w:beforeAutospacing="1" w:after="100" w:afterAutospacing="1"/>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第一名 1.5</w:t>
            </w:r>
          </w:p>
          <w:p w14:paraId="6BABF1B0">
            <w:pPr>
              <w:widowControl/>
              <w:spacing w:before="100" w:beforeAutospacing="1" w:after="100" w:afterAutospacing="1"/>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第二名 1.0</w:t>
            </w:r>
          </w:p>
          <w:p w14:paraId="3E63E725">
            <w:pPr>
              <w:widowControl/>
              <w:spacing w:before="100" w:beforeAutospacing="1" w:after="100" w:afterAutospacing="1"/>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第三名 0.8</w:t>
            </w:r>
          </w:p>
          <w:p w14:paraId="19A75A2C">
            <w:pPr>
              <w:widowControl/>
              <w:spacing w:before="100" w:beforeAutospacing="1" w:after="100" w:afterAutospacing="1"/>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第四名 0.7</w:t>
            </w:r>
          </w:p>
          <w:p w14:paraId="443B1AC2">
            <w:pPr>
              <w:widowControl/>
              <w:spacing w:before="100" w:beforeAutospacing="1" w:after="100" w:afterAutospacing="1"/>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第五名 0.6</w:t>
            </w:r>
          </w:p>
          <w:p w14:paraId="2A7E56F9">
            <w:pPr>
              <w:widowControl/>
              <w:spacing w:before="100" w:beforeAutospacing="1" w:after="100" w:afterAutospacing="1"/>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第六名 0.5</w:t>
            </w:r>
          </w:p>
          <w:p w14:paraId="4BDB67C5">
            <w:pPr>
              <w:widowControl/>
              <w:spacing w:before="100" w:beforeAutospacing="1" w:after="100" w:afterAutospacing="1"/>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第七名 0.4</w:t>
            </w:r>
          </w:p>
          <w:p w14:paraId="3B28DE30">
            <w:pPr>
              <w:widowControl/>
              <w:spacing w:before="100" w:beforeAutospacing="1" w:after="100" w:afterAutospacing="1"/>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第八名 0.3</w:t>
            </w:r>
          </w:p>
        </w:tc>
        <w:tc>
          <w:tcPr>
            <w:tcW w:w="2077" w:type="pct"/>
            <w:vAlign w:val="center"/>
          </w:tcPr>
          <w:p w14:paraId="29E0A750">
            <w:pPr>
              <w:widowControl/>
              <w:spacing w:before="100" w:beforeAutospacing="1" w:after="100" w:afterAutospacing="1"/>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第一名 1.0</w:t>
            </w:r>
          </w:p>
          <w:p w14:paraId="2A7F73AB">
            <w:pPr>
              <w:widowControl/>
              <w:spacing w:before="100" w:beforeAutospacing="1" w:after="100" w:afterAutospacing="1"/>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第二名 0.8</w:t>
            </w:r>
          </w:p>
          <w:p w14:paraId="76852529">
            <w:pPr>
              <w:widowControl/>
              <w:spacing w:before="100" w:beforeAutospacing="1" w:after="100" w:afterAutospacing="1"/>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第三名 0.6</w:t>
            </w:r>
          </w:p>
          <w:p w14:paraId="6CEF7F04">
            <w:pPr>
              <w:widowControl/>
              <w:spacing w:before="100" w:beforeAutospacing="1" w:after="100" w:afterAutospacing="1"/>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第四名 0.5</w:t>
            </w:r>
          </w:p>
          <w:p w14:paraId="3AE8B6A9">
            <w:pPr>
              <w:widowControl/>
              <w:spacing w:before="100" w:beforeAutospacing="1" w:after="100" w:afterAutospacing="1"/>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第五名 0.4</w:t>
            </w:r>
          </w:p>
          <w:p w14:paraId="0CB45521">
            <w:pPr>
              <w:widowControl/>
              <w:spacing w:before="100" w:beforeAutospacing="1" w:after="100" w:afterAutospacing="1"/>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第六名 0.3</w:t>
            </w:r>
          </w:p>
          <w:p w14:paraId="7D327D65">
            <w:pPr>
              <w:widowControl/>
              <w:spacing w:before="100" w:beforeAutospacing="1" w:after="100" w:afterAutospacing="1"/>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第七名 0.2</w:t>
            </w:r>
          </w:p>
          <w:p w14:paraId="1501848E">
            <w:pPr>
              <w:widowControl/>
              <w:spacing w:before="100" w:beforeAutospacing="1" w:after="100" w:afterAutospacing="1"/>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第八名 0.1</w:t>
            </w:r>
          </w:p>
        </w:tc>
      </w:tr>
    </w:tbl>
    <w:p w14:paraId="1A3CCB43">
      <w:pPr>
        <w:adjustRightInd w:val="0"/>
        <w:snapToGrid w:val="0"/>
        <w:spacing w:line="56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说明：</w:t>
      </w:r>
    </w:p>
    <w:p w14:paraId="294E9518">
      <w:pPr>
        <w:numPr>
          <w:ilvl w:val="0"/>
          <w:numId w:val="2"/>
        </w:numPr>
        <w:adjustRightInd w:val="0"/>
        <w:snapToGrid w:val="0"/>
        <w:spacing w:line="56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竞赛不累计加分，同一赛事取得多个名次以及多次赛事均以最高名次计算；</w:t>
      </w:r>
    </w:p>
    <w:p w14:paraId="46BA85B2">
      <w:pPr>
        <w:numPr>
          <w:ilvl w:val="0"/>
          <w:numId w:val="2"/>
        </w:numPr>
        <w:adjustRightInd w:val="0"/>
        <w:snapToGrid w:val="0"/>
        <w:spacing w:line="56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竞赛类别加分：</w:t>
      </w:r>
    </w:p>
    <w:p w14:paraId="7CA7DE8B">
      <w:pPr>
        <w:adjustRightInd w:val="0"/>
        <w:snapToGrid w:val="0"/>
        <w:spacing w:line="56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国赛第一等级仅限国家体育总局、教育部、中国大学生体育协会主办的全国学生(青年)运动会，第二等级仅限于中国大学生体育协会主办的各单项赛事。</w:t>
      </w:r>
    </w:p>
    <w:p w14:paraId="4F117561">
      <w:pPr>
        <w:adjustRightInd w:val="0"/>
        <w:snapToGrid w:val="0"/>
        <w:spacing w:line="56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省赛第一等级仅限江苏省教育厅、江苏省体育局主办的江苏省运动会高校部比赛，第二等级仅限江苏省教育厅、江苏省学生体协主办的各单项赛事。</w:t>
      </w:r>
    </w:p>
    <w:p w14:paraId="6BD0DFE1">
      <w:pPr>
        <w:numPr>
          <w:ilvl w:val="0"/>
          <w:numId w:val="2"/>
        </w:numPr>
        <w:adjustRightInd w:val="0"/>
        <w:snapToGrid w:val="0"/>
        <w:spacing w:line="56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个人项目以实际取得名次计算，项目包括田径、游泳、乒乓球、羽毛球、网球、健美操、啦啦操、艺术体操等。</w:t>
      </w:r>
    </w:p>
    <w:p w14:paraId="4729AC2E">
      <w:pPr>
        <w:numPr>
          <w:ilvl w:val="0"/>
          <w:numId w:val="2"/>
        </w:numPr>
        <w:adjustRightInd w:val="0"/>
        <w:snapToGrid w:val="0"/>
        <w:spacing w:line="56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集体项目按比赛规程规定报名人数的70%(四舍五入计算方法)为主力，以实际名次加分，替补队员按主力队员加分分值的60%加分。</w:t>
      </w:r>
    </w:p>
    <w:p w14:paraId="24BF3ADA">
      <w:pPr>
        <w:numPr>
          <w:ilvl w:val="0"/>
          <w:numId w:val="2"/>
        </w:numPr>
        <w:adjustRightInd w:val="0"/>
        <w:snapToGrid w:val="0"/>
        <w:spacing w:line="56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所有体育竞赛项目类别、获奖等级和排名加分，由体育部负责认定。</w:t>
      </w:r>
      <w:bookmarkStart w:id="4" w:name="_GoBack"/>
      <w:bookmarkEnd w:id="4"/>
    </w:p>
    <w:p w14:paraId="0227AC6F"/>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09743035"/>
      <w:docPartObj>
        <w:docPartGallery w:val="autotext"/>
      </w:docPartObj>
    </w:sdtPr>
    <w:sdtContent>
      <w:p w14:paraId="4EDFD470">
        <w:pPr>
          <w:pStyle w:val="4"/>
          <w:numPr>
            <w:ilvl w:val="0"/>
            <w:numId w:val="1"/>
          </w:numPr>
          <w:jc w:val="cente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PAGE   \* MERGEFORMAT</w:instrText>
        </w:r>
        <w:r>
          <w:rPr>
            <w:rFonts w:ascii="Times New Roman" w:hAnsi="Times New Roman" w:cs="Times New Roman"/>
            <w:sz w:val="28"/>
            <w:szCs w:val="28"/>
          </w:rPr>
          <w:fldChar w:fldCharType="separate"/>
        </w:r>
        <w:r>
          <w:rPr>
            <w:rFonts w:ascii="Times New Roman" w:hAnsi="Times New Roman" w:cs="Times New Roman"/>
            <w:sz w:val="28"/>
            <w:szCs w:val="28"/>
            <w:lang w:val="zh-CN"/>
          </w:rPr>
          <w:t>1</w:t>
        </w:r>
        <w:r>
          <w:rPr>
            <w:rFonts w:ascii="Times New Roman" w:hAnsi="Times New Roman" w:cs="Times New Roman"/>
            <w:sz w:val="28"/>
            <w:szCs w:val="28"/>
          </w:rPr>
          <w:fldChar w:fldCharType="end"/>
        </w:r>
        <w:r>
          <w:rPr>
            <w:rFonts w:ascii="Times New Roman" w:hAnsi="Times New Roman" w:cs="Times New Roman"/>
            <w:sz w:val="28"/>
            <w:szCs w:val="28"/>
          </w:rPr>
          <w:t xml:space="preserve"> —</w:t>
        </w:r>
      </w:p>
    </w:sdtContent>
  </w:sdt>
  <w:p w14:paraId="50C54552">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CB942D9"/>
    <w:multiLevelType w:val="multilevel"/>
    <w:tmpl w:val="3CB942D9"/>
    <w:lvl w:ilvl="0" w:tentative="0">
      <w:start w:val="0"/>
      <w:numFmt w:val="bullet"/>
      <w:lvlText w:val="—"/>
      <w:lvlJc w:val="left"/>
      <w:pPr>
        <w:ind w:left="360" w:hanging="360"/>
      </w:pPr>
      <w:rPr>
        <w:rFonts w:hint="default" w:ascii="Times New Roman" w:hAnsi="Times New Roman" w:cs="Times New Roman" w:eastAsiaTheme="minorEastAsia"/>
        <w:sz w:val="28"/>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1">
    <w:nsid w:val="5F7FB13E"/>
    <w:multiLevelType w:val="singleLevel"/>
    <w:tmpl w:val="5F7FB13E"/>
    <w:lvl w:ilvl="0" w:tentative="0">
      <w:start w:val="1"/>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1"/>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llYjYzNTJjYmVjY2FiMmUwOWM0MzFiYjg2NjUzODcifQ=="/>
  </w:docVars>
  <w:rsids>
    <w:rsidRoot w:val="26F07977"/>
    <w:rsid w:val="00000C49"/>
    <w:rsid w:val="00003897"/>
    <w:rsid w:val="00016C3F"/>
    <w:rsid w:val="00016E1E"/>
    <w:rsid w:val="00023D3C"/>
    <w:rsid w:val="00036D26"/>
    <w:rsid w:val="00045B94"/>
    <w:rsid w:val="00046063"/>
    <w:rsid w:val="000520E1"/>
    <w:rsid w:val="000523B8"/>
    <w:rsid w:val="00054D9F"/>
    <w:rsid w:val="00063D64"/>
    <w:rsid w:val="00076C8A"/>
    <w:rsid w:val="000A4252"/>
    <w:rsid w:val="000B25CE"/>
    <w:rsid w:val="000B492A"/>
    <w:rsid w:val="000B5952"/>
    <w:rsid w:val="000B7B86"/>
    <w:rsid w:val="000E44CB"/>
    <w:rsid w:val="000E5174"/>
    <w:rsid w:val="001071FC"/>
    <w:rsid w:val="001306F3"/>
    <w:rsid w:val="00153F88"/>
    <w:rsid w:val="001669AF"/>
    <w:rsid w:val="001A1497"/>
    <w:rsid w:val="001B5311"/>
    <w:rsid w:val="001C31F7"/>
    <w:rsid w:val="001C5CD3"/>
    <w:rsid w:val="001C5E95"/>
    <w:rsid w:val="001F2EF4"/>
    <w:rsid w:val="0020401F"/>
    <w:rsid w:val="00204224"/>
    <w:rsid w:val="00215206"/>
    <w:rsid w:val="00227592"/>
    <w:rsid w:val="002357FC"/>
    <w:rsid w:val="00246FC1"/>
    <w:rsid w:val="00255447"/>
    <w:rsid w:val="002559DD"/>
    <w:rsid w:val="002A2D9A"/>
    <w:rsid w:val="002A775A"/>
    <w:rsid w:val="002B72FE"/>
    <w:rsid w:val="002C3C47"/>
    <w:rsid w:val="002D0BCE"/>
    <w:rsid w:val="002D783B"/>
    <w:rsid w:val="00302F14"/>
    <w:rsid w:val="0031462F"/>
    <w:rsid w:val="00322D1D"/>
    <w:rsid w:val="00334FE2"/>
    <w:rsid w:val="00337C4D"/>
    <w:rsid w:val="00352F47"/>
    <w:rsid w:val="00362CB8"/>
    <w:rsid w:val="00376B0E"/>
    <w:rsid w:val="003A2A0E"/>
    <w:rsid w:val="003B1D89"/>
    <w:rsid w:val="003C42F7"/>
    <w:rsid w:val="003E3E7C"/>
    <w:rsid w:val="00402525"/>
    <w:rsid w:val="00403BEE"/>
    <w:rsid w:val="00411CD6"/>
    <w:rsid w:val="00422D47"/>
    <w:rsid w:val="00424745"/>
    <w:rsid w:val="004249A6"/>
    <w:rsid w:val="00435C68"/>
    <w:rsid w:val="004367D5"/>
    <w:rsid w:val="0043734C"/>
    <w:rsid w:val="00441054"/>
    <w:rsid w:val="0044115A"/>
    <w:rsid w:val="00441DB1"/>
    <w:rsid w:val="00444CDD"/>
    <w:rsid w:val="00454F42"/>
    <w:rsid w:val="004634DB"/>
    <w:rsid w:val="004728A1"/>
    <w:rsid w:val="00472B8D"/>
    <w:rsid w:val="00473680"/>
    <w:rsid w:val="004A3CDD"/>
    <w:rsid w:val="004A3EBD"/>
    <w:rsid w:val="004D49BF"/>
    <w:rsid w:val="004E2FE2"/>
    <w:rsid w:val="00512CC7"/>
    <w:rsid w:val="005140B1"/>
    <w:rsid w:val="00536C95"/>
    <w:rsid w:val="005370AC"/>
    <w:rsid w:val="005415D9"/>
    <w:rsid w:val="005422A8"/>
    <w:rsid w:val="00542420"/>
    <w:rsid w:val="00543168"/>
    <w:rsid w:val="00545522"/>
    <w:rsid w:val="005602D7"/>
    <w:rsid w:val="005672C6"/>
    <w:rsid w:val="00584A99"/>
    <w:rsid w:val="00585D81"/>
    <w:rsid w:val="005A0B7F"/>
    <w:rsid w:val="005B039D"/>
    <w:rsid w:val="005D3C03"/>
    <w:rsid w:val="005D71BB"/>
    <w:rsid w:val="005E2B09"/>
    <w:rsid w:val="005E7D69"/>
    <w:rsid w:val="005F21E0"/>
    <w:rsid w:val="005F7659"/>
    <w:rsid w:val="00623FD1"/>
    <w:rsid w:val="00633C80"/>
    <w:rsid w:val="006367C1"/>
    <w:rsid w:val="00644C7A"/>
    <w:rsid w:val="0066222B"/>
    <w:rsid w:val="00663E31"/>
    <w:rsid w:val="00674507"/>
    <w:rsid w:val="00685E50"/>
    <w:rsid w:val="00686E95"/>
    <w:rsid w:val="006969DD"/>
    <w:rsid w:val="006A6C06"/>
    <w:rsid w:val="006C731C"/>
    <w:rsid w:val="006D5111"/>
    <w:rsid w:val="006D5C74"/>
    <w:rsid w:val="007223A1"/>
    <w:rsid w:val="0074220C"/>
    <w:rsid w:val="00752064"/>
    <w:rsid w:val="00761E71"/>
    <w:rsid w:val="007806A8"/>
    <w:rsid w:val="00780747"/>
    <w:rsid w:val="0079688A"/>
    <w:rsid w:val="007A2A24"/>
    <w:rsid w:val="007B0C60"/>
    <w:rsid w:val="007C01E0"/>
    <w:rsid w:val="007C3F45"/>
    <w:rsid w:val="007D5DF1"/>
    <w:rsid w:val="007D6CB4"/>
    <w:rsid w:val="007F0F05"/>
    <w:rsid w:val="007F7B68"/>
    <w:rsid w:val="00801AE9"/>
    <w:rsid w:val="00803438"/>
    <w:rsid w:val="008070D8"/>
    <w:rsid w:val="00811B45"/>
    <w:rsid w:val="0081569A"/>
    <w:rsid w:val="00837D83"/>
    <w:rsid w:val="008707FB"/>
    <w:rsid w:val="0087386B"/>
    <w:rsid w:val="0087592B"/>
    <w:rsid w:val="00897265"/>
    <w:rsid w:val="008A4AAF"/>
    <w:rsid w:val="008B7775"/>
    <w:rsid w:val="008D472D"/>
    <w:rsid w:val="008D5442"/>
    <w:rsid w:val="008D7337"/>
    <w:rsid w:val="008E6514"/>
    <w:rsid w:val="008F4B6D"/>
    <w:rsid w:val="00901009"/>
    <w:rsid w:val="00901E66"/>
    <w:rsid w:val="00906079"/>
    <w:rsid w:val="00912DA5"/>
    <w:rsid w:val="0092379E"/>
    <w:rsid w:val="00927AEB"/>
    <w:rsid w:val="009329A2"/>
    <w:rsid w:val="00936FB2"/>
    <w:rsid w:val="00942E9E"/>
    <w:rsid w:val="009508A2"/>
    <w:rsid w:val="009605DE"/>
    <w:rsid w:val="00961BB3"/>
    <w:rsid w:val="0096612A"/>
    <w:rsid w:val="0098608A"/>
    <w:rsid w:val="00991614"/>
    <w:rsid w:val="009D42C4"/>
    <w:rsid w:val="009E4222"/>
    <w:rsid w:val="00A03541"/>
    <w:rsid w:val="00A0427C"/>
    <w:rsid w:val="00A049CC"/>
    <w:rsid w:val="00A22BBC"/>
    <w:rsid w:val="00A32475"/>
    <w:rsid w:val="00A34B85"/>
    <w:rsid w:val="00A350C2"/>
    <w:rsid w:val="00A351DD"/>
    <w:rsid w:val="00A45E3F"/>
    <w:rsid w:val="00A6477E"/>
    <w:rsid w:val="00A8360E"/>
    <w:rsid w:val="00A83CA4"/>
    <w:rsid w:val="00A90E43"/>
    <w:rsid w:val="00AC5239"/>
    <w:rsid w:val="00AD171A"/>
    <w:rsid w:val="00B00F87"/>
    <w:rsid w:val="00B0619D"/>
    <w:rsid w:val="00B13E03"/>
    <w:rsid w:val="00B1727D"/>
    <w:rsid w:val="00B36375"/>
    <w:rsid w:val="00B37473"/>
    <w:rsid w:val="00B50C09"/>
    <w:rsid w:val="00B52863"/>
    <w:rsid w:val="00B55E76"/>
    <w:rsid w:val="00B56C10"/>
    <w:rsid w:val="00B6107D"/>
    <w:rsid w:val="00B645BC"/>
    <w:rsid w:val="00B71D54"/>
    <w:rsid w:val="00B96AAD"/>
    <w:rsid w:val="00BB5896"/>
    <w:rsid w:val="00BB67EA"/>
    <w:rsid w:val="00BD7960"/>
    <w:rsid w:val="00BE45DF"/>
    <w:rsid w:val="00BE583B"/>
    <w:rsid w:val="00BE6472"/>
    <w:rsid w:val="00BE6870"/>
    <w:rsid w:val="00BF0CFA"/>
    <w:rsid w:val="00C00188"/>
    <w:rsid w:val="00C04DC7"/>
    <w:rsid w:val="00C26B6F"/>
    <w:rsid w:val="00C4024F"/>
    <w:rsid w:val="00C40DD0"/>
    <w:rsid w:val="00C42522"/>
    <w:rsid w:val="00C4357D"/>
    <w:rsid w:val="00C45C1E"/>
    <w:rsid w:val="00C470BF"/>
    <w:rsid w:val="00C50843"/>
    <w:rsid w:val="00C53C3E"/>
    <w:rsid w:val="00C56723"/>
    <w:rsid w:val="00C764F9"/>
    <w:rsid w:val="00C86ACC"/>
    <w:rsid w:val="00CB51B7"/>
    <w:rsid w:val="00CD555A"/>
    <w:rsid w:val="00CE3BBA"/>
    <w:rsid w:val="00CE62FE"/>
    <w:rsid w:val="00CF6B80"/>
    <w:rsid w:val="00D05156"/>
    <w:rsid w:val="00D13F3F"/>
    <w:rsid w:val="00D25F5F"/>
    <w:rsid w:val="00D31F8B"/>
    <w:rsid w:val="00D368C5"/>
    <w:rsid w:val="00D66386"/>
    <w:rsid w:val="00D7304F"/>
    <w:rsid w:val="00D74307"/>
    <w:rsid w:val="00D75D1E"/>
    <w:rsid w:val="00D768E4"/>
    <w:rsid w:val="00D81807"/>
    <w:rsid w:val="00D96B6D"/>
    <w:rsid w:val="00DA72F7"/>
    <w:rsid w:val="00DC63F4"/>
    <w:rsid w:val="00DD2282"/>
    <w:rsid w:val="00DE487A"/>
    <w:rsid w:val="00DE6249"/>
    <w:rsid w:val="00DE7624"/>
    <w:rsid w:val="00DE7944"/>
    <w:rsid w:val="00E01441"/>
    <w:rsid w:val="00E07B28"/>
    <w:rsid w:val="00E106BF"/>
    <w:rsid w:val="00E108E4"/>
    <w:rsid w:val="00E11CD8"/>
    <w:rsid w:val="00E26E31"/>
    <w:rsid w:val="00E41932"/>
    <w:rsid w:val="00E5436B"/>
    <w:rsid w:val="00E56726"/>
    <w:rsid w:val="00E66141"/>
    <w:rsid w:val="00E66BA1"/>
    <w:rsid w:val="00E7509E"/>
    <w:rsid w:val="00E978E5"/>
    <w:rsid w:val="00EA1606"/>
    <w:rsid w:val="00EB478B"/>
    <w:rsid w:val="00EE1D83"/>
    <w:rsid w:val="00EF4F6B"/>
    <w:rsid w:val="00EF61D1"/>
    <w:rsid w:val="00F01AC9"/>
    <w:rsid w:val="00F0493C"/>
    <w:rsid w:val="00F27D0A"/>
    <w:rsid w:val="00F3238F"/>
    <w:rsid w:val="00F35D42"/>
    <w:rsid w:val="00F40FC1"/>
    <w:rsid w:val="00F57EF3"/>
    <w:rsid w:val="00F7220E"/>
    <w:rsid w:val="00F7651A"/>
    <w:rsid w:val="00F91CC9"/>
    <w:rsid w:val="00F9635C"/>
    <w:rsid w:val="00FA6575"/>
    <w:rsid w:val="00FB2E5A"/>
    <w:rsid w:val="00FD009B"/>
    <w:rsid w:val="029828B9"/>
    <w:rsid w:val="05104813"/>
    <w:rsid w:val="076A3A20"/>
    <w:rsid w:val="0B620943"/>
    <w:rsid w:val="0C6229B4"/>
    <w:rsid w:val="11754938"/>
    <w:rsid w:val="177826E7"/>
    <w:rsid w:val="177F3775"/>
    <w:rsid w:val="228E609B"/>
    <w:rsid w:val="241B779B"/>
    <w:rsid w:val="26F07977"/>
    <w:rsid w:val="28966FA2"/>
    <w:rsid w:val="310D781E"/>
    <w:rsid w:val="38DE7C2A"/>
    <w:rsid w:val="39671D8E"/>
    <w:rsid w:val="46D15134"/>
    <w:rsid w:val="49887DBA"/>
    <w:rsid w:val="4BAF57F0"/>
    <w:rsid w:val="4ECD707C"/>
    <w:rsid w:val="55FF1B43"/>
    <w:rsid w:val="58013074"/>
    <w:rsid w:val="5A4C09F1"/>
    <w:rsid w:val="5B3A56B2"/>
    <w:rsid w:val="5DED7EE9"/>
    <w:rsid w:val="5EAE582B"/>
    <w:rsid w:val="692956CD"/>
    <w:rsid w:val="6BDC3B14"/>
    <w:rsid w:val="6DCC5A2D"/>
    <w:rsid w:val="753C112E"/>
    <w:rsid w:val="783E7450"/>
    <w:rsid w:val="799A79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99" w:semiHidden="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unhideWhenUsed/>
    <w:qFormat/>
    <w:uiPriority w:val="99"/>
    <w:pPr>
      <w:jc w:val="left"/>
    </w:pPr>
  </w:style>
  <w:style w:type="paragraph" w:styleId="3">
    <w:name w:val="Balloon Text"/>
    <w:basedOn w:val="1"/>
    <w:link w:val="13"/>
    <w:semiHidden/>
    <w:unhideWhenUsed/>
    <w:qFormat/>
    <w:uiPriority w:val="0"/>
    <w:rPr>
      <w:sz w:val="18"/>
      <w:szCs w:val="18"/>
    </w:rPr>
  </w:style>
  <w:style w:type="paragraph" w:styleId="4">
    <w:name w:val="footer"/>
    <w:basedOn w:val="1"/>
    <w:link w:val="11"/>
    <w:qFormat/>
    <w:uiPriority w:val="99"/>
    <w:pPr>
      <w:tabs>
        <w:tab w:val="center" w:pos="4153"/>
        <w:tab w:val="right" w:pos="8306"/>
      </w:tabs>
      <w:snapToGrid w:val="0"/>
      <w:jc w:val="left"/>
    </w:pPr>
    <w:rPr>
      <w:sz w:val="18"/>
      <w:szCs w:val="18"/>
    </w:rPr>
  </w:style>
  <w:style w:type="paragraph" w:styleId="5">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6">
    <w:name w:val="Title"/>
    <w:basedOn w:val="1"/>
    <w:next w:val="1"/>
    <w:qFormat/>
    <w:uiPriority w:val="0"/>
    <w:pPr>
      <w:spacing w:before="240" w:after="60"/>
      <w:jc w:val="center"/>
      <w:outlineLvl w:val="0"/>
    </w:pPr>
    <w:rPr>
      <w:rFonts w:ascii="Cambria" w:hAnsi="Cambria" w:eastAsia="宋体" w:cs="Times New Roman"/>
      <w:b/>
      <w:bCs/>
      <w:sz w:val="32"/>
      <w:szCs w:val="32"/>
    </w:rPr>
  </w:style>
  <w:style w:type="character" w:styleId="9">
    <w:name w:val="Strong"/>
    <w:basedOn w:val="8"/>
    <w:qFormat/>
    <w:uiPriority w:val="22"/>
    <w:rPr>
      <w:b/>
      <w:bCs/>
    </w:rPr>
  </w:style>
  <w:style w:type="character" w:customStyle="1" w:styleId="10">
    <w:name w:val="页眉 Char"/>
    <w:basedOn w:val="8"/>
    <w:link w:val="5"/>
    <w:qFormat/>
    <w:uiPriority w:val="0"/>
    <w:rPr>
      <w:rFonts w:asciiTheme="minorHAnsi" w:hAnsiTheme="minorHAnsi" w:eastAsiaTheme="minorEastAsia" w:cstheme="minorBidi"/>
      <w:kern w:val="2"/>
      <w:sz w:val="18"/>
      <w:szCs w:val="18"/>
    </w:rPr>
  </w:style>
  <w:style w:type="character" w:customStyle="1" w:styleId="11">
    <w:name w:val="页脚 Char"/>
    <w:basedOn w:val="8"/>
    <w:link w:val="4"/>
    <w:qFormat/>
    <w:uiPriority w:val="99"/>
    <w:rPr>
      <w:rFonts w:asciiTheme="minorHAnsi" w:hAnsiTheme="minorHAnsi" w:eastAsiaTheme="minorEastAsia" w:cstheme="minorBidi"/>
      <w:kern w:val="2"/>
      <w:sz w:val="18"/>
      <w:szCs w:val="18"/>
    </w:rPr>
  </w:style>
  <w:style w:type="paragraph" w:styleId="12">
    <w:name w:val="List Paragraph"/>
    <w:basedOn w:val="1"/>
    <w:qFormat/>
    <w:uiPriority w:val="99"/>
    <w:pPr>
      <w:ind w:firstLine="420" w:firstLineChars="200"/>
    </w:pPr>
  </w:style>
  <w:style w:type="character" w:customStyle="1" w:styleId="13">
    <w:name w:val="批注框文本 Char"/>
    <w:basedOn w:val="8"/>
    <w:link w:val="3"/>
    <w:semiHidden/>
    <w:qFormat/>
    <w:uiPriority w:val="0"/>
    <w:rPr>
      <w:rFonts w:asciiTheme="minorHAnsi" w:hAnsiTheme="minorHAnsi" w:eastAsiaTheme="minorEastAsia" w:cstheme="minorBidi"/>
      <w:kern w:val="2"/>
      <w:sz w:val="18"/>
      <w:szCs w:val="18"/>
    </w:rPr>
  </w:style>
  <w:style w:type="paragraph" w:customStyle="1" w:styleId="14">
    <w:name w:val="Default"/>
    <w:qFormat/>
    <w:uiPriority w:val="0"/>
    <w:pPr>
      <w:widowControl w:val="0"/>
      <w:autoSpaceDE w:val="0"/>
      <w:autoSpaceDN w:val="0"/>
      <w:adjustRightInd w:val="0"/>
    </w:pPr>
    <w:rPr>
      <w:rFonts w:ascii="仿宋" w:eastAsia="仿宋" w:cs="仿宋" w:hAnsiTheme="minorHAnsi"/>
      <w:color w:val="000000"/>
      <w:sz w:val="24"/>
      <w:szCs w:val="24"/>
      <w:lang w:val="en-US" w:eastAsia="zh-CN" w:bidi="ar-SA"/>
    </w:rPr>
  </w:style>
  <w:style w:type="paragraph" w:customStyle="1" w:styleId="15">
    <w:name w:val="列出段落1"/>
    <w:basedOn w:val="1"/>
    <w:qFormat/>
    <w:uiPriority w:val="34"/>
    <w:pPr>
      <w:ind w:firstLine="420"/>
    </w:pPr>
    <w:rPr>
      <w:rFonts w:ascii="Calibri" w:hAnsi="Calibri" w:eastAsia="宋体"/>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5</Pages>
  <Words>1798</Words>
  <Characters>2036</Characters>
  <Lines>15</Lines>
  <Paragraphs>4</Paragraphs>
  <TotalTime>4</TotalTime>
  <ScaleCrop>false</ScaleCrop>
  <LinksUpToDate>false</LinksUpToDate>
  <CharactersWithSpaces>2113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2023-12-27T09:52:00Z</dcterms:created>
  <dc:creator>Administrator</dc:creator>
  <cp:lastModifiedBy>寂静之声</cp:lastModifiedBy>
  <cp:lastPrinted>2024-01-08T06:29:00Z</cp:lastPrinted>
  <dcterms:modified xsi:type="dcterms:W3CDTF">2026-08-31T02:49:38Z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7E32A76FE4B14323944D19F1C4B9418E_12</vt:lpwstr>
  </property>
  <property fmtid="{D5CDD505-2E9C-101B-9397-08002B2CF9AE}" pid="4" name="KSOTemplateDocerSaveRecord">
    <vt:lpwstr>eyJoZGlkIjoiN2FjNGYwMDAxZjMyZmEyZTIwYzliM2U3YzQwOTZkYTIiLCJ1c2VySWQiOiI0NTg2NjE0NjQifQ==</vt:lpwstr>
  </property>
</Properties>
</file>