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val="1"/>
        <w:spacing w:line="240"/>
        <w:ind/>
        <w:jc w:val="center"/>
        <w:rPr>
          <w:b w:val="1"/>
        </w:rPr>
      </w:pPr>
      <w:r>
        <w:rPr>
          <w:b w:val="1"/>
          <w:i w:val="0"/>
          <w:strike w:val="0"/>
          <w:spacing w:val="0"/>
          <w:u w:val="none"/>
        </w:rPr>
        <w:t>空军军医大学推荐无军籍地方本科生免试攻读硕士研究生实施办法</w:t>
      </w:r>
    </w:p>
    <w:p>
      <w:pPr>
        <w:pBdr>
          <w:bottom/>
        </w:pBdr>
        <w:snapToGrid w:val="1"/>
        <w:spacing w:line="240"/>
        <w:ind/>
        <w:jc w:val="center"/>
        <w:rPr>
          <w:b w:val="1"/>
        </w:rPr>
      </w:pPr>
      <w:r>
        <w:rPr>
          <w:b w:val="1"/>
          <w:i w:val="0"/>
          <w:strike w:val="0"/>
          <w:spacing w:val="0"/>
          <w:u w:val="none"/>
        </w:rPr>
        <w:t>2025-09-15 来源：空军军医大学</w:t>
      </w:r>
    </w:p>
    <w:p>
      <w:pPr>
        <w:pBdr>
          <w:bottom/>
        </w:pBdr>
        <w:snapToGrid w:val="1"/>
        <w:spacing w:line="240"/>
        <w:ind/>
        <w:jc w:val="center"/>
        <w:rPr>
          <w:b w:val="1"/>
        </w:rPr>
      </w:pPr>
      <w:r>
        <w:rPr>
          <w:b w:val="1"/>
          <w:i w:val="0"/>
          <w:strike w:val="0"/>
          <w:spacing w:val="0"/>
          <w:u w:val="none"/>
        </w:rPr>
        <w:t>第一章   总 则</w:t>
      </w:r>
    </w:p>
    <w:p>
      <w:pPr>
        <w:snapToGrid w:val="1"/>
        <w:spacing w:line="240"/>
        <w:ind/>
        <w:rPr/>
      </w:pPr>
      <w:r>
        <w:rPr>
          <w:i w:val="0"/>
          <w:strike w:val="0"/>
          <w:spacing w:val="0"/>
          <w:u w:val="none"/>
        </w:rPr>
        <w:t>第一条 为做好无军籍地方本科生免试攻读硕士学位研究生的遴选推荐工作，根据教育部相关文件精神，结合学校人才培养工作实际，制定本办法。</w:t>
      </w:r>
    </w:p>
    <w:p>
      <w:pPr>
        <w:snapToGrid w:val="1"/>
        <w:spacing w:line="240"/>
        <w:ind/>
        <w:rPr/>
      </w:pPr>
      <w:r>
        <w:rPr>
          <w:i w:val="0"/>
          <w:strike w:val="0"/>
          <w:spacing w:val="0"/>
          <w:u w:val="none"/>
        </w:rPr>
        <w:t>第二条 本办法所称免试，是指普通高校应届本科生不必经过全国硕士研究生入学统一考试的初试，直接进入复试。本办法适用于空军军医大学按照国家和军队有关规定招收的无军籍地方本科生。</w:t>
      </w:r>
    </w:p>
    <w:p>
      <w:pPr>
        <w:snapToGrid w:val="1"/>
        <w:spacing w:line="240"/>
        <w:ind/>
        <w:rPr/>
      </w:pPr>
      <w:r>
        <w:rPr>
          <w:i w:val="0"/>
          <w:strike w:val="0"/>
          <w:spacing w:val="0"/>
          <w:u w:val="none"/>
        </w:rPr>
        <w:t>第三条 推免生遴选推荐工作是选拔培养高层次人才的重要工作，坚持公开、公正、公平的原则，做到“标准明确、程序公开、遴选公正、竞争公平”。</w:t>
      </w:r>
    </w:p>
    <w:p>
      <w:pPr>
        <w:pBdr>
          <w:bottom/>
        </w:pBdr>
        <w:snapToGrid w:val="1"/>
        <w:spacing w:line="240"/>
        <w:ind/>
        <w:rPr/>
      </w:pPr>
      <w:r>
        <w:rPr>
          <w:i w:val="0"/>
          <w:strike w:val="0"/>
          <w:spacing w:val="0"/>
          <w:u w:val="none"/>
        </w:rPr>
        <w:t>第四条 推免生遴选推荐工作坚持德、智、体、美、劳全面衡量，以德为先、择优选拔。</w:t>
      </w:r>
    </w:p>
    <w:p>
      <w:pPr>
        <w:pBdr>
          <w:bottom/>
        </w:pBdr>
        <w:snapToGrid w:val="1"/>
        <w:spacing w:line="240"/>
        <w:ind/>
        <w:jc w:val="center"/>
        <w:rPr>
          <w:b w:val="1"/>
        </w:rPr>
      </w:pPr>
      <w:r>
        <w:rPr>
          <w:b w:val="1"/>
          <w:i w:val="0"/>
          <w:strike w:val="0"/>
          <w:spacing w:val="0"/>
          <w:u w:val="none"/>
        </w:rPr>
        <w:t>第二章   推荐条件</w:t>
      </w:r>
    </w:p>
    <w:p>
      <w:pPr>
        <w:snapToGrid w:val="1"/>
        <w:spacing w:line="240"/>
        <w:ind/>
        <w:rPr/>
      </w:pPr>
      <w:r>
        <w:rPr>
          <w:i w:val="0"/>
          <w:strike w:val="0"/>
          <w:spacing w:val="0"/>
          <w:u w:val="none"/>
        </w:rPr>
        <w:t>第五条 推免生应同时具备以下基本条件：</w:t>
      </w:r>
    </w:p>
    <w:p>
      <w:pPr>
        <w:snapToGrid w:val="1"/>
        <w:spacing w:line="240"/>
        <w:ind/>
        <w:rPr/>
      </w:pPr>
      <w:r>
        <w:rPr>
          <w:i w:val="0"/>
          <w:strike w:val="0"/>
          <w:spacing w:val="0"/>
          <w:u w:val="none"/>
        </w:rPr>
        <w:t>（一）纳入国家普通本科招生计划录取的应届本科生。</w:t>
      </w:r>
    </w:p>
    <w:p>
      <w:pPr>
        <w:snapToGrid w:val="1"/>
        <w:spacing w:line="240"/>
        <w:ind/>
        <w:rPr/>
      </w:pPr>
      <w:r>
        <w:rPr>
          <w:i w:val="0"/>
          <w:strike w:val="0"/>
          <w:spacing w:val="0"/>
          <w:u w:val="none"/>
        </w:rPr>
        <w:t>（二）具有高尚的爱国主义情操和集体主义精神，社会主义信念坚定，社会责任感强，遵守法纪校规，品德良好，诚实守信，学风端正，积极向上，身心健康。</w:t>
      </w:r>
    </w:p>
    <w:p>
      <w:pPr>
        <w:snapToGrid w:val="1"/>
        <w:spacing w:line="240"/>
        <w:ind/>
        <w:rPr/>
      </w:pPr>
      <w:r>
        <w:rPr>
          <w:i w:val="0"/>
          <w:strike w:val="0"/>
          <w:spacing w:val="0"/>
          <w:u w:val="none"/>
        </w:rPr>
        <w:t>（三）学习成绩优秀，在校期间（学制五年的专业前四年，学制四年的专业前三年）必修课各门成绩合格，补考科目不超过1门、且补考通过。</w:t>
      </w:r>
    </w:p>
    <w:p>
      <w:pPr>
        <w:snapToGrid w:val="1"/>
        <w:spacing w:line="240"/>
        <w:ind/>
        <w:rPr/>
      </w:pPr>
      <w:r>
        <w:rPr>
          <w:i w:val="0"/>
          <w:strike w:val="0"/>
          <w:spacing w:val="0"/>
          <w:u w:val="none"/>
        </w:rPr>
        <w:t>（四）学术研究兴趣浓厚，具有较强的创新意识、创新能力、实践能力和专业能力倾向。</w:t>
      </w:r>
    </w:p>
    <w:p>
      <w:pPr>
        <w:snapToGrid w:val="1"/>
        <w:spacing w:line="240"/>
        <w:ind/>
        <w:rPr/>
      </w:pPr>
      <w:r>
        <w:rPr>
          <w:i w:val="0"/>
          <w:strike w:val="0"/>
          <w:spacing w:val="0"/>
          <w:u w:val="none"/>
        </w:rPr>
        <w:t>（五）全国大学英语六级考试（CET-6）成绩不低于425分。</w:t>
      </w:r>
    </w:p>
    <w:p>
      <w:pPr>
        <w:snapToGrid w:val="1"/>
        <w:spacing w:line="240"/>
        <w:ind/>
        <w:rPr/>
      </w:pPr>
      <w:r>
        <w:rPr>
          <w:i w:val="0"/>
          <w:strike w:val="0"/>
          <w:spacing w:val="0"/>
          <w:u w:val="none"/>
        </w:rPr>
        <w:t>（六）无任何考试违规违纪作弊行为，且在校期间未受过任何处分。</w:t>
      </w:r>
    </w:p>
    <w:p>
      <w:pPr>
        <w:snapToGrid w:val="1"/>
        <w:spacing w:line="240"/>
        <w:ind/>
        <w:rPr/>
      </w:pPr>
      <w:r>
        <w:rPr>
          <w:i w:val="0"/>
          <w:strike w:val="0"/>
          <w:spacing w:val="0"/>
          <w:u w:val="none"/>
        </w:rPr>
        <w:t>第六条 在满足基本条件的基础上，按照综合成绩（综合成绩=全部必修课平均成绩×85%+附加分）排名确定推免生名单，综合成绩按百分制计算。附加分包括学术科研类、学科竞赛类、个人奖励类、日常管理类、文体活动类五项，上限15分。若综合成绩相同者，取全部必修课平均成绩排名靠前者。</w:t>
      </w:r>
    </w:p>
    <w:p>
      <w:pPr>
        <w:pBdr>
          <w:bottom/>
        </w:pBdr>
        <w:snapToGrid w:val="1"/>
        <w:spacing w:line="240"/>
        <w:ind/>
        <w:rPr/>
      </w:pPr>
      <w:r>
        <w:rPr>
          <w:i w:val="0"/>
          <w:strike w:val="0"/>
          <w:spacing w:val="0"/>
          <w:u w:val="none"/>
        </w:rPr>
        <w:t>第七条 附加分的学术专长原则上仅限本科阶段在核心及以上期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除指导老师外）合作的科研成果、竞赛奖项等仅作为参考，不纳入学生本人推免遴选综合考核成绩计算范围，同等条件下可优先考虑。</w:t>
      </w:r>
    </w:p>
    <w:p>
      <w:pPr>
        <w:pBdr>
          <w:bottom/>
        </w:pBdr>
        <w:snapToGrid w:val="1"/>
        <w:spacing w:line="240"/>
        <w:ind/>
        <w:jc w:val="center"/>
        <w:rPr>
          <w:b w:val="1"/>
        </w:rPr>
      </w:pPr>
      <w:r>
        <w:rPr>
          <w:b w:val="1"/>
          <w:i w:val="0"/>
          <w:strike w:val="0"/>
          <w:spacing w:val="0"/>
          <w:u w:val="none"/>
        </w:rPr>
        <w:t>第三章   推荐程序</w:t>
      </w:r>
    </w:p>
    <w:p>
      <w:pPr>
        <w:snapToGrid w:val="1"/>
        <w:spacing w:line="240"/>
        <w:ind/>
        <w:rPr/>
      </w:pPr>
      <w:r>
        <w:rPr>
          <w:i w:val="0"/>
          <w:strike w:val="0"/>
          <w:spacing w:val="0"/>
          <w:u w:val="none"/>
        </w:rPr>
        <w:t>第八条 推免生遴选工作应按照下列程序进行：</w:t>
      </w:r>
    </w:p>
    <w:p>
      <w:pPr>
        <w:snapToGrid w:val="1"/>
        <w:spacing w:line="240"/>
        <w:ind/>
        <w:rPr/>
      </w:pPr>
      <w:r>
        <w:rPr>
          <w:i w:val="0"/>
          <w:strike w:val="0"/>
          <w:spacing w:val="0"/>
          <w:u w:val="none"/>
        </w:rPr>
        <w:t>（一）学校根据教育部、陕西省教育考试院每年度推免生遴选工作安排，结合本办法要求和工作实际，发布当年度推免生遴选工作通知。</w:t>
      </w:r>
    </w:p>
    <w:p>
      <w:pPr>
        <w:snapToGrid w:val="1"/>
        <w:spacing w:line="240"/>
        <w:ind/>
        <w:rPr/>
      </w:pPr>
      <w:r>
        <w:rPr>
          <w:i w:val="0"/>
          <w:strike w:val="0"/>
          <w:spacing w:val="0"/>
          <w:u w:val="none"/>
        </w:rPr>
        <w:t>（二）学生根据本人学习情况，结合推免生遴选条件提出申请，并提交有关成果与奖励证书及其他相关佐证材料。</w:t>
      </w:r>
    </w:p>
    <w:p>
      <w:pPr>
        <w:snapToGrid w:val="1"/>
        <w:spacing w:line="240"/>
        <w:ind/>
        <w:rPr/>
      </w:pPr>
      <w:r>
        <w:rPr>
          <w:i w:val="0"/>
          <w:strike w:val="0"/>
          <w:spacing w:val="0"/>
          <w:u w:val="none"/>
        </w:rPr>
        <w:t>（三）基础医学院对学生的申请资格进行初审，组织专家组对学生提交的成果与获奖证书以及其他佐证材料进行甄别。</w:t>
      </w:r>
    </w:p>
    <w:p>
      <w:pPr>
        <w:snapToGrid w:val="1"/>
        <w:spacing w:line="240"/>
        <w:ind/>
        <w:rPr/>
      </w:pPr>
      <w:r>
        <w:rPr>
          <w:i w:val="0"/>
          <w:strike w:val="0"/>
          <w:spacing w:val="0"/>
          <w:u w:val="none"/>
        </w:rPr>
        <w:t>（四）基础医学院根据各专业的推荐限额按照综合考核成绩依序确定拟推荐人选，并进行公示。若有异议，应及时查明情况并公布处理结果。名单无异议后，将拟推荐学生名单及相关推荐材料报教务处及研究生院审核。</w:t>
      </w:r>
    </w:p>
    <w:p>
      <w:pPr>
        <w:snapToGrid w:val="1"/>
        <w:spacing w:line="240"/>
        <w:ind/>
        <w:rPr/>
      </w:pPr>
      <w:r>
        <w:rPr>
          <w:i w:val="0"/>
          <w:strike w:val="0"/>
          <w:spacing w:val="0"/>
          <w:u w:val="none"/>
        </w:rPr>
        <w:t>（五）教务处及研究生院联合审核学生的推荐资格及相关材料，并将申报情况汇总整理后提交学校推免生遴选工作领导小组研究审定。审定通过的拟推荐学生名单应在全校进行公示，公示期不少于7天。公示期间若有异议，应及时复核，公布处理结果。</w:t>
      </w:r>
    </w:p>
    <w:p>
      <w:pPr>
        <w:pBdr>
          <w:bottom/>
        </w:pBdr>
        <w:snapToGrid w:val="1"/>
        <w:spacing w:line="240"/>
        <w:ind/>
        <w:rPr/>
      </w:pPr>
      <w:r>
        <w:rPr>
          <w:i w:val="0"/>
          <w:strike w:val="0"/>
          <w:spacing w:val="0"/>
          <w:u w:val="none"/>
        </w:rPr>
        <w:t>（六）经公示无异议，并由陕西省教育考试院审核后，推免生在教育部“全国推荐优秀应届本科毕业生免试攻读研究生信息公开暨管理服务系统”填报相关信息。</w:t>
      </w:r>
    </w:p>
    <w:p>
      <w:pPr>
        <w:pBdr>
          <w:bottom/>
        </w:pBdr>
        <w:snapToGrid w:val="1"/>
        <w:spacing w:line="240"/>
        <w:ind/>
        <w:jc w:val="center"/>
        <w:rPr>
          <w:b w:val="1"/>
        </w:rPr>
      </w:pPr>
      <w:r>
        <w:rPr>
          <w:b w:val="1"/>
          <w:i w:val="0"/>
          <w:strike w:val="0"/>
          <w:spacing w:val="0"/>
          <w:u w:val="none"/>
        </w:rPr>
        <w:t>第四章   管理监督</w:t>
      </w:r>
    </w:p>
    <w:p>
      <w:pPr>
        <w:snapToGrid w:val="1"/>
        <w:spacing w:line="240"/>
        <w:ind/>
        <w:rPr/>
      </w:pPr>
      <w:r>
        <w:rPr>
          <w:i w:val="0"/>
          <w:strike w:val="0"/>
          <w:spacing w:val="0"/>
          <w:u w:val="none"/>
        </w:rPr>
        <w:t>第九条 学校成立推免生遴选工作领导小组，由副校长兼教育长任组长，成员由教务处、政治工作处、纪检监察处、研究生院、基础医学院等相关部门负责人和一名教师代表组成。研究生院在推免生遴选工作领导小组的指导下，负责组织开展推免生的遴选工作。</w:t>
      </w:r>
    </w:p>
    <w:p>
      <w:pPr>
        <w:snapToGrid w:val="1"/>
        <w:spacing w:line="240"/>
        <w:ind/>
        <w:rPr/>
      </w:pPr>
      <w:r>
        <w:rPr>
          <w:i w:val="0"/>
          <w:strike w:val="0"/>
          <w:spacing w:val="0"/>
          <w:u w:val="none"/>
        </w:rPr>
        <w:t>第十条 学校根据教育部下达的推荐名额，结合各专业当年预计毕业生基数，按照一定比例分配，并适当向重点支持学科倾斜，统筹确定各专业的推荐名额。</w:t>
      </w:r>
    </w:p>
    <w:p>
      <w:pPr>
        <w:snapToGrid w:val="1"/>
        <w:spacing w:line="240"/>
        <w:ind/>
        <w:rPr/>
      </w:pPr>
      <w:r>
        <w:rPr>
          <w:i w:val="0"/>
          <w:strike w:val="0"/>
          <w:spacing w:val="0"/>
          <w:u w:val="none"/>
        </w:rPr>
        <w:t>第十一条 基础医学院成立专家审核小组（专家组成员应具有相关学科副教授以上职称，一般不少于5人），对申请推免资格学生附加分相关成果、证书以及表彰等佐证材料进行审核，排除抄袭、造假、冒名及有名无实等情况，并组织对相关学生进行质询。专家审核小组成员均须给出明确审核鉴定意见并签字存档，全程录音录像，审核结果要予以公示。未通过审核的，不得纳入推免遴选综合考核成绩计算。</w:t>
      </w:r>
    </w:p>
    <w:p>
      <w:pPr>
        <w:snapToGrid w:val="1"/>
        <w:spacing w:line="240"/>
        <w:ind/>
        <w:rPr/>
      </w:pPr>
      <w:r>
        <w:rPr>
          <w:i w:val="0"/>
          <w:strike w:val="0"/>
          <w:spacing w:val="0"/>
          <w:u w:val="none"/>
        </w:rPr>
        <w:t>第十二条 推免遴选推荐中，凡有弄虚作假行为者，一经查实，将立即取消相关学生推免资格，并按照有关规定对当事人予以处分。</w:t>
      </w:r>
    </w:p>
    <w:p>
      <w:pPr>
        <w:pBdr>
          <w:bottom/>
        </w:pBdr>
        <w:snapToGrid w:val="1"/>
        <w:spacing w:line="240"/>
        <w:ind/>
        <w:rPr/>
      </w:pPr>
      <w:r>
        <w:rPr>
          <w:i w:val="0"/>
          <w:strike w:val="0"/>
          <w:spacing w:val="0"/>
          <w:u w:val="none"/>
        </w:rPr>
        <w:t>第十三条 获得推免资格后，在校期间因考试违规违纪作弊，或受到任何处分，或因个人道德失范严重违反社会公序良俗的，一经查实，取消推免资格。</w:t>
      </w:r>
    </w:p>
    <w:p>
      <w:pPr>
        <w:pBdr>
          <w:bottom/>
        </w:pBdr>
        <w:snapToGrid w:val="1"/>
        <w:spacing w:line="240"/>
        <w:ind/>
        <w:jc w:val="center"/>
        <w:rPr>
          <w:b w:val="1"/>
        </w:rPr>
      </w:pPr>
      <w:r>
        <w:rPr>
          <w:b w:val="1"/>
          <w:i w:val="0"/>
          <w:strike w:val="0"/>
          <w:spacing w:val="0"/>
          <w:u w:val="none"/>
        </w:rPr>
        <w:t>第五章   附 则</w:t>
      </w:r>
    </w:p>
    <w:p>
      <w:pPr>
        <w:snapToGrid w:val="1"/>
        <w:spacing w:line="240"/>
        <w:ind/>
        <w:rPr/>
      </w:pPr>
      <w:r>
        <w:rPr>
          <w:i w:val="0"/>
          <w:strike w:val="0"/>
          <w:spacing w:val="0"/>
          <w:u w:val="none"/>
        </w:rPr>
        <w:t>第十四条 本办法自印发之日起施行，由研究生院负责解释。</w:t>
      </w:r>
    </w:p>
    <w:p>
      <w:pPr>
        <w:pBdr/>
        <w:snapToGrid w:val="1"/>
        <w:spacing w:line="240"/>
        <w:ind/>
        <w:jc w:val="center"/>
        <w:rPr>
          <w:b w:val="1"/>
        </w:rPr>
      </w:pPr>
      <w:r>
        <w:rPr>
          <w:b w:val="1"/>
          <w:i w:val="0"/>
          <w:strike w:val="0"/>
          <w:spacing w:val="0"/>
          <w:u w:val="none"/>
        </w:rPr>
        <w:t>空军军医大学无军籍地方本科生附加分计算标准</w:t>
      </w:r>
    </w:p>
    <w:tbl>
      <w:tblPr>
        <w:tblStyle w:val="000015"/>
        <w:tblLayout w:type="fixed"/>
      </w:tblPr>
      <w:tblGrid>
        <w:gridCol w:w="1025"/>
        <w:gridCol w:w="2568"/>
        <w:gridCol w:w="1469"/>
        <w:gridCol w:w="3235"/>
      </w:tblGrid>
      <w:tr>
        <w:trPr/>
        <w:tc>
          <w:tcPr>
            <w:tcW w:w="102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4"/>
                <w:u w:val="none"/>
              </w:rPr>
              <w:t>项目</w:t>
            </w: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4"/>
                <w:u w:val="none"/>
              </w:rPr>
              <w:t>获奖情况</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4"/>
                <w:u w:val="none"/>
              </w:rPr>
              <w:t>加分情况</w:t>
            </w:r>
          </w:p>
        </w:tc>
        <w:tc>
          <w:tcPr>
            <w:tcW w:w="323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4"/>
                <w:u w:val="none"/>
              </w:rPr>
              <w:t>备注</w:t>
            </w:r>
          </w:p>
        </w:tc>
      </w:tr>
      <w:tr>
        <w:trPr/>
        <w:tc>
          <w:tcPr>
            <w:tcW w:w="102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1"/>
                <w:u w:val="none"/>
              </w:rPr>
              <w:t>学术科研类</w:t>
            </w:r>
          </w:p>
          <w:p>
            <w:pPr>
              <w:snapToGrid w:val="1"/>
              <w:spacing w:before="0" w:after="0" w:line="240"/>
              <w:ind/>
              <w:jc w:val="center"/>
              <w:rPr/>
            </w:pPr>
            <w:r>
              <w:rPr>
                <w:rFonts w:ascii="黑体" w:hAnsi="黑体" w:eastAsia="黑体" w:cs="黑体"/>
                <w:i w:val="0"/>
                <w:strike w:val="0"/>
                <w:color w:val="000000"/>
                <w:spacing w:val="0"/>
                <w:sz w:val="21"/>
                <w:u w:val="none"/>
              </w:rPr>
              <w:t>（上限</w:t>
            </w:r>
            <w:r>
              <w:rPr>
                <w:rFonts w:ascii="Times New Roman" w:hAnsi="Times New Roman" w:cs="Times New Roman"/>
                <w:i w:val="0"/>
                <w:strike w:val="0"/>
                <w:color w:val="000000"/>
                <w:spacing w:val="0"/>
                <w:sz w:val="21"/>
                <w:u w:val="none"/>
              </w:rPr>
              <w:t>5</w:t>
            </w:r>
            <w:r>
              <w:rPr>
                <w:rFonts w:ascii="黑体" w:hAnsi="黑体" w:eastAsia="黑体" w:cs="黑体"/>
                <w:i w:val="0"/>
                <w:strike w:val="0"/>
                <w:color w:val="000000"/>
                <w:spacing w:val="0"/>
                <w:sz w:val="21"/>
                <w:u w:val="none"/>
              </w:rPr>
              <w:t>分）</w:t>
            </w: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已批准的发明专利</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项</w:t>
            </w:r>
          </w:p>
        </w:tc>
        <w:tc>
          <w:tcPr>
            <w:tcW w:w="323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第一完成人系数</w:t>
            </w:r>
            <w:r>
              <w:rPr>
                <w:rFonts w:ascii="Times New Roman" w:hAnsi="Times New Roman" w:cs="Times New Roman"/>
                <w:i w:val="0"/>
                <w:strike w:val="0"/>
                <w:color w:val="000000"/>
                <w:spacing w:val="0"/>
                <w:sz w:val="23"/>
                <w:u w:val="none"/>
              </w:rPr>
              <w:t>1.0</w:t>
            </w:r>
            <w:r>
              <w:rPr>
                <w:rFonts w:ascii="宋体" w:hAnsi="宋体" w:eastAsia="宋体" w:cs="宋体"/>
                <w:i w:val="0"/>
                <w:strike w:val="0"/>
                <w:color w:val="000000"/>
                <w:spacing w:val="0"/>
                <w:sz w:val="23"/>
                <w:u w:val="none"/>
              </w:rPr>
              <w:t>，第二完成人系数</w:t>
            </w:r>
            <w:r>
              <w:rPr>
                <w:rFonts w:ascii="Times New Roman" w:hAnsi="Times New Roman" w:cs="Times New Roman"/>
                <w:i w:val="0"/>
                <w:strike w:val="0"/>
                <w:color w:val="000000"/>
                <w:spacing w:val="0"/>
                <w:sz w:val="23"/>
                <w:u w:val="none"/>
              </w:rPr>
              <w:t>0.8</w:t>
            </w:r>
            <w:r>
              <w:rPr>
                <w:rFonts w:ascii="宋体" w:hAnsi="宋体" w:eastAsia="宋体" w:cs="宋体"/>
                <w:i w:val="0"/>
                <w:strike w:val="0"/>
                <w:color w:val="000000"/>
                <w:spacing w:val="0"/>
                <w:sz w:val="23"/>
                <w:u w:val="none"/>
              </w:rPr>
              <w:t>，第三完成人系数</w:t>
            </w:r>
            <w:r>
              <w:rPr>
                <w:rFonts w:ascii="Times New Roman" w:hAnsi="Times New Roman" w:cs="Times New Roman"/>
                <w:i w:val="0"/>
                <w:strike w:val="0"/>
                <w:color w:val="000000"/>
                <w:spacing w:val="0"/>
                <w:sz w:val="23"/>
                <w:u w:val="none"/>
              </w:rPr>
              <w:t>0.5</w:t>
            </w:r>
            <w:r>
              <w:rPr>
                <w:rFonts w:ascii="宋体" w:hAnsi="宋体" w:eastAsia="宋体" w:cs="宋体"/>
                <w:i w:val="0"/>
                <w:strike w:val="0"/>
                <w:color w:val="000000"/>
                <w:spacing w:val="0"/>
                <w:sz w:val="23"/>
                <w:u w:val="none"/>
              </w:rPr>
              <w:t>，排名以证书为准；</w:t>
            </w:r>
          </w:p>
          <w:p>
            <w:pPr>
              <w:snapToGrid w:val="1"/>
              <w:spacing w:before="0" w:after="0" w:line="240"/>
              <w:ind/>
              <w:rPr/>
            </w:pPr>
            <w:r>
              <w:rPr>
                <w:rFonts w:ascii="Times New Roman" w:hAnsi="Times New Roman" w:cs="Times New Roman"/>
                <w:i w:val="0"/>
                <w:strike w:val="0"/>
                <w:color w:val="000000"/>
                <w:spacing w:val="0"/>
                <w:sz w:val="23"/>
                <w:u w:val="none"/>
              </w:rPr>
              <w:t>2.</w:t>
            </w:r>
            <w:r>
              <w:rPr>
                <w:rFonts w:ascii="宋体" w:hAnsi="宋体" w:eastAsia="宋体" w:cs="宋体"/>
                <w:i w:val="0"/>
                <w:strike w:val="0"/>
                <w:color w:val="000000"/>
                <w:spacing w:val="0"/>
                <w:sz w:val="23"/>
                <w:u w:val="none"/>
              </w:rPr>
              <w:t>各类专利必须在授权有效期内，且专利知识产权单位应为空军军医大学（第四军医大学）；</w:t>
            </w:r>
          </w:p>
          <w:p>
            <w:pPr>
              <w:snapToGrid w:val="1"/>
              <w:spacing w:before="0" w:after="0" w:line="240"/>
              <w:ind/>
              <w:rPr/>
            </w:pPr>
            <w:r>
              <w:rPr>
                <w:rFonts w:ascii="Times New Roman" w:hAnsi="Times New Roman" w:cs="Times New Roman"/>
                <w:i w:val="0"/>
                <w:strike w:val="0"/>
                <w:color w:val="000000"/>
                <w:spacing w:val="0"/>
                <w:sz w:val="23"/>
                <w:u w:val="none"/>
              </w:rPr>
              <w:t>3.</w:t>
            </w:r>
            <w:r>
              <w:rPr>
                <w:rFonts w:ascii="宋体" w:hAnsi="宋体" w:eastAsia="宋体" w:cs="宋体"/>
                <w:i w:val="0"/>
                <w:strike w:val="0"/>
                <w:color w:val="000000"/>
                <w:spacing w:val="0"/>
                <w:sz w:val="23"/>
                <w:u w:val="none"/>
              </w:rPr>
              <w:t>国际类对应的专利经审核认定后，每项加分标准为国内对应专利的</w:t>
            </w:r>
            <w:r>
              <w:rPr>
                <w:rFonts w:ascii="Times New Roman" w:hAnsi="Times New Roman" w:cs="Times New Roman"/>
                <w:i w:val="0"/>
                <w:strike w:val="0"/>
                <w:color w:val="000000"/>
                <w:spacing w:val="0"/>
                <w:sz w:val="23"/>
                <w:u w:val="none"/>
              </w:rPr>
              <w:t>2</w:t>
            </w:r>
            <w:r>
              <w:rPr>
                <w:rFonts w:ascii="宋体" w:hAnsi="宋体" w:eastAsia="宋体" w:cs="宋体"/>
                <w:i w:val="0"/>
                <w:strike w:val="0"/>
                <w:color w:val="000000"/>
                <w:spacing w:val="0"/>
                <w:sz w:val="23"/>
                <w:u w:val="none"/>
              </w:rPr>
              <w:t>倍，计分原则同国内专利；</w:t>
            </w:r>
          </w:p>
          <w:p>
            <w:pPr>
              <w:snapToGrid w:val="1"/>
              <w:spacing w:before="0" w:after="0" w:line="240"/>
              <w:ind/>
              <w:rPr/>
            </w:pPr>
            <w:r>
              <w:rPr>
                <w:rFonts w:ascii="Times New Roman" w:hAnsi="Times New Roman" w:cs="Times New Roman"/>
                <w:i w:val="0"/>
                <w:strike w:val="0"/>
                <w:color w:val="000000"/>
                <w:spacing w:val="0"/>
                <w:sz w:val="23"/>
                <w:u w:val="none"/>
              </w:rPr>
              <w:t>4.</w:t>
            </w:r>
            <w:r>
              <w:rPr>
                <w:rFonts w:ascii="宋体" w:hAnsi="宋体" w:eastAsia="宋体" w:cs="宋体"/>
                <w:i w:val="0"/>
                <w:strike w:val="0"/>
                <w:color w:val="000000"/>
                <w:spacing w:val="0"/>
                <w:sz w:val="23"/>
                <w:u w:val="none"/>
              </w:rPr>
              <w:t>须提供国家知识产权局颁发的专利证书原件和原始实验记录。</w:t>
            </w: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已批准的实用新型专利</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0.6</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项</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已批准的软件著作权</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0.2</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项</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发表</w:t>
            </w:r>
            <w:r>
              <w:rPr>
                <w:rFonts w:ascii="Times New Roman" w:hAnsi="Times New Roman" w:cs="Times New Roman"/>
                <w:i w:val="0"/>
                <w:strike w:val="0"/>
                <w:color w:val="000000"/>
                <w:spacing w:val="0"/>
                <w:sz w:val="23"/>
                <w:u w:val="none"/>
              </w:rPr>
              <w:t>SCI</w:t>
            </w:r>
            <w:r>
              <w:rPr>
                <w:rFonts w:ascii="宋体" w:hAnsi="宋体" w:eastAsia="宋体" w:cs="宋体"/>
                <w:i w:val="0"/>
                <w:strike w:val="0"/>
                <w:color w:val="000000"/>
                <w:spacing w:val="0"/>
                <w:sz w:val="23"/>
                <w:u w:val="none"/>
              </w:rPr>
              <w:t>论文（</w:t>
            </w:r>
            <w:r>
              <w:rPr>
                <w:rFonts w:ascii="Times New Roman" w:hAnsi="Times New Roman" w:cs="Times New Roman"/>
                <w:i w:val="0"/>
                <w:strike w:val="0"/>
                <w:color w:val="000000"/>
                <w:spacing w:val="0"/>
                <w:sz w:val="23"/>
                <w:u w:val="none"/>
              </w:rPr>
              <w:t>IF</w:t>
            </w:r>
            <w:r>
              <w:rPr>
                <w:rFonts w:ascii="Times New Roman" w:hAnsi="Times New Roman" w:cs="Times New Roman"/>
                <w:i w:val="0"/>
                <w:strike w:val="0"/>
                <w:color w:val="333333"/>
                <w:spacing w:val="0"/>
                <w:sz w:val="23"/>
                <w:u w:val="none"/>
                <w:shd w:val="clear" w:color="auto" w:fill="FFFFFF"/>
              </w:rPr>
              <w:t>&lt;</w:t>
            </w:r>
            <w:r>
              <w:rPr>
                <w:rFonts w:ascii="Times New Roman" w:hAnsi="Times New Roman" w:cs="Times New Roman"/>
                <w:i w:val="0"/>
                <w:strike w:val="0"/>
                <w:color w:val="000000"/>
                <w:spacing w:val="0"/>
                <w:sz w:val="23"/>
                <w:u w:val="none"/>
              </w:rPr>
              <w:t>3</w:t>
            </w:r>
            <w:r>
              <w:rPr>
                <w:rFonts w:ascii="宋体" w:hAnsi="宋体" w:eastAsia="宋体" w:cs="宋体"/>
                <w:i w:val="0"/>
                <w:strike w:val="0"/>
                <w:color w:val="000000"/>
                <w:spacing w:val="0"/>
                <w:sz w:val="23"/>
                <w:u w:val="none"/>
              </w:rPr>
              <w:t>）</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篇</w:t>
            </w:r>
          </w:p>
        </w:tc>
        <w:tc>
          <w:tcPr>
            <w:tcW w:w="323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论文仅限本科阶段在核心及以上期刊以独立作者或第一作者（不含共同第一作者）发表的与学业相关的科研论文，其中对发表的学术论著按系数</w:t>
            </w:r>
            <w:r>
              <w:rPr>
                <w:rFonts w:ascii="Times New Roman" w:hAnsi="Times New Roman" w:cs="Times New Roman"/>
                <w:i w:val="0"/>
                <w:strike w:val="0"/>
                <w:color w:val="000000"/>
                <w:spacing w:val="0"/>
                <w:sz w:val="23"/>
                <w:u w:val="none"/>
              </w:rPr>
              <w:t>1.0</w:t>
            </w:r>
            <w:r>
              <w:rPr>
                <w:rFonts w:ascii="宋体" w:hAnsi="宋体" w:eastAsia="宋体" w:cs="宋体"/>
                <w:i w:val="0"/>
                <w:strike w:val="0"/>
                <w:color w:val="000000"/>
                <w:spacing w:val="0"/>
                <w:sz w:val="23"/>
                <w:u w:val="none"/>
              </w:rPr>
              <w:t>计算，对发表的综述、报告等按系数</w:t>
            </w:r>
            <w:r>
              <w:rPr>
                <w:rFonts w:ascii="Times New Roman" w:hAnsi="Times New Roman" w:cs="Times New Roman"/>
                <w:i w:val="0"/>
                <w:strike w:val="0"/>
                <w:color w:val="000000"/>
                <w:spacing w:val="0"/>
                <w:sz w:val="23"/>
                <w:u w:val="none"/>
              </w:rPr>
              <w:t>0.5</w:t>
            </w:r>
            <w:r>
              <w:rPr>
                <w:rFonts w:ascii="宋体" w:hAnsi="宋体" w:eastAsia="宋体" w:cs="宋体"/>
                <w:i w:val="0"/>
                <w:strike w:val="0"/>
                <w:color w:val="000000"/>
                <w:spacing w:val="0"/>
                <w:sz w:val="23"/>
                <w:u w:val="none"/>
              </w:rPr>
              <w:t>计算；</w:t>
            </w:r>
          </w:p>
          <w:p>
            <w:pPr>
              <w:snapToGrid w:val="1"/>
              <w:spacing w:before="0" w:after="0" w:line="240"/>
              <w:ind/>
              <w:rPr/>
            </w:pPr>
            <w:r>
              <w:rPr>
                <w:rFonts w:ascii="Times New Roman" w:hAnsi="Times New Roman" w:cs="Times New Roman"/>
                <w:i w:val="0"/>
                <w:strike w:val="0"/>
                <w:color w:val="000000"/>
                <w:spacing w:val="0"/>
                <w:sz w:val="23"/>
                <w:u w:val="none"/>
              </w:rPr>
              <w:t>2.</w:t>
            </w:r>
            <w:r>
              <w:rPr>
                <w:rFonts w:ascii="宋体" w:hAnsi="宋体" w:eastAsia="宋体" w:cs="宋体"/>
                <w:i w:val="0"/>
                <w:strike w:val="0"/>
                <w:color w:val="000000"/>
                <w:spacing w:val="0"/>
                <w:sz w:val="23"/>
                <w:u w:val="none"/>
              </w:rPr>
              <w:t>学生与直系亲属或学历、职称、职务明显高于本人者（除指导老师外）合作的科研成果仅作为参考，不计分；</w:t>
            </w:r>
          </w:p>
          <w:p>
            <w:pPr>
              <w:snapToGrid w:val="1"/>
              <w:spacing w:before="0" w:after="0" w:line="240"/>
              <w:ind/>
              <w:rPr/>
            </w:pPr>
            <w:r>
              <w:rPr>
                <w:rFonts w:ascii="Times New Roman" w:hAnsi="Times New Roman" w:cs="Times New Roman"/>
                <w:i w:val="0"/>
                <w:strike w:val="0"/>
                <w:color w:val="000000"/>
                <w:spacing w:val="0"/>
                <w:sz w:val="23"/>
                <w:u w:val="none"/>
              </w:rPr>
              <w:t>3.</w:t>
            </w:r>
            <w:r>
              <w:rPr>
                <w:rFonts w:ascii="宋体" w:hAnsi="宋体" w:eastAsia="宋体" w:cs="宋体"/>
                <w:i w:val="0"/>
                <w:strike w:val="0"/>
                <w:color w:val="000000"/>
                <w:spacing w:val="0"/>
                <w:sz w:val="23"/>
                <w:u w:val="none"/>
              </w:rPr>
              <w:t>影响因子计算一律使用文章见刊时的影响因子；</w:t>
            </w:r>
          </w:p>
          <w:p>
            <w:pPr>
              <w:snapToGrid w:val="1"/>
              <w:spacing w:before="0" w:after="0" w:line="240"/>
              <w:ind/>
              <w:rPr/>
            </w:pPr>
            <w:r>
              <w:rPr>
                <w:rFonts w:ascii="Times New Roman" w:hAnsi="Times New Roman" w:cs="Times New Roman"/>
                <w:i w:val="0"/>
                <w:strike w:val="0"/>
                <w:color w:val="000000"/>
                <w:spacing w:val="0"/>
                <w:sz w:val="23"/>
                <w:u w:val="none"/>
              </w:rPr>
              <w:t>4.</w:t>
            </w:r>
            <w:r>
              <w:rPr>
                <w:rFonts w:ascii="宋体" w:hAnsi="宋体" w:eastAsia="宋体" w:cs="宋体"/>
                <w:i w:val="0"/>
                <w:strike w:val="0"/>
                <w:color w:val="000000"/>
                <w:spacing w:val="0"/>
                <w:sz w:val="23"/>
                <w:u w:val="none"/>
              </w:rPr>
              <w:t>须提交原始实验记录和刊物实物或网络期刊原文截图，实验原始记录需指导教师签字。</w:t>
            </w: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发表</w:t>
            </w:r>
            <w:r>
              <w:rPr>
                <w:rFonts w:ascii="Times New Roman" w:hAnsi="Times New Roman" w:cs="Times New Roman"/>
                <w:i w:val="0"/>
                <w:strike w:val="0"/>
                <w:color w:val="000000"/>
                <w:spacing w:val="0"/>
                <w:sz w:val="23"/>
                <w:u w:val="none"/>
              </w:rPr>
              <w:t>SCI</w:t>
            </w:r>
            <w:r>
              <w:rPr>
                <w:rFonts w:ascii="宋体" w:hAnsi="宋体" w:eastAsia="宋体" w:cs="宋体"/>
                <w:i w:val="0"/>
                <w:strike w:val="0"/>
                <w:color w:val="000000"/>
                <w:spacing w:val="0"/>
                <w:sz w:val="23"/>
                <w:u w:val="none"/>
              </w:rPr>
              <w:t>论文（</w:t>
            </w:r>
            <w:r>
              <w:rPr>
                <w:rFonts w:ascii="Times New Roman" w:hAnsi="Times New Roman" w:cs="Times New Roman"/>
                <w:i w:val="0"/>
                <w:strike w:val="0"/>
                <w:color w:val="000000"/>
                <w:spacing w:val="0"/>
                <w:sz w:val="23"/>
                <w:u w:val="none"/>
              </w:rPr>
              <w:t>3</w:t>
            </w:r>
            <w:r>
              <w:rPr>
                <w:rFonts w:ascii="宋体" w:hAnsi="宋体" w:eastAsia="宋体" w:cs="宋体"/>
                <w:i w:val="0"/>
                <w:strike w:val="0"/>
                <w:color w:val="000000"/>
                <w:spacing w:val="0"/>
                <w:sz w:val="23"/>
                <w:u w:val="none"/>
              </w:rPr>
              <w:t>≤</w:t>
            </w:r>
            <w:r>
              <w:rPr>
                <w:rFonts w:ascii="Times New Roman" w:hAnsi="Times New Roman" w:cs="Times New Roman"/>
                <w:i w:val="0"/>
                <w:strike w:val="0"/>
                <w:color w:val="000000"/>
                <w:spacing w:val="0"/>
                <w:sz w:val="23"/>
                <w:u w:val="none"/>
              </w:rPr>
              <w:t>IF</w:t>
            </w:r>
            <w:r>
              <w:rPr>
                <w:rFonts w:ascii="Times New Roman" w:hAnsi="Times New Roman" w:cs="Times New Roman"/>
                <w:i w:val="0"/>
                <w:strike w:val="0"/>
                <w:color w:val="333333"/>
                <w:spacing w:val="0"/>
                <w:sz w:val="23"/>
                <w:u w:val="none"/>
                <w:shd w:val="clear" w:color="auto" w:fill="FFFFFF"/>
              </w:rPr>
              <w:t>&lt;</w:t>
            </w:r>
            <w:r>
              <w:rPr>
                <w:rFonts w:ascii="Times New Roman" w:hAnsi="Times New Roman" w:cs="Times New Roman"/>
                <w:i w:val="0"/>
                <w:strike w:val="0"/>
                <w:color w:val="000000"/>
                <w:spacing w:val="0"/>
                <w:sz w:val="23"/>
                <w:u w:val="none"/>
              </w:rPr>
              <w:t>5</w:t>
            </w:r>
            <w:r>
              <w:rPr>
                <w:rFonts w:ascii="宋体" w:hAnsi="宋体" w:eastAsia="宋体" w:cs="宋体"/>
                <w:i w:val="0"/>
                <w:strike w:val="0"/>
                <w:color w:val="000000"/>
                <w:spacing w:val="0"/>
                <w:sz w:val="23"/>
                <w:u w:val="none"/>
              </w:rPr>
              <w:t>）</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2</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篇</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发表</w:t>
            </w:r>
            <w:r>
              <w:rPr>
                <w:rFonts w:ascii="Times New Roman" w:hAnsi="Times New Roman" w:cs="Times New Roman"/>
                <w:i w:val="0"/>
                <w:strike w:val="0"/>
                <w:color w:val="000000"/>
                <w:spacing w:val="0"/>
                <w:sz w:val="23"/>
                <w:u w:val="none"/>
              </w:rPr>
              <w:t>SCI</w:t>
            </w:r>
            <w:r>
              <w:rPr>
                <w:rFonts w:ascii="宋体" w:hAnsi="宋体" w:eastAsia="宋体" w:cs="宋体"/>
                <w:i w:val="0"/>
                <w:strike w:val="0"/>
                <w:color w:val="000000"/>
                <w:spacing w:val="0"/>
                <w:sz w:val="23"/>
                <w:u w:val="none"/>
              </w:rPr>
              <w:t>论文（</w:t>
            </w:r>
            <w:r>
              <w:rPr>
                <w:rFonts w:ascii="Times New Roman" w:hAnsi="Times New Roman" w:cs="Times New Roman"/>
                <w:i w:val="0"/>
                <w:strike w:val="0"/>
                <w:color w:val="000000"/>
                <w:spacing w:val="0"/>
                <w:sz w:val="23"/>
                <w:u w:val="none"/>
              </w:rPr>
              <w:t>IF</w:t>
            </w:r>
            <w:r>
              <w:rPr>
                <w:rFonts w:ascii="宋体" w:hAnsi="宋体" w:eastAsia="宋体" w:cs="宋体"/>
                <w:i w:val="0"/>
                <w:strike w:val="0"/>
                <w:color w:val="000000"/>
                <w:spacing w:val="0"/>
                <w:sz w:val="23"/>
                <w:u w:val="none"/>
              </w:rPr>
              <w:t>≥</w:t>
            </w:r>
            <w:r>
              <w:rPr>
                <w:rFonts w:ascii="Times New Roman" w:hAnsi="Times New Roman" w:cs="Times New Roman"/>
                <w:i w:val="0"/>
                <w:strike w:val="0"/>
                <w:color w:val="000000"/>
                <w:spacing w:val="0"/>
                <w:sz w:val="23"/>
                <w:u w:val="none"/>
              </w:rPr>
              <w:t>5</w:t>
            </w:r>
            <w:r>
              <w:rPr>
                <w:rFonts w:ascii="宋体" w:hAnsi="宋体" w:eastAsia="宋体" w:cs="宋体"/>
                <w:i w:val="0"/>
                <w:strike w:val="0"/>
                <w:color w:val="000000"/>
                <w:spacing w:val="0"/>
                <w:sz w:val="23"/>
                <w:u w:val="none"/>
              </w:rPr>
              <w:t>）</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3</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篇</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发表中文核心期刊</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0.5</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篇</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1"/>
                <w:u w:val="none"/>
              </w:rPr>
              <w:t>学科竞赛类</w:t>
            </w:r>
          </w:p>
          <w:p>
            <w:pPr>
              <w:snapToGrid w:val="1"/>
              <w:spacing w:before="0" w:after="0" w:line="240"/>
              <w:ind/>
              <w:jc w:val="center"/>
              <w:rPr/>
            </w:pPr>
            <w:r>
              <w:rPr>
                <w:rFonts w:ascii="黑体" w:hAnsi="黑体" w:eastAsia="黑体" w:cs="黑体"/>
                <w:i w:val="0"/>
                <w:strike w:val="0"/>
                <w:color w:val="000000"/>
                <w:spacing w:val="0"/>
                <w:sz w:val="21"/>
                <w:u w:val="none"/>
              </w:rPr>
              <w:t>（上限</w:t>
            </w:r>
            <w:r>
              <w:rPr>
                <w:rFonts w:ascii="Times New Roman" w:hAnsi="Times New Roman" w:cs="Times New Roman"/>
                <w:i w:val="0"/>
                <w:strike w:val="0"/>
                <w:color w:val="000000"/>
                <w:spacing w:val="0"/>
                <w:sz w:val="21"/>
                <w:u w:val="none"/>
              </w:rPr>
              <w:t>4</w:t>
            </w:r>
            <w:r>
              <w:rPr>
                <w:rFonts w:ascii="黑体" w:hAnsi="黑体" w:eastAsia="黑体" w:cs="黑体"/>
                <w:i w:val="0"/>
                <w:strike w:val="0"/>
                <w:color w:val="000000"/>
                <w:spacing w:val="0"/>
                <w:sz w:val="21"/>
                <w:u w:val="none"/>
              </w:rPr>
              <w:t>分）</w:t>
            </w:r>
          </w:p>
          <w:p>
            <w:pPr>
              <w:snapToGrid w:val="1"/>
              <w:spacing w:before="0" w:after="0" w:line="240"/>
              <w:ind/>
              <w:jc w:val="center"/>
              <w:rPr/>
            </w:pPr>
            <w:r>
              <w:rPr>
                <w:rFonts w:ascii="Times New Roman" w:hAnsi="Times New Roman" w:cs="Times New Roman"/>
                <w:i w:val="0"/>
                <w:strike w:val="0"/>
                <w:color w:val="000000"/>
                <w:spacing w:val="0"/>
                <w:sz w:val="24"/>
                <w:u w:val="none"/>
              </w:rPr>
              <w:t> </w:t>
            </w: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国际级一等奖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3</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第一参与者系数为</w:t>
            </w:r>
            <w:r>
              <w:rPr>
                <w:rFonts w:ascii="Times New Roman" w:hAnsi="Times New Roman" w:cs="Times New Roman"/>
                <w:i w:val="0"/>
                <w:strike w:val="0"/>
                <w:color w:val="000000"/>
                <w:spacing w:val="0"/>
                <w:sz w:val="23"/>
                <w:u w:val="none"/>
              </w:rPr>
              <w:t>1.0</w:t>
            </w:r>
            <w:r>
              <w:rPr>
                <w:rFonts w:ascii="宋体" w:hAnsi="宋体" w:eastAsia="宋体" w:cs="宋体"/>
                <w:i w:val="0"/>
                <w:strike w:val="0"/>
                <w:color w:val="000000"/>
                <w:spacing w:val="0"/>
                <w:sz w:val="23"/>
                <w:u w:val="none"/>
              </w:rPr>
              <w:t>，第二参与者系数为</w:t>
            </w:r>
            <w:r>
              <w:rPr>
                <w:rFonts w:ascii="Times New Roman" w:hAnsi="Times New Roman" w:cs="Times New Roman"/>
                <w:i w:val="0"/>
                <w:strike w:val="0"/>
                <w:color w:val="000000"/>
                <w:spacing w:val="0"/>
                <w:sz w:val="23"/>
                <w:u w:val="none"/>
              </w:rPr>
              <w:t>0.8</w:t>
            </w:r>
            <w:r>
              <w:rPr>
                <w:rFonts w:ascii="宋体" w:hAnsi="宋体" w:eastAsia="宋体" w:cs="宋体"/>
                <w:i w:val="0"/>
                <w:strike w:val="0"/>
                <w:color w:val="000000"/>
                <w:spacing w:val="0"/>
                <w:sz w:val="23"/>
                <w:u w:val="none"/>
              </w:rPr>
              <w:t>，第三参与者系数为</w:t>
            </w:r>
            <w:r>
              <w:rPr>
                <w:rFonts w:ascii="Times New Roman" w:hAnsi="Times New Roman" w:cs="Times New Roman"/>
                <w:i w:val="0"/>
                <w:strike w:val="0"/>
                <w:color w:val="000000"/>
                <w:spacing w:val="0"/>
                <w:sz w:val="23"/>
                <w:u w:val="none"/>
              </w:rPr>
              <w:t>0.5</w:t>
            </w:r>
            <w:r>
              <w:rPr>
                <w:rFonts w:ascii="宋体" w:hAnsi="宋体" w:eastAsia="宋体" w:cs="宋体"/>
                <w:i w:val="0"/>
                <w:strike w:val="0"/>
                <w:color w:val="000000"/>
                <w:spacing w:val="0"/>
                <w:sz w:val="23"/>
                <w:u w:val="none"/>
              </w:rPr>
              <w:t>，排名第三以后系数为</w:t>
            </w:r>
            <w:r>
              <w:rPr>
                <w:rFonts w:ascii="Times New Roman" w:hAnsi="Times New Roman" w:cs="Times New Roman"/>
                <w:i w:val="0"/>
                <w:strike w:val="0"/>
                <w:color w:val="000000"/>
                <w:spacing w:val="0"/>
                <w:sz w:val="23"/>
                <w:u w:val="none"/>
              </w:rPr>
              <w:t>0.2</w:t>
            </w:r>
            <w:r>
              <w:rPr>
                <w:rFonts w:ascii="宋体" w:hAnsi="宋体" w:eastAsia="宋体" w:cs="宋体"/>
                <w:i w:val="0"/>
                <w:strike w:val="0"/>
                <w:color w:val="000000"/>
                <w:spacing w:val="0"/>
                <w:sz w:val="23"/>
                <w:u w:val="none"/>
              </w:rPr>
              <w:t>，排名以证书为准；</w:t>
            </w:r>
          </w:p>
          <w:p>
            <w:pPr>
              <w:snapToGrid w:val="1"/>
              <w:spacing w:before="0" w:after="0" w:line="240"/>
              <w:ind/>
              <w:rPr/>
            </w:pPr>
            <w:r>
              <w:rPr>
                <w:rFonts w:ascii="Times New Roman" w:hAnsi="Times New Roman" w:cs="Times New Roman"/>
                <w:i w:val="0"/>
                <w:strike w:val="0"/>
                <w:color w:val="000000"/>
                <w:spacing w:val="0"/>
                <w:sz w:val="23"/>
                <w:u w:val="none"/>
              </w:rPr>
              <w:t>2.</w:t>
            </w:r>
            <w:r>
              <w:rPr>
                <w:rFonts w:ascii="宋体" w:hAnsi="宋体" w:eastAsia="宋体" w:cs="宋体"/>
                <w:i w:val="0"/>
                <w:strike w:val="0"/>
                <w:color w:val="000000"/>
                <w:spacing w:val="0"/>
                <w:sz w:val="23"/>
                <w:u w:val="none"/>
              </w:rPr>
              <w:t>没有排名的集体项目，参与个人按排名第一的分值除以参与人数计；</w:t>
            </w:r>
          </w:p>
          <w:p>
            <w:pPr>
              <w:snapToGrid w:val="1"/>
              <w:spacing w:before="0" w:after="0" w:line="240"/>
              <w:ind/>
              <w:rPr/>
            </w:pPr>
            <w:r>
              <w:rPr>
                <w:rFonts w:ascii="Times New Roman" w:hAnsi="Times New Roman" w:cs="Times New Roman"/>
                <w:i w:val="0"/>
                <w:strike w:val="0"/>
                <w:color w:val="000000"/>
                <w:spacing w:val="0"/>
                <w:sz w:val="23"/>
                <w:u w:val="none"/>
              </w:rPr>
              <w:t>3.</w:t>
            </w:r>
            <w:r>
              <w:rPr>
                <w:rFonts w:ascii="宋体" w:hAnsi="宋体" w:eastAsia="宋体" w:cs="宋体"/>
                <w:i w:val="0"/>
                <w:strike w:val="0"/>
                <w:color w:val="000000"/>
                <w:spacing w:val="0"/>
                <w:sz w:val="23"/>
                <w:u w:val="none"/>
              </w:rPr>
              <w:t>学科竞赛以教育部、学校推免当年下发的《学科竞赛名录》为准；</w:t>
            </w:r>
          </w:p>
          <w:p>
            <w:pPr>
              <w:snapToGrid w:val="1"/>
              <w:spacing w:before="0" w:after="0" w:line="240"/>
              <w:ind/>
              <w:rPr/>
            </w:pPr>
            <w:r>
              <w:rPr>
                <w:rFonts w:ascii="Times New Roman" w:hAnsi="Times New Roman" w:cs="Times New Roman"/>
                <w:i w:val="0"/>
                <w:strike w:val="0"/>
                <w:color w:val="000000"/>
                <w:spacing w:val="0"/>
                <w:sz w:val="23"/>
                <w:u w:val="none"/>
              </w:rPr>
              <w:t>4.</w:t>
            </w:r>
            <w:r>
              <w:rPr>
                <w:rFonts w:ascii="宋体" w:hAnsi="宋体" w:eastAsia="宋体" w:cs="宋体"/>
                <w:i w:val="0"/>
                <w:strike w:val="0"/>
                <w:color w:val="000000"/>
                <w:spacing w:val="0"/>
                <w:sz w:val="23"/>
                <w:u w:val="none"/>
              </w:rPr>
              <w:t>同一赛事多层次或多组别获奖取最高奖项，不重复计算；</w:t>
            </w:r>
          </w:p>
          <w:p>
            <w:pPr>
              <w:snapToGrid w:val="1"/>
              <w:spacing w:before="0" w:after="0" w:line="240"/>
              <w:ind/>
              <w:rPr/>
            </w:pPr>
            <w:r>
              <w:rPr>
                <w:rFonts w:ascii="Times New Roman" w:hAnsi="Times New Roman" w:cs="Times New Roman"/>
                <w:i w:val="0"/>
                <w:strike w:val="0"/>
                <w:color w:val="000000"/>
                <w:spacing w:val="0"/>
                <w:sz w:val="23"/>
                <w:u w:val="none"/>
              </w:rPr>
              <w:t>5.</w:t>
            </w:r>
            <w:r>
              <w:rPr>
                <w:rFonts w:ascii="宋体" w:hAnsi="宋体" w:eastAsia="宋体" w:cs="宋体"/>
                <w:i w:val="0"/>
                <w:strike w:val="0"/>
                <w:color w:val="000000"/>
                <w:spacing w:val="0"/>
                <w:sz w:val="23"/>
                <w:u w:val="none"/>
              </w:rPr>
              <w:t>须提供获奖证书原件或通知文件。</w:t>
            </w: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国际级二等奖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2</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国际级三等奖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国家级一等奖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国家级二等奖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0.8</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国家级三等奖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0.5</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1"/>
                <w:u w:val="none"/>
              </w:rPr>
              <w:t>个人奖励类</w:t>
            </w:r>
          </w:p>
          <w:p>
            <w:pPr>
              <w:snapToGrid w:val="1"/>
              <w:spacing w:before="0" w:after="0" w:line="240"/>
              <w:ind/>
              <w:jc w:val="center"/>
              <w:rPr/>
            </w:pPr>
            <w:r>
              <w:rPr>
                <w:rFonts w:ascii="黑体" w:hAnsi="黑体" w:eastAsia="黑体" w:cs="黑体"/>
                <w:i w:val="0"/>
                <w:strike w:val="0"/>
                <w:color w:val="000000"/>
                <w:spacing w:val="0"/>
                <w:sz w:val="21"/>
                <w:u w:val="none"/>
              </w:rPr>
              <w:t>（上限</w:t>
            </w:r>
            <w:r>
              <w:rPr>
                <w:rFonts w:ascii="Times New Roman" w:hAnsi="Times New Roman" w:cs="Times New Roman"/>
                <w:i w:val="0"/>
                <w:strike w:val="0"/>
                <w:color w:val="000000"/>
                <w:spacing w:val="0"/>
                <w:sz w:val="21"/>
                <w:u w:val="none"/>
              </w:rPr>
              <w:t>3</w:t>
            </w:r>
            <w:r>
              <w:rPr>
                <w:rFonts w:ascii="黑体" w:hAnsi="黑体" w:eastAsia="黑体" w:cs="黑体"/>
                <w:i w:val="0"/>
                <w:strike w:val="0"/>
                <w:color w:val="000000"/>
                <w:spacing w:val="0"/>
                <w:sz w:val="21"/>
                <w:u w:val="none"/>
              </w:rPr>
              <w:t>分）</w:t>
            </w: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获得国家奖学金</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0.8</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学校特等奖学金系数为</w:t>
            </w:r>
            <w:r>
              <w:rPr>
                <w:rFonts w:ascii="Times New Roman" w:hAnsi="Times New Roman" w:cs="Times New Roman"/>
                <w:i w:val="0"/>
                <w:strike w:val="0"/>
                <w:color w:val="000000"/>
                <w:spacing w:val="0"/>
                <w:sz w:val="23"/>
                <w:u w:val="none"/>
              </w:rPr>
              <w:t>1.0</w:t>
            </w:r>
            <w:r>
              <w:rPr>
                <w:rFonts w:ascii="宋体" w:hAnsi="宋体" w:eastAsia="宋体" w:cs="宋体"/>
                <w:i w:val="0"/>
                <w:strike w:val="0"/>
                <w:color w:val="000000"/>
                <w:spacing w:val="0"/>
                <w:sz w:val="23"/>
                <w:u w:val="none"/>
              </w:rPr>
              <w:t>，一等奖学金系数为</w:t>
            </w:r>
            <w:r>
              <w:rPr>
                <w:rFonts w:ascii="Times New Roman" w:hAnsi="Times New Roman" w:cs="Times New Roman"/>
                <w:i w:val="0"/>
                <w:strike w:val="0"/>
                <w:color w:val="000000"/>
                <w:spacing w:val="0"/>
                <w:sz w:val="23"/>
                <w:u w:val="none"/>
              </w:rPr>
              <w:t>0.8</w:t>
            </w:r>
            <w:r>
              <w:rPr>
                <w:rFonts w:ascii="宋体" w:hAnsi="宋体" w:eastAsia="宋体" w:cs="宋体"/>
                <w:i w:val="0"/>
                <w:strike w:val="0"/>
                <w:color w:val="000000"/>
                <w:spacing w:val="0"/>
                <w:sz w:val="23"/>
                <w:u w:val="none"/>
              </w:rPr>
              <w:t>，二等奖学金系数为</w:t>
            </w:r>
            <w:r>
              <w:rPr>
                <w:rFonts w:ascii="Times New Roman" w:hAnsi="Times New Roman" w:cs="Times New Roman"/>
                <w:i w:val="0"/>
                <w:strike w:val="0"/>
                <w:color w:val="000000"/>
                <w:spacing w:val="0"/>
                <w:sz w:val="23"/>
                <w:u w:val="none"/>
              </w:rPr>
              <w:t>0.6</w:t>
            </w:r>
            <w:r>
              <w:rPr>
                <w:rFonts w:ascii="宋体" w:hAnsi="宋体" w:eastAsia="宋体" w:cs="宋体"/>
                <w:i w:val="0"/>
                <w:strike w:val="0"/>
                <w:color w:val="000000"/>
                <w:spacing w:val="0"/>
                <w:sz w:val="23"/>
                <w:u w:val="none"/>
              </w:rPr>
              <w:t>，三等奖学金系数为</w:t>
            </w:r>
            <w:r>
              <w:rPr>
                <w:rFonts w:ascii="Times New Roman" w:hAnsi="Times New Roman" w:cs="Times New Roman"/>
                <w:i w:val="0"/>
                <w:strike w:val="0"/>
                <w:color w:val="000000"/>
                <w:spacing w:val="0"/>
                <w:sz w:val="23"/>
                <w:u w:val="none"/>
              </w:rPr>
              <w:t>0.4</w:t>
            </w:r>
            <w:r>
              <w:rPr>
                <w:rFonts w:ascii="宋体" w:hAnsi="宋体" w:eastAsia="宋体" w:cs="宋体"/>
                <w:i w:val="0"/>
                <w:strike w:val="0"/>
                <w:color w:val="000000"/>
                <w:spacing w:val="0"/>
                <w:sz w:val="23"/>
                <w:u w:val="none"/>
              </w:rPr>
              <w:t>；</w:t>
            </w:r>
          </w:p>
          <w:p>
            <w:pPr>
              <w:snapToGrid w:val="1"/>
              <w:spacing w:before="0" w:after="0" w:line="240"/>
              <w:ind/>
              <w:rPr/>
            </w:pPr>
            <w:r>
              <w:rPr>
                <w:rFonts w:ascii="Times New Roman" w:hAnsi="Times New Roman" w:cs="Times New Roman"/>
                <w:i w:val="0"/>
                <w:strike w:val="0"/>
                <w:color w:val="000000"/>
                <w:spacing w:val="0"/>
                <w:sz w:val="23"/>
                <w:u w:val="none"/>
              </w:rPr>
              <w:t>2.</w:t>
            </w:r>
            <w:r>
              <w:rPr>
                <w:rFonts w:ascii="宋体" w:hAnsi="宋体" w:eastAsia="宋体" w:cs="宋体"/>
                <w:i w:val="0"/>
                <w:strike w:val="0"/>
                <w:color w:val="000000"/>
                <w:spacing w:val="0"/>
                <w:sz w:val="23"/>
                <w:u w:val="none"/>
              </w:rPr>
              <w:t>须提交证书或表彰文件。</w:t>
            </w:r>
          </w:p>
          <w:p>
            <w:pPr>
              <w:snapToGrid w:val="1"/>
              <w:spacing w:before="0" w:after="0" w:line="240"/>
              <w:ind/>
              <w:rPr/>
            </w:pPr>
            <w:r>
              <w:rPr>
                <w:rFonts w:ascii="Times New Roman" w:hAnsi="Times New Roman" w:cs="Times New Roman"/>
                <w:b w:val="1"/>
                <w:i w:val="0"/>
                <w:strike w:val="0"/>
                <w:color w:val="000000"/>
                <w:spacing w:val="0"/>
                <w:sz w:val="21"/>
                <w:u w:val="none"/>
              </w:rPr>
              <w:t> </w:t>
            </w: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获得学校奖学金</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0.7</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获得校级及以上个人奖励</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0.5</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获得学院级个人奖励</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0.3</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获得大队级个人奖励</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0.1</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4"/>
                <w:u w:val="none"/>
              </w:rPr>
              <w:t>项目</w:t>
            </w: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4"/>
                <w:u w:val="none"/>
              </w:rPr>
              <w:t>获奖情况</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4"/>
                <w:u w:val="none"/>
              </w:rPr>
              <w:t>加分情况</w:t>
            </w:r>
          </w:p>
        </w:tc>
        <w:tc>
          <w:tcPr>
            <w:tcW w:w="3235"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4"/>
                <w:u w:val="none"/>
              </w:rPr>
              <w:t>备注</w:t>
            </w:r>
          </w:p>
        </w:tc>
      </w:tr>
      <w:tr>
        <w:trPr/>
        <w:tc>
          <w:tcPr>
            <w:tcW w:w="102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1"/>
                <w:u w:val="none"/>
              </w:rPr>
              <w:t>日常管理类</w:t>
            </w:r>
          </w:p>
          <w:p>
            <w:pPr>
              <w:snapToGrid w:val="1"/>
              <w:spacing w:before="0" w:after="0" w:line="240"/>
              <w:ind/>
              <w:jc w:val="center"/>
              <w:rPr/>
            </w:pPr>
            <w:r>
              <w:rPr>
                <w:rFonts w:ascii="黑体" w:hAnsi="黑体" w:eastAsia="黑体" w:cs="黑体"/>
                <w:i w:val="0"/>
                <w:strike w:val="0"/>
                <w:color w:val="000000"/>
                <w:spacing w:val="0"/>
                <w:sz w:val="21"/>
                <w:u w:val="none"/>
              </w:rPr>
              <w:t>（上限</w:t>
            </w:r>
            <w:r>
              <w:rPr>
                <w:rFonts w:ascii="Times New Roman" w:hAnsi="Times New Roman" w:cs="Times New Roman"/>
                <w:i w:val="0"/>
                <w:strike w:val="0"/>
                <w:color w:val="000000"/>
                <w:spacing w:val="0"/>
                <w:sz w:val="21"/>
                <w:u w:val="none"/>
              </w:rPr>
              <w:t>1.5</w:t>
            </w:r>
            <w:r>
              <w:rPr>
                <w:rFonts w:ascii="黑体" w:hAnsi="黑体" w:eastAsia="黑体" w:cs="黑体"/>
                <w:i w:val="0"/>
                <w:strike w:val="0"/>
                <w:color w:val="000000"/>
                <w:spacing w:val="0"/>
                <w:sz w:val="21"/>
                <w:u w:val="none"/>
              </w:rPr>
              <w:t>分）</w:t>
            </w: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担任党支部委员，队长助理</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0.3</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年</w:t>
            </w:r>
          </w:p>
        </w:tc>
        <w:tc>
          <w:tcPr>
            <w:tcW w:w="323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各类骨干任职不足一季度的不加分；</w:t>
            </w:r>
          </w:p>
          <w:p>
            <w:pPr>
              <w:snapToGrid w:val="1"/>
              <w:spacing w:before="0" w:after="0" w:line="240"/>
              <w:ind/>
              <w:rPr/>
            </w:pPr>
            <w:r>
              <w:rPr>
                <w:rFonts w:ascii="Times New Roman" w:hAnsi="Times New Roman" w:cs="Times New Roman"/>
                <w:i w:val="0"/>
                <w:strike w:val="0"/>
                <w:color w:val="000000"/>
                <w:spacing w:val="0"/>
                <w:sz w:val="23"/>
                <w:u w:val="none"/>
              </w:rPr>
              <w:t>2.</w:t>
            </w:r>
            <w:r>
              <w:rPr>
                <w:rFonts w:ascii="宋体" w:hAnsi="宋体" w:eastAsia="宋体" w:cs="宋体"/>
                <w:i w:val="0"/>
                <w:strike w:val="0"/>
                <w:color w:val="000000"/>
                <w:spacing w:val="0"/>
                <w:sz w:val="23"/>
                <w:u w:val="none"/>
              </w:rPr>
              <w:t>各类骨干中同类型职务的按最高职务算分，不同类型职务的可以累计算分；</w:t>
            </w:r>
          </w:p>
          <w:p>
            <w:pPr>
              <w:snapToGrid w:val="1"/>
              <w:spacing w:before="0" w:after="0" w:line="240"/>
              <w:ind/>
              <w:rPr/>
            </w:pPr>
            <w:r>
              <w:rPr>
                <w:rFonts w:ascii="Times New Roman" w:hAnsi="Times New Roman" w:cs="Times New Roman"/>
                <w:i w:val="0"/>
                <w:strike w:val="0"/>
                <w:color w:val="000000"/>
                <w:spacing w:val="0"/>
                <w:sz w:val="23"/>
                <w:u w:val="none"/>
              </w:rPr>
              <w:t>3.</w:t>
            </w:r>
            <w:r>
              <w:rPr>
                <w:rFonts w:ascii="宋体" w:hAnsi="宋体" w:eastAsia="宋体" w:cs="宋体"/>
                <w:i w:val="0"/>
                <w:strike w:val="0"/>
                <w:color w:val="000000"/>
                <w:spacing w:val="0"/>
                <w:sz w:val="23"/>
                <w:u w:val="none"/>
              </w:rPr>
              <w:t>课代表每学年加分上限为</w:t>
            </w:r>
            <w:r>
              <w:rPr>
                <w:rFonts w:ascii="Times New Roman" w:hAnsi="Times New Roman" w:cs="Times New Roman"/>
                <w:i w:val="0"/>
                <w:strike w:val="0"/>
                <w:color w:val="000000"/>
                <w:spacing w:val="0"/>
                <w:sz w:val="23"/>
                <w:u w:val="none"/>
              </w:rPr>
              <w:t>0.1</w:t>
            </w:r>
            <w:r>
              <w:rPr>
                <w:rFonts w:ascii="宋体" w:hAnsi="宋体" w:eastAsia="宋体" w:cs="宋体"/>
                <w:i w:val="0"/>
                <w:strike w:val="0"/>
                <w:color w:val="000000"/>
                <w:spacing w:val="0"/>
                <w:sz w:val="23"/>
                <w:u w:val="none"/>
              </w:rPr>
              <w:t>分；</w:t>
            </w:r>
          </w:p>
          <w:p>
            <w:pPr>
              <w:snapToGrid w:val="1"/>
              <w:spacing w:before="0" w:after="0" w:line="240"/>
              <w:ind/>
              <w:rPr/>
            </w:pPr>
            <w:r>
              <w:rPr>
                <w:rFonts w:ascii="Times New Roman" w:hAnsi="Times New Roman" w:cs="Times New Roman"/>
                <w:i w:val="0"/>
                <w:strike w:val="0"/>
                <w:color w:val="000000"/>
                <w:spacing w:val="0"/>
                <w:sz w:val="23"/>
                <w:u w:val="none"/>
              </w:rPr>
              <w:t>4.</w:t>
            </w:r>
            <w:r>
              <w:rPr>
                <w:rFonts w:ascii="宋体" w:hAnsi="宋体" w:eastAsia="宋体" w:cs="宋体"/>
                <w:i w:val="0"/>
                <w:strike w:val="0"/>
                <w:color w:val="000000"/>
                <w:spacing w:val="0"/>
                <w:sz w:val="23"/>
                <w:u w:val="none"/>
              </w:rPr>
              <w:t>因工作能力不适应岗位需求被调整任职、降职或撤职的，不予加分。</w:t>
            </w: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担任院团委委员，大队团总支副书记，院团委工作部部长，区队长，团支部书记，张华志愿队队长</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0.25</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年</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担任院团委工作部副部长，张华志愿队副队长</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0.2</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年</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担任院团委成员，大队团总支委员，团支部副书记、班长、实习点长、实习点党小组长</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0.15</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年</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担任副班长、团支部委员、实习点副点长，学习委员、课代表、安全员、思想骨干、心理骨干、网络管理员、通讯员、一团八队成员、利剑特战队队员</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0.1</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年</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黑体" w:hAnsi="黑体" w:eastAsia="黑体" w:cs="黑体"/>
                <w:i w:val="0"/>
                <w:strike w:val="0"/>
                <w:color w:val="000000"/>
                <w:spacing w:val="0"/>
                <w:sz w:val="21"/>
                <w:u w:val="none"/>
              </w:rPr>
              <w:t>文体活动类</w:t>
            </w:r>
          </w:p>
          <w:p>
            <w:pPr>
              <w:snapToGrid w:val="1"/>
              <w:spacing w:before="0" w:after="0" w:line="240"/>
              <w:ind/>
              <w:jc w:val="center"/>
              <w:rPr/>
            </w:pPr>
            <w:r>
              <w:rPr>
                <w:rFonts w:ascii="黑体" w:hAnsi="黑体" w:eastAsia="黑体" w:cs="黑体"/>
                <w:i w:val="0"/>
                <w:strike w:val="0"/>
                <w:color w:val="000000"/>
                <w:spacing w:val="0"/>
                <w:sz w:val="21"/>
                <w:u w:val="none"/>
              </w:rPr>
              <w:t>（上限</w:t>
            </w:r>
            <w:r>
              <w:rPr>
                <w:rFonts w:ascii="Times New Roman" w:hAnsi="Times New Roman" w:cs="Times New Roman"/>
                <w:i w:val="0"/>
                <w:strike w:val="0"/>
                <w:color w:val="000000"/>
                <w:spacing w:val="0"/>
                <w:sz w:val="21"/>
                <w:u w:val="none"/>
              </w:rPr>
              <w:t>1.5</w:t>
            </w:r>
            <w:r>
              <w:rPr>
                <w:rFonts w:ascii="黑体" w:hAnsi="黑体" w:eastAsia="黑体" w:cs="黑体"/>
                <w:i w:val="0"/>
                <w:strike w:val="0"/>
                <w:color w:val="000000"/>
                <w:spacing w:val="0"/>
                <w:sz w:val="21"/>
                <w:u w:val="none"/>
              </w:rPr>
              <w:t>分）</w:t>
            </w: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国家级竞赛一等奖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1.5</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第一参与者系数为</w:t>
            </w:r>
            <w:r>
              <w:rPr>
                <w:rFonts w:ascii="Times New Roman" w:hAnsi="Times New Roman" w:cs="Times New Roman"/>
                <w:i w:val="0"/>
                <w:strike w:val="0"/>
                <w:color w:val="000000"/>
                <w:spacing w:val="0"/>
                <w:sz w:val="23"/>
                <w:u w:val="none"/>
              </w:rPr>
              <w:t>1.0</w:t>
            </w:r>
            <w:r>
              <w:rPr>
                <w:rFonts w:ascii="宋体" w:hAnsi="宋体" w:eastAsia="宋体" w:cs="宋体"/>
                <w:i w:val="0"/>
                <w:strike w:val="0"/>
                <w:color w:val="000000"/>
                <w:spacing w:val="0"/>
                <w:sz w:val="23"/>
                <w:u w:val="none"/>
              </w:rPr>
              <w:t>，第二参与者系数为</w:t>
            </w:r>
            <w:r>
              <w:rPr>
                <w:rFonts w:ascii="Times New Roman" w:hAnsi="Times New Roman" w:cs="Times New Roman"/>
                <w:i w:val="0"/>
                <w:strike w:val="0"/>
                <w:color w:val="000000"/>
                <w:spacing w:val="0"/>
                <w:sz w:val="23"/>
                <w:u w:val="none"/>
              </w:rPr>
              <w:t>0.8</w:t>
            </w:r>
            <w:r>
              <w:rPr>
                <w:rFonts w:ascii="宋体" w:hAnsi="宋体" w:eastAsia="宋体" w:cs="宋体"/>
                <w:i w:val="0"/>
                <w:strike w:val="0"/>
                <w:color w:val="000000"/>
                <w:spacing w:val="0"/>
                <w:sz w:val="23"/>
                <w:u w:val="none"/>
              </w:rPr>
              <w:t>，第三参与者系数为</w:t>
            </w:r>
            <w:r>
              <w:rPr>
                <w:rFonts w:ascii="Times New Roman" w:hAnsi="Times New Roman" w:cs="Times New Roman"/>
                <w:i w:val="0"/>
                <w:strike w:val="0"/>
                <w:color w:val="000000"/>
                <w:spacing w:val="0"/>
                <w:sz w:val="23"/>
                <w:u w:val="none"/>
              </w:rPr>
              <w:t>0.5</w:t>
            </w:r>
            <w:r>
              <w:rPr>
                <w:rFonts w:ascii="宋体" w:hAnsi="宋体" w:eastAsia="宋体" w:cs="宋体"/>
                <w:i w:val="0"/>
                <w:strike w:val="0"/>
                <w:color w:val="000000"/>
                <w:spacing w:val="0"/>
                <w:sz w:val="23"/>
                <w:u w:val="none"/>
              </w:rPr>
              <w:t>，排名第三以后系数为</w:t>
            </w:r>
            <w:r>
              <w:rPr>
                <w:rFonts w:ascii="Times New Roman" w:hAnsi="Times New Roman" w:cs="Times New Roman"/>
                <w:i w:val="0"/>
                <w:strike w:val="0"/>
                <w:color w:val="000000"/>
                <w:spacing w:val="0"/>
                <w:sz w:val="23"/>
                <w:u w:val="none"/>
              </w:rPr>
              <w:t>0.2</w:t>
            </w:r>
            <w:r>
              <w:rPr>
                <w:rFonts w:ascii="宋体" w:hAnsi="宋体" w:eastAsia="宋体" w:cs="宋体"/>
                <w:i w:val="0"/>
                <w:strike w:val="0"/>
                <w:color w:val="000000"/>
                <w:spacing w:val="0"/>
                <w:sz w:val="23"/>
                <w:u w:val="none"/>
              </w:rPr>
              <w:t>，排名以证书为准；</w:t>
            </w:r>
          </w:p>
          <w:p>
            <w:pPr>
              <w:snapToGrid w:val="1"/>
              <w:spacing w:before="0" w:after="0" w:line="240"/>
              <w:ind/>
              <w:rPr/>
            </w:pPr>
            <w:r>
              <w:rPr>
                <w:rFonts w:ascii="Times New Roman" w:hAnsi="Times New Roman" w:cs="Times New Roman"/>
                <w:i w:val="0"/>
                <w:strike w:val="0"/>
                <w:color w:val="000000"/>
                <w:spacing w:val="0"/>
                <w:sz w:val="23"/>
                <w:u w:val="none"/>
              </w:rPr>
              <w:t>2.</w:t>
            </w:r>
            <w:r>
              <w:rPr>
                <w:rFonts w:ascii="宋体" w:hAnsi="宋体" w:eastAsia="宋体" w:cs="宋体"/>
                <w:i w:val="0"/>
                <w:strike w:val="0"/>
                <w:color w:val="000000"/>
                <w:spacing w:val="0"/>
                <w:sz w:val="23"/>
                <w:u w:val="none"/>
              </w:rPr>
              <w:t>没有排名的集体项目，参与个人按排名第一的分值除以参与人数计；</w:t>
            </w:r>
          </w:p>
          <w:p>
            <w:pPr>
              <w:snapToGrid w:val="1"/>
              <w:spacing w:before="0" w:after="0" w:line="240"/>
              <w:ind/>
              <w:rPr/>
            </w:pPr>
            <w:r>
              <w:rPr>
                <w:rFonts w:ascii="Times New Roman" w:hAnsi="Times New Roman" w:cs="Times New Roman"/>
                <w:i w:val="0"/>
                <w:strike w:val="0"/>
                <w:color w:val="000000"/>
                <w:spacing w:val="0"/>
                <w:sz w:val="23"/>
                <w:u w:val="none"/>
              </w:rPr>
              <w:t>3.</w:t>
            </w:r>
            <w:r>
              <w:rPr>
                <w:rFonts w:ascii="宋体" w:hAnsi="宋体" w:eastAsia="宋体" w:cs="宋体"/>
                <w:i w:val="0"/>
                <w:strike w:val="0"/>
                <w:color w:val="000000"/>
                <w:spacing w:val="0"/>
                <w:sz w:val="23"/>
                <w:u w:val="none"/>
              </w:rPr>
              <w:t>同一项目多层次或多组别获奖取最高奖项，不重复计算；</w:t>
            </w:r>
          </w:p>
          <w:p>
            <w:pPr>
              <w:snapToGrid w:val="1"/>
              <w:spacing w:before="0" w:after="0" w:line="240"/>
              <w:ind/>
              <w:rPr/>
            </w:pPr>
            <w:r>
              <w:rPr>
                <w:rFonts w:ascii="Times New Roman" w:hAnsi="Times New Roman" w:cs="Times New Roman"/>
                <w:i w:val="0"/>
                <w:strike w:val="0"/>
                <w:color w:val="000000"/>
                <w:spacing w:val="0"/>
                <w:sz w:val="23"/>
                <w:u w:val="none"/>
              </w:rPr>
              <w:t>4.</w:t>
            </w:r>
            <w:r>
              <w:rPr>
                <w:rFonts w:ascii="宋体" w:hAnsi="宋体" w:eastAsia="宋体" w:cs="宋体"/>
                <w:i w:val="0"/>
                <w:strike w:val="0"/>
                <w:color w:val="000000"/>
                <w:spacing w:val="0"/>
                <w:sz w:val="23"/>
                <w:u w:val="none"/>
              </w:rPr>
              <w:t>须提供获奖证书原件或通知文件。</w:t>
            </w: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国家级竞赛二等奖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1.2</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国家级竞赛三等奖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1</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省部级、军队级竞赛一等奖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0.7</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省部级、军队级竞赛二等奖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0.6</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省部级、军队级竞赛三等奖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0.5</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校级竞赛一等奖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0.3</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校级竞赛二等奖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0.2</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r>
        <w:trPr/>
        <w:tc>
          <w:tcPr>
            <w:tcW w:w="102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c>
          <w:tcPr>
            <w:tcW w:w="2568"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pPr>
            <w:r>
              <w:rPr>
                <w:rFonts w:ascii="宋体" w:hAnsi="宋体" w:eastAsia="宋体" w:cs="宋体"/>
                <w:i w:val="0"/>
                <w:strike w:val="0"/>
                <w:color w:val="000000"/>
                <w:spacing w:val="0"/>
                <w:sz w:val="23"/>
                <w:u w:val="none"/>
              </w:rPr>
              <w:t>校级竞赛三等奖</w:t>
            </w:r>
          </w:p>
        </w:tc>
        <w:tc>
          <w:tcPr>
            <w:tcW w:w="146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pPr>
            <w:r>
              <w:rPr>
                <w:rFonts w:ascii="Times New Roman" w:hAnsi="Times New Roman" w:cs="Times New Roman"/>
                <w:i w:val="0"/>
                <w:strike w:val="0"/>
                <w:color w:val="000000"/>
                <w:spacing w:val="0"/>
                <w:sz w:val="23"/>
                <w:u w:val="none"/>
              </w:rPr>
              <w:t>0.1</w:t>
            </w:r>
            <w:r>
              <w:rPr>
                <w:rFonts w:ascii="宋体" w:hAnsi="宋体" w:eastAsia="宋体" w:cs="宋体"/>
                <w:i w:val="0"/>
                <w:strike w:val="0"/>
                <w:color w:val="000000"/>
                <w:spacing w:val="0"/>
                <w:sz w:val="23"/>
                <w:u w:val="none"/>
              </w:rPr>
              <w:t>分</w:t>
            </w:r>
            <w:r>
              <w:rPr>
                <w:rFonts w:ascii="Times New Roman" w:hAnsi="Times New Roman" w:cs="Times New Roman"/>
                <w:i w:val="0"/>
                <w:strike w:val="0"/>
                <w:color w:val="000000"/>
                <w:spacing w:val="0"/>
                <w:sz w:val="23"/>
                <w:u w:val="none"/>
              </w:rPr>
              <w:t>/</w:t>
            </w:r>
            <w:r>
              <w:rPr>
                <w:rFonts w:ascii="宋体" w:hAnsi="宋体" w:eastAsia="宋体" w:cs="宋体"/>
                <w:i w:val="0"/>
                <w:strike w:val="0"/>
                <w:color w:val="000000"/>
                <w:spacing w:val="0"/>
                <w:sz w:val="23"/>
                <w:u w:val="none"/>
              </w:rPr>
              <w:t>次</w:t>
            </w:r>
          </w:p>
        </w:tc>
        <w:tc>
          <w:tcPr>
            <w:tcW w:w="3235"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pPr>
          </w:p>
        </w:tc>
      </w:tr>
    </w:tbl>
    <w:p>
      <w:pPr>
        <w:snapToGrid w:val="1"/>
        <w:spacing w:line="240"/>
        <w:ind/>
        <w:rPr/>
      </w:pPr>
      <w:r>
        <w:rPr>
          <w:i w:val="0"/>
          <w:strike w:val="0"/>
          <w:spacing w:val="0"/>
          <w:u w:val="none"/>
        </w:rPr>
        <w:t>注：</w:t>
      </w:r>
    </w:p>
    <w:p>
      <w:pPr>
        <w:snapToGrid w:val="1"/>
        <w:spacing w:line="240"/>
        <w:ind/>
        <w:rPr/>
      </w:pPr>
      <w:r>
        <w:rPr>
          <w:i w:val="0"/>
          <w:strike w:val="0"/>
          <w:spacing w:val="0"/>
          <w:u w:val="none"/>
        </w:rPr>
        <w:t>1.所有加分项目的统计截止时间为推免当年秋季学期开学前。</w:t>
      </w:r>
    </w:p>
    <w:p>
      <w:pPr>
        <w:snapToGrid w:val="1"/>
        <w:spacing w:line="240"/>
        <w:ind/>
        <w:rPr/>
      </w:pPr>
      <w:r>
        <w:rPr>
          <w:i w:val="0"/>
          <w:strike w:val="0"/>
          <w:spacing w:val="0"/>
          <w:u w:val="none"/>
        </w:rPr>
        <w:t>2.设有特等奖的项目，特等奖、一等奖、二等奖、三等奖分别比照上表一等奖、二等奖、三等奖、三等奖分值×80%的分值计。</w:t>
      </w:r>
    </w:p>
    <w:p>
      <w:pPr>
        <w:snapToGrid w:val="1"/>
        <w:spacing w:line="240"/>
        <w:ind/>
        <w:rPr/>
      </w:pPr>
      <w:r>
        <w:rPr>
          <w:i w:val="0"/>
          <w:strike w:val="0"/>
          <w:spacing w:val="0"/>
          <w:u w:val="none"/>
        </w:rPr>
        <w:t>3.所有加分项目须附佐证材料。</w:t>
      </w:r>
    </w:p>
    <w:p>
      <w:pPr>
        <w:snapToGrid w:val="1"/>
        <w:spacing w:line="240"/>
        <w:ind/>
        <w:rPr/>
      </w:pPr>
      <w:r>
        <w:rPr>
          <w:i w:val="0"/>
          <w:strike w:val="0"/>
          <w:spacing w:val="0"/>
          <w:u w:val="none"/>
        </w:rPr>
        <w:t>4.未涉及奖项由基础医学院统一确定并负责解释说明，确保公平公正。</w:t>
      </w:r>
    </w:p>
    <w:p>
      <w:pPr>
        <w:snapToGrid w:val="1"/>
        <w:spacing w:line="240"/>
        <w:ind/>
        <w:rPr/>
      </w:pPr>
      <w:r>
        <w:rPr>
          <w:i w:val="0"/>
          <w:strike w:val="0"/>
          <w:spacing w:val="0"/>
          <w:u w:val="none"/>
        </w:rPr>
        <w:t xml:space="preserve"> </w:t>
      </w:r>
    </w:p>
    <w:p>
      <w:pPr>
        <w:snapToGrid w:val="1"/>
        <w:spacing w:line="240"/>
        <w:ind/>
        <w:rPr/>
      </w:pPr>
      <w:r>
        <w:rPr>
          <w:i w:val="0"/>
          <w:strike w:val="0"/>
          <w:spacing w:val="0"/>
          <w:u w:val="none"/>
        </w:rPr>
        <w:t>通讯地址：西安市新城区长乐西路169号，邮政编码：710032</w:t>
      </w:r>
    </w:p>
    <w:p>
      <w:pPr>
        <w:snapToGrid w:val="1"/>
        <w:spacing w:line="240"/>
        <w:ind/>
        <w:rPr/>
      </w:pPr>
      <w:r>
        <w:rPr>
          <w:i w:val="0"/>
          <w:strike w:val="0"/>
          <w:spacing w:val="0"/>
          <w:u w:val="none"/>
        </w:rPr>
        <w:t>联 系 人：研究生院招生培养处</w:t>
      </w:r>
    </w:p>
    <w:p>
      <w:pPr>
        <w:snapToGrid w:val="1"/>
        <w:spacing w:line="240"/>
        <w:ind/>
        <w:rPr/>
      </w:pPr>
      <w:r>
        <w:rPr>
          <w:i w:val="0"/>
          <w:strike w:val="0"/>
          <w:spacing w:val="0"/>
          <w:u w:val="none"/>
        </w:rPr>
        <w:t>联系电话：029-84712526</w:t>
      </w:r>
    </w:p>
    <w:p>
      <w:pPr>
        <w:snapToGrid w:val="1"/>
        <w:spacing w:line="240"/>
        <w:ind/>
        <w:rPr/>
      </w:pPr>
    </w:p>
    <w:p>
      <w:pPr>
        <w:snapToGrid w:val="1"/>
        <w:spacing w:line="240"/>
        <w:ind/>
        <w:rPr/>
      </w:pPr>
      <w:r>
        <w:rPr>
          <w:i w:val="0"/>
          <w:strike w:val="0"/>
          <w:spacing w:val="0"/>
          <w:u w:val="none"/>
        </w:rPr>
        <w:t>申诉渠道</w:t>
      </w:r>
    </w:p>
    <w:p>
      <w:pPr>
        <w:snapToGrid w:val="1"/>
        <w:spacing w:line="240"/>
        <w:ind/>
        <w:rPr/>
      </w:pPr>
      <w:r>
        <w:rPr>
          <w:i w:val="0"/>
          <w:strike w:val="0"/>
          <w:spacing w:val="0"/>
          <w:u w:val="none"/>
        </w:rPr>
        <w:t>空军军医大学</w:t>
      </w:r>
    </w:p>
    <w:p>
      <w:pPr>
        <w:snapToGrid w:val="1"/>
        <w:spacing w:line="240"/>
        <w:ind/>
        <w:rPr/>
      </w:pPr>
      <w:r>
        <w:rPr>
          <w:i w:val="0"/>
          <w:strike w:val="0"/>
          <w:spacing w:val="0"/>
          <w:u w:val="none"/>
        </w:rPr>
        <w:t>地址：西安市新城区长乐西路169号</w:t>
      </w:r>
    </w:p>
    <w:p>
      <w:pPr>
        <w:snapToGrid w:val="1"/>
        <w:spacing w:line="240"/>
        <w:ind/>
        <w:rPr/>
      </w:pPr>
      <w:r>
        <w:rPr>
          <w:i w:val="0"/>
          <w:strike w:val="0"/>
          <w:spacing w:val="0"/>
          <w:u w:val="none"/>
        </w:rPr>
        <w:t>邮编：710032</w:t>
      </w:r>
    </w:p>
    <w:p>
      <w:pPr>
        <w:snapToGrid w:val="1"/>
        <w:spacing w:line="240"/>
        <w:ind/>
        <w:rPr/>
      </w:pPr>
      <w:r>
        <w:rPr>
          <w:i w:val="0"/>
          <w:strike w:val="0"/>
          <w:spacing w:val="0"/>
          <w:u w:val="none"/>
        </w:rPr>
        <w:t>邮箱：yjsyzsc@163.com</w:t>
      </w:r>
    </w:p>
    <w:p>
      <w:pPr>
        <w:snapToGrid w:val="1"/>
        <w:spacing w:line="240"/>
        <w:ind/>
        <w:rPr/>
      </w:pPr>
      <w:r>
        <w:rPr>
          <w:i w:val="0"/>
          <w:strike w:val="0"/>
          <w:spacing w:val="0"/>
          <w:u w:val="none"/>
        </w:rPr>
        <w:t>电话：029-84712526</w:t>
      </w:r>
    </w:p>
    <w:p>
      <w:pPr>
        <w:snapToGrid w:val="1"/>
        <w:spacing w:line="240"/>
        <w:ind/>
        <w:rPr/>
      </w:pPr>
      <w:r>
        <w:rPr>
          <w:i w:val="0"/>
          <w:strike w:val="0"/>
          <w:spacing w:val="0"/>
          <w:u w:val="none"/>
        </w:rPr>
        <w:t>传真：029-84712526</w:t>
      </w:r>
    </w:p>
    <w:p>
      <w:pPr>
        <w:snapToGrid w:val="1"/>
        <w:spacing w:line="240"/>
        <w:ind/>
        <w:rPr/>
      </w:pPr>
      <w:r>
        <w:rPr>
          <w:i w:val="0"/>
          <w:strike w:val="0"/>
          <w:spacing w:val="0"/>
          <w:u w:val="none"/>
        </w:rPr>
        <w:t>部门：研究生院招生培养处</w:t>
      </w:r>
    </w:p>
    <w:p>
      <w:pPr>
        <w:snapToGrid w:val="1"/>
        <w:spacing w:line="240"/>
        <w:ind/>
        <w:rPr/>
      </w:pPr>
      <w:r>
        <w:rPr>
          <w:i w:val="0"/>
          <w:strike w:val="0"/>
          <w:spacing w:val="0"/>
          <w:u w:val="none"/>
        </w:rPr>
        <w:t>陕西省</w:t>
      </w:r>
    </w:p>
    <w:p>
      <w:pPr>
        <w:snapToGrid w:val="1"/>
        <w:spacing w:line="240"/>
        <w:ind/>
        <w:rPr/>
      </w:pPr>
      <w:r>
        <w:rPr>
          <w:i w:val="0"/>
          <w:strike w:val="0"/>
          <w:spacing w:val="0"/>
          <w:u w:val="none"/>
        </w:rPr>
        <w:t>地址：陕西省西安市含光北路40号</w:t>
      </w:r>
    </w:p>
    <w:p>
      <w:pPr>
        <w:snapToGrid w:val="1"/>
        <w:spacing w:line="240"/>
        <w:ind/>
        <w:rPr/>
      </w:pPr>
      <w:r>
        <w:rPr>
          <w:i w:val="0"/>
          <w:strike w:val="0"/>
          <w:spacing w:val="0"/>
          <w:u w:val="none"/>
        </w:rPr>
        <w:t>邮编：710068</w:t>
      </w:r>
    </w:p>
    <w:p>
      <w:pPr>
        <w:snapToGrid w:val="1"/>
        <w:spacing w:line="240"/>
        <w:ind/>
        <w:rPr/>
      </w:pPr>
      <w:r>
        <w:rPr>
          <w:i w:val="0"/>
          <w:strike w:val="0"/>
          <w:spacing w:val="0"/>
          <w:u w:val="none"/>
        </w:rPr>
        <w:t>邮箱：sxyjszs@163.com</w:t>
      </w:r>
    </w:p>
    <w:p>
      <w:pPr>
        <w:snapToGrid w:val="1"/>
        <w:spacing w:line="240"/>
        <w:ind/>
        <w:rPr/>
      </w:pPr>
      <w:r>
        <w:rPr>
          <w:i w:val="0"/>
          <w:strike w:val="0"/>
          <w:spacing w:val="0"/>
          <w:u w:val="none"/>
        </w:rPr>
        <w:t>电话：029-85221770</w:t>
      </w:r>
    </w:p>
    <w:p>
      <w:pPr>
        <w:snapToGrid w:val="1"/>
        <w:spacing w:line="240"/>
        <w:ind/>
        <w:rPr/>
      </w:pPr>
      <w:r>
        <w:rPr>
          <w:i w:val="0"/>
          <w:strike w:val="0"/>
          <w:spacing w:val="0"/>
          <w:u w:val="none"/>
        </w:rPr>
        <w:t>传真：029-85221703</w:t>
      </w:r>
    </w:p>
    <w:p>
      <w:pPr>
        <w:snapToGrid w:val="1"/>
        <w:spacing w:line="240"/>
        <w:ind/>
        <w:rPr/>
      </w:pPr>
      <w:r>
        <w:rPr>
          <w:i w:val="0"/>
          <w:strike w:val="0"/>
          <w:spacing w:val="0"/>
          <w:u w:val="none"/>
        </w:rPr>
        <w:t>部门：研招处</w:t>
      </w:r>
    </w:p>
    <w:p>
      <w:pPr>
        <w:snapToGrid w:val="1"/>
        <w:spacing w:line="240"/>
        <w:ind/>
        <w:rPr/>
      </w:pPr>
    </w:p>
    <w:p>
      <w:pPr>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Calibri">
    <w:panose1 w:val="020F0502020204030204"/>
    <w:charset w:val="00" w:characterSet="ISO-8859-1"/>
    <w:family w:val="swiss"/>
    <w:pitch w:val="variable"/>
    <w:sig w:usb0="00000003" w:usb1="00000000" w:usb2="00000001" w:usb3="00000000" w:csb0="0000019F" w:csb1="00000000"/>
  </w:font>
  <w:font w:name="Arial">
    <w:panose1 w:val="020B0604020202020204"/>
    <w:charset w:val="00" w:characterSet="ISO-8859-1"/>
    <w:family w:val="swiss"/>
    <w:pitch w:val="variable"/>
    <w:sig w:usb0="E0000AFF" w:usb1="00007843" w:usb2="00000001" w:usb3="00000000" w:csb0="000001BF" w:csb1="00000000"/>
  </w:font>
  <w:font w:name="Calibri Light">
    <w:panose1 w:val="020F0302020204030204"/>
    <w:charset w:val="00" w:characterSet="ISO-8859-1"/>
    <w:family w:val="swiss"/>
    <w:pitch w:val="variable"/>
    <w:sig w:usb0="A00002EF" w:usb1="4000207B" w:usb2="00000000" w:usb3="00000000" w:csb0="0000019F" w:csb1="00000000"/>
  </w:font>
  <w:font w:name="微软雅黑">
    <w:panose1 w:val="020B0503020204020204"/>
    <w:charset w:val="86" w:characterSet="ISO-8859-1"/>
    <w:family w:val="swiss"/>
    <w:pitch w:val="variable"/>
    <w:sig w:usb0="00000001" w:usb1="080E0000" w:usb2="00000016" w:usb3="00000000" w:csb0="0004001F" w:csb1="00000000"/>
  </w:font>
  <w:font w:name="Monaco">
    <w:altName w:val="Monaco"/>
    <w:panose1 w:val="00000000000000000000"/>
    <w:charset w:val="00" w:characterSet="ISO-8859-1"/>
    <w:family w:val="auto"/>
    <w:pitch w:val="variable"/>
    <w:sig w:usb0="A00002FF" w:usb1="500039FB" w:usb2="00000000" w:usb3="00000000" w:csb0="00000197" w:csb1="00000000"/>
  </w:font>
  <w:font w:name="Times New Roman">
    <w:panose1 w:val="02020603050405020304"/>
    <w:charset w:val="00" w:characterSet="ISO-8859-1"/>
    <w:family w:val="roman"/>
    <w:pitch w:val="variable"/>
    <w:sig w:usb0="20002A87" w:usb1="80000000" w:usb2="00000008" w:usb3="00000000" w:csb0="000001F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compatibilityMode" w:uri="http://schemas.microsoft.com/office/word" w:val="15"/>
    <w:compatSetting w:name="overrideTableStyleFontSizeAndJustification" w:uri="http://schemas.microsoft.com/office/word" w:val="1"/>
    <w:compatSetting w:name="differentiateMultirowTableHeaders"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Table Contemporary" w:semiHidden="1" w:unhideWhenUsed="1"/>
    <w:lsdException w:name="Smart Link" w:uiPriority="99" w:semiHidden="1" w:unhideWhenUsed="1"/>
    <w:lsdException w:name="Medium Grid 1 Accent 4" w:uiPriority="67"/>
    <w:lsdException w:name="Colorful Grid Accent 6" w:uiPriority="73"/>
    <w:lsdException w:name="Grid Table 1 Light Accent 6" w:uiPriority="46"/>
    <w:lsdException w:name="toc 6" w:uiPriority="99"/>
    <w:lsdException w:name="Table Simple 1" w:semiHidden="1" w:unhideWhenUsed="1"/>
    <w:lsdException w:name="Grid Table 5 Dark Accent 2" w:uiPriority="50"/>
    <w:lsdException w:name="Light List Accent 5" w:uiPriority="61"/>
    <w:lsdException w:name="Colorful Grid Accent 2" w:uiPriority="73"/>
    <w:lsdException w:name="List Table 3" w:uiPriority="48"/>
    <w:lsdException w:name="List Table 2 Accent 4" w:uiPriority="47"/>
    <w:lsdException w:name="List Table 1 Light Accent 2" w:uiPriority="46"/>
    <w:lsdException w:name="Medium List 1" w:uiPriority="65"/>
    <w:lsdException w:name="Medium List 1 Accent 3" w:uiPriority="65"/>
    <w:lsdException w:name="Medium List 2 Accent 1" w:uiPriority="66"/>
    <w:lsdException w:name="List Table 4 Accent 1" w:uiPriority="49"/>
    <w:lsdException w:name="Table 3D effects 3" w:semiHidden="1" w:unhideWhenUsed="1"/>
    <w:lsdException w:name="Grid Table 7 Colorful Accent 5" w:uiPriority="52"/>
    <w:lsdException w:name="Medium List 2 Accent 5" w:uiPriority="66"/>
    <w:lsdException w:name="TOC Heading" w:uiPriority="39" w:semiHidden="1" w:unhideWhenUsed="1" w:qFormat="1"/>
    <w:lsdException w:name="Grid Table 4 Accent 2" w:uiPriority="49"/>
    <w:lsdException w:name="Table Classic 4" w:semiHidden="1" w:unhideWhenUsed="1"/>
    <w:lsdException w:name="Grid Table 4 Accent 4" w:uiPriority="49"/>
    <w:lsdException w:name="Colorful Shading Accent 6" w:uiPriority="71"/>
    <w:lsdException w:name="Table Grid 3" w:semiHidden="1" w:unhideWhenUsed="1"/>
    <w:lsdException w:name="Intense Reference" w:uiPriority="32" w:qFormat="1"/>
    <w:lsdException w:name="Grid Table 1 Light Accent 4" w:uiPriority="46"/>
    <w:lsdException w:name="Table 3D effects 1" w:semiHidden="1" w:unhideWhenUsed="1"/>
    <w:lsdException w:name="Colorful Shading" w:uiPriority="71"/>
    <w:lsdException w:name="Grid Table 2 Accent 4" w:uiPriority="47"/>
    <w:lsdException w:name="Outline List 1" w:uiPriority="99" w:semiHidden="1" w:unhideWhenUsed="1"/>
    <w:lsdException w:name="HTML Code" w:uiPriority="99"/>
    <w:lsdException w:name="Outline List 3" w:uiPriority="99" w:semiHidden="1" w:unhideWhenUsed="1"/>
    <w:lsdException w:name="Grid Table 6 Colorful Accent 3" w:uiPriority="51"/>
    <w:lsdException w:name="Table Subtle 2" w:semiHidden="1" w:unhideWhenUsed="1"/>
    <w:lsdException w:name="Light Shading" w:uiPriority="60"/>
    <w:lsdException w:name="List Table 1 Light Accent 4" w:uiPriority="46"/>
    <w:lsdException w:name="Light List Accent 1" w:uiPriority="61"/>
    <w:lsdException w:name="Medium Shading 1" w:uiPriority="63"/>
    <w:lsdException w:name="Table Web 3" w:semiHidden="1" w:unhideWhenUsed="1"/>
    <w:lsdException w:name="Grid Table 6 Colorful Accent 2" w:uiPriority="51"/>
    <w:lsdException w:name="Grid Table 7 Colorful Accent 1" w:uiPriority="52"/>
    <w:lsdException w:name="heading 4" w:qFormat="1"/>
    <w:lsdException w:name="Table List 1" w:semiHidden="1" w:unhideWhenUsed="1"/>
    <w:lsdException w:name="heading 7" w:unhideWhenUsed="1" w:qFormat="1"/>
    <w:lsdException w:name="HTML Preformatted" w:uiPriority="99"/>
    <w:lsdException w:name="Light Grid Accent 5" w:uiPriority="62"/>
    <w:lsdException w:name="Grid Table 5 Dark Accent 5" w:uiPriority="50"/>
    <w:lsdException w:name="Grid Table 7 Colorful Accent 6" w:uiPriority="52"/>
    <w:lsdException w:name="List Table 4 Accent 4" w:uiPriority="49"/>
    <w:lsdException w:name="Table List 6" w:semiHidden="1" w:unhideWhenUsed="1"/>
    <w:lsdException w:name="HTML Variable" w:uiPriority="99"/>
    <w:lsdException w:name="Plain Table 4" w:uiPriority="44"/>
    <w:lsdException w:name="Grid Table 2 Accent 2" w:uiPriority="47"/>
    <w:lsdException w:name="Smart Hyperlink" w:uiPriority="99" w:semiHidden="1" w:unhideWhenUsed="1"/>
    <w:lsdException w:name="toc 9" w:uiPriority="99"/>
    <w:lsdException w:name="Table Grid 1" w:semiHidden="1" w:unhideWhenUsed="1"/>
    <w:lsdException w:name="Medium List 1 Accent 6" w:uiPriority="65"/>
    <w:lsdException w:name="HTML Cite" w:uiPriority="99"/>
    <w:lsdException w:name="Grid Table 6 Colorful Accent 1" w:uiPriority="51"/>
    <w:lsdException w:name="Table Colorful 1" w:semiHidden="1" w:unhideWhenUsed="1"/>
    <w:lsdException w:name="Dark List Accent 2" w:uiPriority="70"/>
    <w:lsdException w:name="List Table 5 Dark Accent 3" w:uiPriority="50"/>
    <w:lsdException w:name="List Table 2 Accent 3" w:uiPriority="47"/>
    <w:lsdException w:name="Colorful List Accent 4" w:uiPriority="72"/>
    <w:lsdException w:name="Grid Table 3 Accent 3" w:uiPriority="48"/>
    <w:lsdException w:name="Light Grid" w:uiPriority="62"/>
    <w:lsdException w:name="Colorful Shading Accent 5" w:uiPriority="71"/>
    <w:lsdException w:name="List Table 7 Colorful" w:uiPriority="52"/>
    <w:lsdException w:name="Light List Accent 2" w:uiPriority="61"/>
    <w:lsdException w:name="No Spacing" w:uiPriority="99"/>
    <w:lsdException w:name="Table Grid 7" w:semiHidden="1" w:unhideWhenUsed="1"/>
    <w:lsdException w:name="Table List 8" w:semiHidden="1" w:unhideWhenUsed="1"/>
    <w:lsdException w:name="List Table 5 Dark Accent 2" w:uiPriority="50"/>
    <w:lsdException w:name="List Paragraph" w:uiPriority="99"/>
    <w:lsdException w:name="Medium Shading 2 Accent 6" w:uiPriority="64"/>
    <w:lsdException w:name="HTML Sample" w:uiPriority="99"/>
    <w:lsdException w:name="Colorful Grid Accent 3" w:uiPriority="73"/>
    <w:lsdException w:name="List Table 6 Colorful Accent 1" w:uiPriority="51"/>
    <w:lsdException w:name="heading 6" w:qFormat="1"/>
    <w:lsdException w:name="Medium Grid 1" w:uiPriority="67"/>
    <w:lsdException w:name="List Table 1 Light" w:uiPriority="46"/>
    <w:lsdException w:name="List Table 7 Colorful Accent 6" w:uiPriority="52"/>
    <w:lsdException w:name="Revision" w:uiPriority="99" w:semiHidden="1"/>
    <w:lsdException w:name="List Table 4" w:uiPriority="49"/>
    <w:lsdException w:name="heading 9" w:unhideWhenUsed="1" w:qFormat="1"/>
    <w:lsdException w:name="Grid Table 6 Colorful Accent 4" w:uiPriority="51"/>
    <w:lsdException w:name="Grid Table 4 Accent 1" w:uiPriority="49"/>
    <w:lsdException w:name="List Table 4 Accent 5" w:uiPriority="49"/>
    <w:lsdException w:name="Grid Table 3 Accent 1" w:uiPriority="48"/>
    <w:lsdException w:name="Medium Grid 2 Accent 1" w:uiPriority="68"/>
    <w:lsdException w:name="Medium Grid 2 Accent 3" w:uiPriority="68"/>
    <w:lsdException w:name="Light Shading Accent 2" w:uiPriority="60"/>
    <w:lsdException w:name="Grid Table 7 Colorful Accent 3" w:uiPriority="52"/>
    <w:lsdException w:name="Book Title" w:uiPriority="33" w:qFormat="1"/>
    <w:lsdException w:name="Table Grid 2" w:semiHidden="1" w:unhideWhenUsed="1"/>
    <w:lsdException w:name="Emphasis" w:qFormat="1"/>
    <w:lsdException w:name="List Table 2 Accent 6" w:uiPriority="47"/>
    <w:lsdException w:name="Medium Grid 1 Accent 3" w:uiPriority="67"/>
    <w:lsdException w:name="Dark List Accent 6" w:uiPriority="70"/>
    <w:lsdException w:name="Colorful Grid Accent 5" w:uiPriority="73"/>
    <w:lsdException w:name="Colorful Grid Accent 4" w:uiPriority="73"/>
    <w:lsdException w:name="Grid Table 3 Accent 4" w:uiPriority="48"/>
    <w:lsdException w:name="Colorful List Accent 2" w:uiPriority="72"/>
    <w:lsdException w:name="Colorful List Accent 1" w:uiPriority="72"/>
    <w:lsdException w:name="footnote text" w:uiPriority="99" w:semiHidden="1" w:unhideWhenUsed="1"/>
    <w:lsdException w:name="Table List 7" w:semiHidden="1" w:unhideWhenUsed="1"/>
    <w:lsdException w:name="Light List Accent 4" w:uiPriority="61"/>
    <w:lsdException w:name="List Table 3 Accent 2" w:uiPriority="48"/>
    <w:lsdException w:name="Grid Table 6 Colorful Accent 6" w:uiPriority="51"/>
    <w:lsdException w:name="List Table 1 Light Accent 3" w:uiPriority="46"/>
    <w:lsdException w:name="Table List 3" w:semiHidden="1" w:unhideWhenUsed="1"/>
    <w:lsdException w:name="Table Grid 4" w:semiHidden="1" w:unhideWhenUsed="1"/>
    <w:lsdException w:name="Grid Table 4 Accent 3" w:uiPriority="49"/>
    <w:lsdException w:name="List Table 1 Light Accent 5" w:uiPriority="46"/>
    <w:lsdException w:name="Light Shading Accent 6" w:uiPriority="60"/>
    <w:lsdException w:name="Medium Grid 3" w:uiPriority="69"/>
    <w:lsdException w:name="Medium Shading 2 Accent 5" w:uiPriority="64"/>
    <w:lsdException w:name="Colorful List Accent 6" w:uiPriority="72"/>
    <w:lsdException w:name="Medium Shading 1 Accent 3" w:uiPriority="63"/>
    <w:lsdException w:name="Medium List 1 Accent 4" w:uiPriority="65"/>
    <w:lsdException w:name="List Table 6 Colorful Accent 3" w:uiPriority="51"/>
    <w:lsdException w:name="Grid Table 5 Dark Accent 4" w:uiPriority="50"/>
    <w:lsdException w:name="Medium Grid 2" w:uiPriority="68"/>
    <w:lsdException w:name="Grid Table 4" w:uiPriority="49"/>
    <w:lsdException w:name="HTML Address" w:uiPriority="99"/>
    <w:lsdException w:name="Medium Grid 3 Accent 3" w:uiPriority="69"/>
    <w:lsdException w:name="List Table 4 Accent 3" w:uiPriority="49"/>
    <w:lsdException w:name="List Table 3 Accent 5" w:uiPriority="48"/>
    <w:lsdException w:name="Dark List" w:uiPriority="70"/>
    <w:lsdException w:name="Medium List 2 Accent 6" w:uiPriority="66"/>
    <w:lsdException w:name="Table Grid 8" w:semiHidden="1" w:unhideWhenUsed="1"/>
    <w:lsdException w:name="Table Web 1" w:semiHidden="1" w:unhideWhenUsed="1"/>
    <w:lsdException w:name="Medium Grid 3 Accent 5" w:uiPriority="69"/>
    <w:lsdException w:name="Colorful Shading Accent 3" w:uiPriority="71"/>
    <w:lsdException w:name="HTML Definition" w:uiPriority="99"/>
    <w:lsdException w:name="Medium Shading 1 Accent 5" w:uiPriority="63"/>
    <w:lsdException w:name="Light List Accent 3" w:uiPriority="61"/>
    <w:lsdException w:name="Colorful Shading Accent 4" w:uiPriority="71"/>
    <w:lsdException w:name="Medium Grid 3 Accent 1" w:uiPriority="69"/>
    <w:lsdException w:name="Medium Shading 1 Accent 1" w:uiPriority="63"/>
    <w:lsdException w:name="Grid Table 3 Accent 6" w:uiPriority="48"/>
    <w:lsdException w:name="Colorful List Accent 3" w:uiPriority="72"/>
    <w:lsdException w:name="Mention" w:uiPriority="99" w:semiHidden="1" w:unhideWhenUsed="1"/>
    <w:lsdException w:name="Light Grid Accent 2" w:uiPriority="62"/>
    <w:lsdException w:name="Table Subtle 1" w:semiHidden="1" w:unhideWhenUsed="1"/>
    <w:lsdException w:name="No List" w:uiPriority="99" w:semiHidden="1" w:unhideWhenUsed="1"/>
    <w:lsdException w:name="Medium Grid 1 Accent 5" w:uiPriority="67"/>
    <w:lsdException w:name="Grid Table 7 Colorful Accent 2" w:uiPriority="52"/>
    <w:lsdException w:name="toc 8" w:uiPriority="99"/>
    <w:lsdException w:name="Table Elegant" w:semiHidden="1" w:unhideWhenUsed="1"/>
    <w:lsdException w:name="Table Grid" w:qFormat="1"/>
    <w:lsdException w:name="List Table 6 Colorful Accent 6" w:uiPriority="51"/>
    <w:lsdException w:name="Colorful Shading Accent 1" w:uiPriority="71"/>
    <w:lsdException w:name="List Table 3 Accent 6" w:uiPriority="48"/>
    <w:lsdException w:name="Medium Shading 1 Accent 6" w:uiPriority="63"/>
    <w:lsdException w:name="Plain Table 3" w:uiPriority="43"/>
    <w:lsdException w:name="Table Theme" w:semiHidden="1" w:unhideWhenUsed="1"/>
    <w:lsdException w:name="Grid Table 2 Accent 1" w:uiPriority="47"/>
    <w:lsdException w:name="toc 4" w:uiPriority="99"/>
    <w:lsdException w:name="Grid Table 5 Dark Accent 3" w:uiPriority="50"/>
    <w:lsdException w:name="Medium List 1 Accent 1" w:uiPriority="65"/>
    <w:lsdException w:name="Medium Grid 1 Accent 6" w:uiPriority="67"/>
    <w:lsdException w:name="Grid Table 1 Light Accent 2" w:uiPriority="46"/>
    <w:lsdException w:name="Medium Grid 2 Accent 4" w:uiPriority="68"/>
    <w:lsdException w:name="Table List 2" w:semiHidden="1" w:unhideWhenUsed="1"/>
    <w:lsdException w:name="Medium List 1 Accent 5" w:uiPriority="65"/>
    <w:lsdException w:name="Dark List Accent 5" w:uiPriority="70"/>
    <w:lsdException w:name="Dark List Accent 1" w:uiPriority="70"/>
    <w:lsdException w:name="toc 5" w:uiPriority="99"/>
    <w:lsdException w:name="Grid Table 5 Dark Accent 1" w:uiPriority="50"/>
    <w:lsdException w:name="Table List 4" w:semiHidden="1" w:unhideWhenUsed="1"/>
    <w:lsdException w:name="Grid Table 5 Dark Accent 6" w:uiPriority="50"/>
    <w:lsdException w:name="List Table 6 Colorful Accent 4" w:uiPriority="51"/>
    <w:lsdException w:name="Grid Table 6 Colorful Accent 5" w:uiPriority="51"/>
    <w:lsdException w:name="heading 5" w:qFormat="1"/>
    <w:lsdException w:name="Table Web 2" w:semiHidden="1" w:unhideWhenUsed="1"/>
    <w:lsdException w:name="Table Professional" w:semiHidden="1" w:unhideWhenUsed="1"/>
    <w:lsdException w:name="Table Classic 3" w:semiHidden="1" w:unhideWhenUsed="1"/>
    <w:lsdException w:name="List Table 2 Accent 1" w:uiPriority="47"/>
    <w:lsdException w:name="Table Simple 2" w:semiHidden="1" w:unhideWhenUsed="1"/>
    <w:lsdException w:name="Table Colorful 2" w:semiHidden="1" w:unhideWhenUsed="1"/>
    <w:lsdException w:name="Colorful Grid Accent 1" w:uiPriority="73"/>
    <w:lsdException w:name="List Table 3 Accent 3" w:uiPriority="48"/>
    <w:lsdException w:name="Light Grid Accent 6" w:uiPriority="62"/>
    <w:lsdException w:name="toc 3" w:uiPriority="99"/>
    <w:lsdException w:name="Table Classic 1" w:semiHidden="1" w:unhideWhenUsed="1"/>
    <w:lsdException w:name="List Table 2" w:uiPriority="47"/>
    <w:lsdException w:name="Medium Shading 2 Accent 1" w:uiPriority="64"/>
    <w:lsdException w:name="List Table 7 Colorful Accent 3" w:uiPriority="52"/>
    <w:lsdException w:name="List Table 5 Dark" w:uiPriority="50"/>
    <w:lsdException w:name="Grid Table 7 Colorful" w:uiPriority="52"/>
    <w:lsdException w:name="Table List 5" w:semiHidden="1" w:unhideWhenUsed="1"/>
    <w:lsdException w:name="Medium List 2" w:uiPriority="66"/>
    <w:lsdException w:name="List Table 3 Accent 1" w:uiPriority="48"/>
    <w:lsdException w:name="Grid Table 1 Light Accent 3" w:uiPriority="46"/>
    <w:lsdException w:name="Table Columns 2" w:semiHidden="1" w:unhideWhenUsed="1"/>
    <w:lsdException w:name="Grid Table 1 Light Accent 1" w:uiPriority="46"/>
    <w:lsdException w:name="footnote reference" w:uiPriority="99" w:semiHidden="1" w:unhideWhenUsed="1"/>
    <w:lsdException w:name="Bibliography" w:uiPriority="37" w:semiHidden="1" w:unhideWhenUsed="1"/>
    <w:lsdException w:name="Grid Table 2" w:uiPriority="47"/>
    <w:lsdException w:name="Quote" w:uiPriority="99"/>
    <w:lsdException w:name="Colorful List" w:uiPriority="72"/>
    <w:lsdException w:name="Grid Table 4 Accent 6" w:uiPriority="49"/>
    <w:lsdException w:name="Dark List Accent 4" w:uiPriority="70"/>
    <w:lsdException w:name="Outline List 2" w:uiPriority="99" w:semiHidden="1" w:unhideWhenUsed="1"/>
    <w:lsdException w:name="Strong" w:qFormat="1"/>
    <w:lsdException w:name="Grid Table 7 Colorful Accent 4" w:uiPriority="52"/>
    <w:lsdException w:name="Colorful Grid" w:uiPriority="73"/>
    <w:lsdException w:name="HTML Bottom of Form" w:uiPriority="99" w:semiHidden="1" w:unhideWhenUsed="1"/>
    <w:lsdException w:name="Plain Table 1" w:uiPriority="41"/>
    <w:lsdException w:name="Grid Table 3 Accent 2" w:uiPriority="48"/>
    <w:lsdException w:name="Plain Table 2" w:uiPriority="42"/>
    <w:lsdException w:name="Grid Table 1 Light" w:uiPriority="46"/>
    <w:lsdException w:name="Grid Table 1 Light Accent 5" w:uiPriority="46"/>
    <w:lsdException w:name="List Table 7 Colorful Accent 1" w:uiPriority="52"/>
    <w:lsdException w:name="Light Shading Accent 3" w:uiPriority="60"/>
    <w:lsdException w:name="Unresolved Mention" w:uiPriority="99" w:semiHidden="1" w:unhideWhenUsed="1"/>
    <w:lsdException w:name="Colorful List Accent 5" w:uiPriority="72"/>
    <w:lsdException w:name="Light List" w:uiPriority="61"/>
    <w:lsdException w:name="Medium List 2 Accent 3" w:uiPriority="66"/>
    <w:lsdException w:name="Grid Table 3 Accent 5" w:uiPriority="48"/>
    <w:lsdException w:name="Medium Shading 1 Accent 2" w:uiPriority="63"/>
    <w:lsdException w:name="Light Grid Accent 3" w:uiPriority="62"/>
    <w:lsdException w:name="Dark List Accent 3" w:uiPriority="70"/>
    <w:lsdException w:name="Light Grid Accent 1" w:uiPriority="62"/>
    <w:lsdException w:name="Default Paragraph Font" w:uiPriority="1" w:semiHidden="1" w:unhideWhenUsed="1"/>
    <w:lsdException w:name="Grid Table 5 Dark" w:uiPriority="50"/>
    <w:lsdException w:name="Medium Shading 2 Accent 4" w:uiPriority="64"/>
    <w:lsdException w:name="Hashtag" w:uiPriority="99" w:semiHidden="1" w:unhideWhenUsed="1"/>
    <w:lsdException w:name="Medium Grid 2 Accent 5" w:uiPriority="68"/>
    <w:lsdException w:name="toc 7" w:uiPriority="99"/>
    <w:lsdException w:name="Grid Table 4 Accent 5" w:uiPriority="49"/>
    <w:lsdException w:name="List Table 1 Light Accent 6" w:uiPriority="46"/>
    <w:lsdException w:name="Medium List 2 Accent 4" w:uiPriority="66"/>
    <w:lsdException w:name="Grid Table Light" w:uiPriority="40"/>
    <w:lsdException w:name="Table Colorful 3" w:semiHidden="1" w:unhideWhenUsed="1"/>
    <w:lsdException w:name="Normal" w:qFormat="1"/>
    <w:lsdException w:name="HTML Keyboard" w:uiPriority="99"/>
    <w:lsdException w:name="List Table 7 Colorful Accent 2" w:uiPriority="52"/>
    <w:lsdException w:name="Intense Quote" w:uiPriority="99"/>
    <w:lsdException w:name="List Table 4 Accent 6" w:uiPriority="49"/>
    <w:lsdException w:name="Grid Table 3" w:uiPriority="48"/>
    <w:lsdException w:name="toc 2" w:uiPriority="99"/>
    <w:lsdException w:name="HTML Top of Form" w:uiPriority="99" w:semiHidden="1" w:unhideWhenUsed="1"/>
    <w:lsdException w:name="Light Shading Accent 1" w:uiPriority="60"/>
    <w:lsdException w:name="List Table 4 Accent 2" w:uiPriority="49"/>
    <w:lsdException w:name="List Table 6 Colorful Accent 5" w:uiPriority="51"/>
    <w:lsdException w:name="List Table 5 Dark Accent 6" w:uiPriority="50"/>
    <w:lsdException w:name="Grid Table 6 Colorful" w:uiPriority="51"/>
    <w:lsdException w:name="Table Simple 3" w:semiHidden="1" w:unhideWhenUsed="1"/>
    <w:lsdException w:name="toc 1" w:uiPriority="99"/>
    <w:lsdException w:name="Medium Grid 2 Accent 6" w:uiPriority="68"/>
    <w:lsdException w:name="Normal Table" w:uiPriority="99" w:semiHidden="1" w:unhideWhenUsed="1"/>
    <w:lsdException w:name="Medium Shading 2 Accent 2" w:uiPriority="64"/>
    <w:lsdException w:name="Medium Shading 2" w:uiPriority="64"/>
    <w:lsdException w:name="List Table 7 Colorful Accent 5" w:uiPriority="52"/>
    <w:lsdException w:name="caption" w:semiHidden="1" w:unhideWhenUsed="1" w:qFormat="1"/>
    <w:lsdException w:name="Table Grid 6" w:semiHidden="1" w:unhideWhenUsed="1"/>
    <w:lsdException w:name="Medium List 1 Accent 2" w:uiPriority="65"/>
    <w:lsdException w:name="Title" w:qFormat="1"/>
    <w:lsdException w:name="Medium Shading 2 Accent 3" w:uiPriority="64"/>
    <w:lsdException w:name="Medium Grid 3 Accent 2" w:uiPriority="69"/>
    <w:lsdException w:name="List Table 5 Dark Accent 4" w:uiPriority="50"/>
    <w:lsdException w:name="Medium Grid 1 Accent 1" w:uiPriority="67"/>
    <w:lsdException w:name="Grid Table 2 Accent 5" w:uiPriority="47"/>
    <w:lsdException w:name="List Table 6 Colorful Accent 2" w:uiPriority="51"/>
    <w:lsdException w:name="Light List Accent 6" w:uiPriority="61"/>
    <w:lsdException w:name="HTML Acronym" w:uiPriority="99"/>
    <w:lsdException w:name="Light Shading Accent 5" w:uiPriority="60"/>
    <w:lsdException w:name="List Table 6 Colorful" w:uiPriority="51"/>
    <w:lsdException w:name="Subtitle" w:qFormat="1"/>
    <w:lsdException w:name="Grid Table 2 Accent 3" w:uiPriority="47"/>
    <w:lsdException w:name="Subtle Emphasis" w:uiPriority="19" w:qFormat="1"/>
    <w:lsdException w:name="Table Columns 5" w:semiHidden="1" w:unhideWhenUsed="1"/>
    <w:lsdException w:name="Table 3D effects 2" w:semiHidden="1" w:unhideWhenUsed="1"/>
    <w:lsdException w:name="Table Columns 4" w:semiHidden="1" w:unhideWhenUsed="1"/>
    <w:lsdException w:name="Light Grid Accent 4" w:uiPriority="62"/>
    <w:lsdException w:name="Medium Grid 3 Accent 4" w:uiPriority="69"/>
    <w:lsdException w:name="Intense Emphasis" w:uiPriority="21" w:qFormat="1"/>
    <w:lsdException w:name="Colorful Shading Accent 2" w:uiPriority="71"/>
    <w:lsdException w:name="Medium Grid 3 Accent 6" w:uiPriority="69"/>
    <w:lsdException w:name="Medium Grid 2 Accent 2" w:uiPriority="68"/>
    <w:lsdException w:name="List Table 3 Accent 4" w:uiPriority="48"/>
    <w:lsdException w:name="heading 8" w:unhideWhenUsed="1" w:qFormat="1"/>
    <w:lsdException w:name="Subtle Reference" w:uiPriority="31" w:qFormat="1"/>
    <w:lsdException w:name="Table Columns 1" w:semiHidden="1" w:unhideWhenUsed="1"/>
    <w:lsdException w:name="Light Shading Accent 4" w:uiPriority="60"/>
    <w:lsdException w:name="Placeholder Text" w:uiPriority="99" w:semiHidden="1"/>
    <w:lsdException w:name="heading 3" w:qFormat="1"/>
    <w:lsdException w:name="Medium List 2 Accent 2" w:uiPriority="66"/>
    <w:lsdException w:name="List Table 2 Accent 2" w:uiPriority="47"/>
    <w:lsdException w:name="List Table 1 Light Accent 1" w:uiPriority="46"/>
    <w:lsdException w:name="Table Columns 3" w:semiHidden="1" w:unhideWhenUsed="1"/>
    <w:lsdException w:name="List Table 2 Accent 5" w:uiPriority="47"/>
    <w:lsdException w:name="List Table 5 Dark Accent 1" w:uiPriority="50"/>
    <w:lsdException w:name="Medium Grid 1 Accent 2" w:uiPriority="67"/>
    <w:lsdException w:name="List Table 5 Dark Accent 5" w:uiPriority="50"/>
    <w:lsdException w:name="Medium Shading 1 Accent 4" w:uiPriority="63"/>
    <w:lsdException w:name="heading 1" w:qFormat="1"/>
    <w:lsdException w:name="HTML Typewriter" w:uiPriority="99"/>
    <w:lsdException w:name="Plain Table 5" w:uiPriority="45"/>
    <w:lsdException w:name="List Table 7 Colorful Accent 4" w:uiPriority="52"/>
    <w:lsdException w:name="Table Grid 5" w:semiHidden="1" w:unhideWhenUsed="1"/>
    <w:lsdException w:name="Table Classic 2" w:semiHidden="1" w:unhideWhenUsed="1"/>
    <w:lsdException w:name="Grid Table 2 Accent 6" w:uiPriority="47"/>
    <w:lsdException w:name="heading 2" w:qFormat="1"/>
  </w:latentStyles>
  <w:style w:type="paragraph" w:styleId="000007">
    <w:name w:val="heading 6"/>
    <w:basedOn w:val="000001"/>
    <w:next w:val="000001"/>
    <w:qFormat w:val="1"/>
    <w:pPr>
      <w:keepNext w:val="1"/>
      <w:keepLines w:val="1"/>
      <w:spacing w:line="480" w:lineRule="auto"/>
      <w:outlineLvl w:val="5"/>
    </w:pPr>
    <w:rPr>
      <w:b w:val="1"/>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000014" w:customStyle="1">
    <w:name w:val="标题 字符"/>
    <w:basedOn w:val="00000b"/>
    <w:link w:val="000013"/>
    <w:rPr>
      <w:rFonts w:ascii="Arial" w:hAnsi="Arial" w:eastAsia="微软雅黑" w:cstheme="majorBidi"/>
      <w:b w:val="1"/>
      <w:bCs w:val="1"/>
      <w:kern w:val="2"/>
      <w:sz w:val="48"/>
      <w:szCs w:val="32"/>
    </w:rPr>
  </w:style>
  <w:style w:type="character" w:styleId="000016">
    <w:name w:val="Hyperlink"/>
    <w:basedOn w:val="00000b"/>
    <w:rPr>
      <w:color w:val="1E6FFF"/>
      <w:u w:val="single"/>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a">
    <w:name w:val="heading 9"/>
    <w:basedOn w:val="000001"/>
    <w:next w:val="000001"/>
    <w:unhideWhenUsed w:val="1"/>
    <w:qFormat w:val="1"/>
    <w:pPr>
      <w:keepNext w:val="1"/>
      <w:keepLines w:val="1"/>
      <w:spacing w:line="480" w:lineRule="auto"/>
      <w:outlineLvl w:val="8"/>
    </w:pPr>
    <w:rPr>
      <w:b w:val="1"/>
    </w:rPr>
  </w:style>
  <w:style w:type="paragraph" w:styleId="000003">
    <w:name w:val="heading 2"/>
    <w:basedOn w:val="000001"/>
    <w:next w:val="000001"/>
    <w:qFormat w:val="1"/>
    <w:pPr>
      <w:keepNext w:val="1"/>
      <w:keepLines w:val="1"/>
      <w:outlineLvl w:val="1"/>
    </w:pPr>
    <w:rPr>
      <w:b w:val="1"/>
      <w:sz w:val="32"/>
    </w:rPr>
  </w:style>
  <w:style w:type="character" w:styleId="000017" w:customStyle="1">
    <w:name w:val="melo-codeblock-Base-theme-char"/>
    <w:uiPriority w:val="99"/>
    <w:rPr>
      <w:rFonts w:ascii="Monaco" w:hAnsi="Monaco" w:eastAsia="Monaco" w:cs="Monaco"/>
      <w:color w:val="000000"/>
      <w:sz w:val="21"/>
    </w:rPr>
  </w:style>
  <w:style w:type="paragraph" w:styleId="000005">
    <w:name w:val="heading 4"/>
    <w:basedOn w:val="000001"/>
    <w:next w:val="000001"/>
    <w:qFormat w:val="1"/>
    <w:pPr>
      <w:keepNext w:val="1"/>
      <w:keepLines w:val="1"/>
      <w:outlineLvl w:val="3"/>
    </w:pPr>
    <w:rPr>
      <w:b w:val="1"/>
      <w:sz w:val="24"/>
    </w:rPr>
  </w:style>
  <w:style w:type="paragraph" w:styleId="000006">
    <w:name w:val="heading 5"/>
    <w:basedOn w:val="000001"/>
    <w:next w:val="000001"/>
    <w:qFormat w:val="1"/>
    <w:pPr>
      <w:keepNext w:val="1"/>
      <w:keepLines w:val="1"/>
      <w:spacing w:line="480" w:lineRule="auto"/>
      <w:outlineLvl w:val="4"/>
    </w:pPr>
    <w:rPr>
      <w:b w:val="1"/>
    </w:rPr>
  </w:style>
  <w:style w:type="paragraph" w:styleId="000001" w:default="1">
    <w:name w:val="Normal"/>
    <w:qFormat w:val="1"/>
    <w:pPr>
      <w:widowControl w:val="0"/>
      <w:spacing w:before="60" w:after="60"/>
      <w:jc w:val="both"/>
    </w:pPr>
    <w:rPr>
      <w:color w:val="333333"/>
      <w:kern w:val="2"/>
      <w:sz w:val="22"/>
      <w:szCs w:val="24"/>
    </w:rPr>
  </w:style>
  <w:style w:type="paragraph" w:styleId="00000f">
    <w:name w:val="footer"/>
    <w:basedOn w:val="000001"/>
    <w:pPr>
      <w:tabs>
        <w:tab w:val="center" w:pos="4153"/>
        <w:tab w:val="right" w:pos="8306"/>
      </w:tabs>
      <w:snapToGrid w:val="0"/>
      <w:jc w:val="center"/>
    </w:pPr>
    <w:rPr>
      <w:sz w:val="18"/>
      <w:szCs w:val="18"/>
    </w:rPr>
  </w:style>
  <w:style w:type="paragraph" w:styleId="000004">
    <w:name w:val="heading 3"/>
    <w:basedOn w:val="000001"/>
    <w:next w:val="000001"/>
    <w:qFormat w:val="1"/>
    <w:pPr>
      <w:keepNext w:val="1"/>
      <w:keepLines w:val="1"/>
      <w:outlineLvl w:val="2"/>
    </w:pPr>
    <w:rPr>
      <w:b w:val="1"/>
      <w:sz w:val="28"/>
    </w:rPr>
  </w:style>
  <w:style w:type="paragraph" w:styleId="000002">
    <w:name w:val="heading 1"/>
    <w:basedOn w:val="000001"/>
    <w:next w:val="000001"/>
    <w:qFormat w:val="1"/>
    <w:pPr>
      <w:keepNext w:val="1"/>
      <w:keepLines w:val="1"/>
      <w:outlineLvl w:val="0"/>
    </w:pPr>
    <w:rPr>
      <w:b w:val="1"/>
      <w:kern w:val="44"/>
      <w:sz w:val="36"/>
    </w:rPr>
  </w:style>
  <w:style w:type="numbering" w:styleId="00000d" w:default="1">
    <w:name w:val="No List"/>
    <w:uiPriority w:val="99"/>
    <w:semiHidden w:val="1"/>
    <w:unhideWhenUsed w:val="1"/>
  </w:style>
  <w:style w:type="character" w:styleId="00000b" w:default="1">
    <w:name w:val="Default Paragraph Font"/>
    <w:uiPriority w:val="1"/>
    <w:semiHidden w:val="1"/>
    <w:unhideWhenUsed w:val="1"/>
  </w:style>
  <w:style w:type="paragraph" w:styleId="000009">
    <w:name w:val="heading 8"/>
    <w:basedOn w:val="000001"/>
    <w:next w:val="000001"/>
    <w:unhideWhenUsed w:val="1"/>
    <w:qFormat w:val="1"/>
    <w:pPr>
      <w:keepNext w:val="1"/>
      <w:keepLines w:val="1"/>
      <w:spacing w:line="480" w:lineRule="auto"/>
      <w:outlineLvl w:val="7"/>
    </w:pPr>
    <w:rPr>
      <w:b w:val="1"/>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e">
    <w:name w:val="toc 8"/>
    <w:basedOn w:val="000001"/>
    <w:next w:val="000001"/>
    <w:autoRedefine w:val="1"/>
    <w:uiPriority w:val="99"/>
    <w:pPr>
      <w:ind w:left="2940" w:leftChars="1400"/>
    </w:p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0" Type="http://schemas.openxmlformats.org/officeDocument/2006/relationships/styles" Target="styles.xml" /><Relationship Id="rId2" Type="http://schemas.openxmlformats.org/officeDocument/2006/relationships/fontTable" Target="fontTable.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2026-03-20T16:14:33Z</dcterms:created>
  <dcterms:modified xsi:type="dcterms:W3CDTF">2026-03-20T16:14:33Z</dcterms:modified>
</cp:coreProperties>
</file>